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76339" w:rsidRPr="00E26B65" w14:paraId="7080FF4D" w14:textId="77777777">
        <w:trPr>
          <w:trHeight w:hRule="exact" w:val="418"/>
          <w:jc w:val="center"/>
        </w:trPr>
        <w:tc>
          <w:tcPr>
            <w:tcW w:w="8720" w:type="dxa"/>
            <w:gridSpan w:val="3"/>
          </w:tcPr>
          <w:p w14:paraId="6DBC6BD0" w14:textId="77777777" w:rsidR="00576339" w:rsidRPr="00E26B65" w:rsidRDefault="00E26B65">
            <w:pPr>
              <w:pStyle w:val="a4"/>
              <w:tabs>
                <w:tab w:val="clear" w:pos="8306"/>
              </w:tabs>
              <w:jc w:val="center"/>
              <w:rPr>
                <w:rFonts w:ascii="Tahoma" w:hAnsi="Tahoma" w:cs="Tahoma"/>
                <w:b/>
                <w:bCs/>
                <w:color w:val="000080"/>
                <w:sz w:val="20"/>
                <w:szCs w:val="20"/>
                <w:rtl/>
              </w:rPr>
            </w:pPr>
            <w:bookmarkStart w:id="0" w:name="LastJudge"/>
            <w:r w:rsidRPr="00E26B65">
              <w:rPr>
                <w:rFonts w:ascii="Tahoma" w:hAnsi="Tahoma" w:cs="Tahoma"/>
                <w:b/>
                <w:bCs/>
                <w:color w:val="000080"/>
                <w:sz w:val="20"/>
                <w:szCs w:val="20"/>
                <w:rtl/>
              </w:rPr>
              <w:t>בית משפט השלום בכפר סבא</w:t>
            </w:r>
          </w:p>
        </w:tc>
      </w:tr>
      <w:tr w:rsidR="00576339" w:rsidRPr="00E26B65" w14:paraId="15A44DA1" w14:textId="77777777">
        <w:trPr>
          <w:trHeight w:val="337"/>
          <w:jc w:val="center"/>
        </w:trPr>
        <w:tc>
          <w:tcPr>
            <w:tcW w:w="6396" w:type="dxa"/>
          </w:tcPr>
          <w:p w14:paraId="1FCF1DBE" w14:textId="77777777" w:rsidR="00576339" w:rsidRPr="00E26B65" w:rsidRDefault="00E26B65">
            <w:pPr>
              <w:rPr>
                <w:b/>
                <w:bCs/>
                <w:sz w:val="26"/>
                <w:szCs w:val="26"/>
                <w:rtl/>
              </w:rPr>
            </w:pPr>
            <w:r w:rsidRPr="00E26B65">
              <w:rPr>
                <w:b/>
                <w:bCs/>
                <w:sz w:val="26"/>
                <w:szCs w:val="26"/>
                <w:rtl/>
              </w:rPr>
              <w:t>ת"פ</w:t>
            </w:r>
            <w:r w:rsidRPr="00E26B65">
              <w:rPr>
                <w:rFonts w:hint="cs"/>
                <w:b/>
                <w:bCs/>
                <w:sz w:val="26"/>
                <w:szCs w:val="26"/>
                <w:rtl/>
              </w:rPr>
              <w:t xml:space="preserve"> </w:t>
            </w:r>
            <w:r w:rsidRPr="00E26B65">
              <w:rPr>
                <w:b/>
                <w:bCs/>
                <w:sz w:val="26"/>
                <w:szCs w:val="26"/>
                <w:rtl/>
              </w:rPr>
              <w:t>34314-10-14</w:t>
            </w:r>
            <w:r w:rsidRPr="00E26B65">
              <w:rPr>
                <w:rFonts w:hint="cs"/>
                <w:b/>
                <w:bCs/>
                <w:sz w:val="26"/>
                <w:szCs w:val="26"/>
                <w:rtl/>
              </w:rPr>
              <w:t xml:space="preserve"> </w:t>
            </w:r>
            <w:r w:rsidRPr="00E26B65">
              <w:rPr>
                <w:b/>
                <w:bCs/>
                <w:sz w:val="26"/>
                <w:szCs w:val="26"/>
                <w:rtl/>
              </w:rPr>
              <w:t>מדינת ישראל נ' עדוי</w:t>
            </w:r>
          </w:p>
          <w:p w14:paraId="67B4C3BC" w14:textId="77777777" w:rsidR="00576339" w:rsidRPr="00E26B65" w:rsidRDefault="00576339">
            <w:pPr>
              <w:rPr>
                <w:b/>
                <w:bCs/>
                <w:sz w:val="26"/>
                <w:szCs w:val="26"/>
                <w:rtl/>
              </w:rPr>
            </w:pPr>
          </w:p>
        </w:tc>
        <w:tc>
          <w:tcPr>
            <w:tcW w:w="236" w:type="dxa"/>
          </w:tcPr>
          <w:p w14:paraId="1CC5E89A" w14:textId="77777777" w:rsidR="00576339" w:rsidRPr="00E26B65" w:rsidRDefault="00576339">
            <w:pPr>
              <w:pStyle w:val="a4"/>
              <w:jc w:val="right"/>
              <w:rPr>
                <w:b/>
                <w:bCs/>
                <w:sz w:val="26"/>
                <w:szCs w:val="26"/>
                <w:rtl/>
              </w:rPr>
            </w:pPr>
          </w:p>
        </w:tc>
        <w:tc>
          <w:tcPr>
            <w:tcW w:w="2088" w:type="dxa"/>
          </w:tcPr>
          <w:p w14:paraId="6F792599" w14:textId="77777777" w:rsidR="00576339" w:rsidRPr="00E26B65" w:rsidRDefault="00E26B65">
            <w:pPr>
              <w:pStyle w:val="a4"/>
              <w:tabs>
                <w:tab w:val="clear" w:pos="4153"/>
              </w:tabs>
              <w:jc w:val="right"/>
              <w:rPr>
                <w:b/>
                <w:bCs/>
                <w:sz w:val="26"/>
                <w:szCs w:val="26"/>
                <w:rtl/>
              </w:rPr>
            </w:pPr>
            <w:r w:rsidRPr="00E26B65">
              <w:rPr>
                <w:b/>
                <w:bCs/>
                <w:sz w:val="26"/>
                <w:szCs w:val="26"/>
                <w:rtl/>
              </w:rPr>
              <w:t>03 נובמבר 2015</w:t>
            </w:r>
          </w:p>
        </w:tc>
      </w:tr>
    </w:tbl>
    <w:p w14:paraId="5B42D475" w14:textId="77777777" w:rsidR="00576339" w:rsidRPr="00E26B65" w:rsidRDefault="00576339">
      <w:pPr>
        <w:pStyle w:val="a4"/>
        <w:jc w:val="center"/>
        <w:rPr>
          <w:rFonts w:ascii="Tahoma" w:hAnsi="Tahoma" w:cs="Tahoma"/>
          <w:b/>
          <w:bCs/>
          <w:color w:val="000080"/>
          <w:sz w:val="20"/>
          <w:szCs w:val="20"/>
          <w:rtl/>
        </w:rPr>
      </w:pPr>
    </w:p>
    <w:p w14:paraId="2DDD6479" w14:textId="77777777" w:rsidR="00576339" w:rsidRPr="00E26B65" w:rsidRDefault="0057633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576339" w:rsidRPr="00E26B65" w14:paraId="1C0088B4" w14:textId="77777777">
        <w:trPr>
          <w:gridAfter w:val="1"/>
          <w:wAfter w:w="55" w:type="dxa"/>
        </w:trPr>
        <w:tc>
          <w:tcPr>
            <w:tcW w:w="8719" w:type="dxa"/>
            <w:gridSpan w:val="2"/>
            <w:shd w:val="clear" w:color="auto" w:fill="auto"/>
          </w:tcPr>
          <w:p w14:paraId="216432E0" w14:textId="77777777" w:rsidR="00576339" w:rsidRPr="00E26B65" w:rsidRDefault="00E26B65">
            <w:pPr>
              <w:spacing w:line="360" w:lineRule="auto"/>
              <w:rPr>
                <w:rFonts w:ascii="Times New Roman" w:eastAsia="Times New Roman" w:hAnsi="Times New Roman"/>
                <w:b/>
                <w:bCs/>
                <w:sz w:val="26"/>
                <w:szCs w:val="26"/>
                <w:rtl/>
              </w:rPr>
            </w:pPr>
            <w:r w:rsidRPr="00E26B65">
              <w:rPr>
                <w:rFonts w:ascii="Times New Roman" w:eastAsia="Times New Roman" w:hAnsi="Times New Roman" w:hint="cs"/>
                <w:b/>
                <w:bCs/>
                <w:sz w:val="26"/>
                <w:szCs w:val="26"/>
                <w:rtl/>
              </w:rPr>
              <w:t>לפני כבוד ה</w:t>
            </w:r>
            <w:r w:rsidRPr="00E26B65">
              <w:rPr>
                <w:rFonts w:ascii="Times New Roman" w:eastAsia="Times New Roman" w:hAnsi="Times New Roman" w:hint="cs"/>
                <w:rtl/>
              </w:rPr>
              <w:t>שופט עמית פרייז</w:t>
            </w:r>
            <w:r w:rsidRPr="00E26B65">
              <w:rPr>
                <w:rStyle w:val="TimesNewRomanTimesNewRoman"/>
                <w:rFonts w:eastAsia="Times New Roman"/>
                <w:rtl/>
              </w:rPr>
              <w:t xml:space="preserve"> </w:t>
            </w:r>
          </w:p>
        </w:tc>
      </w:tr>
      <w:tr w:rsidR="00576339" w:rsidRPr="00E26B65" w14:paraId="404FCBD0" w14:textId="77777777">
        <w:tc>
          <w:tcPr>
            <w:tcW w:w="2880" w:type="dxa"/>
            <w:shd w:val="clear" w:color="auto" w:fill="auto"/>
          </w:tcPr>
          <w:p w14:paraId="5B892640" w14:textId="77777777" w:rsidR="00576339" w:rsidRPr="00E26B65" w:rsidRDefault="00E26B65">
            <w:pPr>
              <w:ind w:left="26"/>
              <w:rPr>
                <w:rFonts w:ascii="Times New Roman" w:eastAsia="Times New Roman" w:hAnsi="Times New Roman"/>
                <w:b/>
                <w:bCs/>
                <w:sz w:val="26"/>
                <w:szCs w:val="26"/>
                <w:rtl/>
              </w:rPr>
            </w:pPr>
            <w:bookmarkStart w:id="1" w:name="FirstAppellant"/>
            <w:r w:rsidRPr="00E26B65">
              <w:rPr>
                <w:rFonts w:ascii="Times New Roman" w:eastAsia="Times New Roman" w:hAnsi="Times New Roman" w:hint="cs"/>
                <w:b/>
                <w:bCs/>
                <w:sz w:val="26"/>
                <w:szCs w:val="26"/>
                <w:rtl/>
              </w:rPr>
              <w:t>ה</w:t>
            </w:r>
            <w:r w:rsidRPr="00E26B65">
              <w:rPr>
                <w:rFonts w:ascii="Times New Roman" w:eastAsia="Times New Roman" w:hAnsi="Times New Roman" w:hint="cs"/>
                <w:rtl/>
              </w:rPr>
              <w:t>מאשימה</w:t>
            </w:r>
          </w:p>
        </w:tc>
        <w:tc>
          <w:tcPr>
            <w:tcW w:w="5922" w:type="dxa"/>
            <w:gridSpan w:val="2"/>
            <w:shd w:val="clear" w:color="auto" w:fill="auto"/>
          </w:tcPr>
          <w:p w14:paraId="378D3C51" w14:textId="77777777" w:rsidR="00576339" w:rsidRPr="00E26B65" w:rsidRDefault="00E26B65">
            <w:pPr>
              <w:rPr>
                <w:rFonts w:ascii="Times New Roman" w:eastAsia="Times New Roman" w:hAnsi="Times New Roman"/>
                <w:b/>
                <w:bCs/>
                <w:sz w:val="26"/>
                <w:szCs w:val="26"/>
                <w:rtl/>
              </w:rPr>
            </w:pPr>
            <w:r w:rsidRPr="00E26B65">
              <w:rPr>
                <w:rFonts w:ascii="Times New Roman" w:eastAsia="Times New Roman" w:hAnsi="Times New Roman" w:hint="cs"/>
                <w:rtl/>
              </w:rPr>
              <w:t>מדינת ישראל</w:t>
            </w:r>
          </w:p>
        </w:tc>
      </w:tr>
      <w:bookmarkEnd w:id="1"/>
      <w:tr w:rsidR="00576339" w:rsidRPr="00E26B65" w14:paraId="5F26D78C" w14:textId="77777777">
        <w:tc>
          <w:tcPr>
            <w:tcW w:w="8802" w:type="dxa"/>
            <w:gridSpan w:val="3"/>
            <w:shd w:val="clear" w:color="auto" w:fill="auto"/>
          </w:tcPr>
          <w:p w14:paraId="504AC2FA" w14:textId="77777777" w:rsidR="00576339" w:rsidRPr="00E26B65" w:rsidRDefault="00E26B65">
            <w:pPr>
              <w:jc w:val="center"/>
              <w:rPr>
                <w:rFonts w:ascii="Arial" w:eastAsia="Times New Roman" w:hAnsi="Arial"/>
                <w:b/>
                <w:bCs/>
                <w:sz w:val="26"/>
                <w:szCs w:val="26"/>
              </w:rPr>
            </w:pPr>
            <w:r w:rsidRPr="00E26B65">
              <w:rPr>
                <w:rFonts w:ascii="Arial" w:eastAsia="Times New Roman" w:hAnsi="Arial"/>
                <w:b/>
                <w:bCs/>
                <w:sz w:val="26"/>
                <w:szCs w:val="26"/>
                <w:rtl/>
              </w:rPr>
              <w:t>נ</w:t>
            </w:r>
            <w:r w:rsidRPr="00E26B65">
              <w:rPr>
                <w:rFonts w:ascii="Arial" w:eastAsia="Times New Roman" w:hAnsi="Arial" w:hint="cs"/>
                <w:b/>
                <w:bCs/>
                <w:sz w:val="26"/>
                <w:szCs w:val="26"/>
                <w:rtl/>
              </w:rPr>
              <w:t xml:space="preserve">  </w:t>
            </w:r>
            <w:r w:rsidRPr="00E26B65">
              <w:rPr>
                <w:rFonts w:ascii="Arial" w:eastAsia="Times New Roman" w:hAnsi="Arial"/>
                <w:b/>
                <w:bCs/>
                <w:sz w:val="26"/>
                <w:szCs w:val="26"/>
                <w:rtl/>
              </w:rPr>
              <w:t>ג</w:t>
            </w:r>
            <w:r w:rsidRPr="00E26B65">
              <w:rPr>
                <w:rFonts w:ascii="Arial" w:eastAsia="Times New Roman" w:hAnsi="Arial" w:hint="cs"/>
                <w:b/>
                <w:bCs/>
                <w:sz w:val="26"/>
                <w:szCs w:val="26"/>
                <w:rtl/>
              </w:rPr>
              <w:t xml:space="preserve">  </w:t>
            </w:r>
            <w:r w:rsidRPr="00E26B65">
              <w:rPr>
                <w:rFonts w:ascii="Arial" w:eastAsia="Times New Roman" w:hAnsi="Arial"/>
                <w:b/>
                <w:bCs/>
                <w:sz w:val="26"/>
                <w:szCs w:val="26"/>
                <w:rtl/>
              </w:rPr>
              <w:t>ד</w:t>
            </w:r>
          </w:p>
        </w:tc>
      </w:tr>
      <w:tr w:rsidR="00576339" w:rsidRPr="00E26B65" w14:paraId="2CD41BDA" w14:textId="77777777">
        <w:tc>
          <w:tcPr>
            <w:tcW w:w="2880" w:type="dxa"/>
            <w:shd w:val="clear" w:color="auto" w:fill="auto"/>
          </w:tcPr>
          <w:p w14:paraId="7027F0D2" w14:textId="77777777" w:rsidR="00576339" w:rsidRPr="00E26B65" w:rsidRDefault="00E26B65">
            <w:pPr>
              <w:ind w:left="26"/>
              <w:rPr>
                <w:rFonts w:ascii="Times New Roman" w:eastAsia="Times New Roman" w:hAnsi="Times New Roman"/>
                <w:b/>
                <w:bCs/>
                <w:sz w:val="26"/>
                <w:szCs w:val="26"/>
                <w:rtl/>
              </w:rPr>
            </w:pPr>
            <w:r w:rsidRPr="00E26B65">
              <w:rPr>
                <w:rFonts w:ascii="Times New Roman" w:eastAsia="Times New Roman" w:hAnsi="Times New Roman" w:hint="cs"/>
                <w:b/>
                <w:bCs/>
                <w:sz w:val="26"/>
                <w:szCs w:val="26"/>
                <w:rtl/>
              </w:rPr>
              <w:t>ה</w:t>
            </w:r>
            <w:r w:rsidRPr="00E26B65">
              <w:rPr>
                <w:rFonts w:ascii="Times New Roman" w:eastAsia="Times New Roman" w:hAnsi="Times New Roman" w:hint="cs"/>
                <w:rtl/>
              </w:rPr>
              <w:t>נאשם</w:t>
            </w:r>
          </w:p>
        </w:tc>
        <w:tc>
          <w:tcPr>
            <w:tcW w:w="5922" w:type="dxa"/>
            <w:gridSpan w:val="2"/>
            <w:shd w:val="clear" w:color="auto" w:fill="auto"/>
          </w:tcPr>
          <w:p w14:paraId="474E95C2" w14:textId="77777777" w:rsidR="00576339" w:rsidRPr="00E26B65" w:rsidRDefault="00E26B65">
            <w:pPr>
              <w:rPr>
                <w:rFonts w:ascii="Times New Roman" w:eastAsia="Times New Roman" w:hAnsi="Times New Roman"/>
                <w:b/>
                <w:bCs/>
                <w:sz w:val="26"/>
                <w:szCs w:val="26"/>
                <w:rtl/>
              </w:rPr>
            </w:pPr>
            <w:r w:rsidRPr="00E26B65">
              <w:rPr>
                <w:rFonts w:ascii="Times New Roman" w:eastAsia="Times New Roman" w:hAnsi="Times New Roman" w:hint="cs"/>
                <w:rtl/>
              </w:rPr>
              <w:t>איתמר עדוי</w:t>
            </w:r>
          </w:p>
        </w:tc>
      </w:tr>
    </w:tbl>
    <w:p w14:paraId="603D5502" w14:textId="77777777" w:rsidR="00576339" w:rsidRPr="00E26B65" w:rsidRDefault="00E26B65">
      <w:pPr>
        <w:spacing w:line="360" w:lineRule="auto"/>
        <w:jc w:val="both"/>
        <w:rPr>
          <w:sz w:val="6"/>
          <w:szCs w:val="6"/>
          <w:rtl/>
        </w:rPr>
      </w:pPr>
      <w:r w:rsidRPr="00E26B65">
        <w:rPr>
          <w:sz w:val="6"/>
          <w:szCs w:val="6"/>
          <w:rtl/>
        </w:rPr>
        <w:t>&lt;#1#&gt;</w:t>
      </w:r>
    </w:p>
    <w:p w14:paraId="2BF30D43" w14:textId="77777777" w:rsidR="00576339" w:rsidRPr="00E26B65" w:rsidRDefault="00E26B65">
      <w:pPr>
        <w:pStyle w:val="12"/>
        <w:spacing w:line="360" w:lineRule="auto"/>
        <w:rPr>
          <w:u w:val="none"/>
          <w:rtl/>
        </w:rPr>
      </w:pPr>
      <w:bookmarkStart w:id="2" w:name="FirstLawyer"/>
      <w:r w:rsidRPr="00E26B65">
        <w:rPr>
          <w:rFonts w:hint="cs"/>
          <w:u w:val="none"/>
          <w:rtl/>
        </w:rPr>
        <w:t>ב"כ</w:t>
      </w:r>
      <w:bookmarkEnd w:id="2"/>
      <w:r w:rsidRPr="00E26B65">
        <w:rPr>
          <w:rFonts w:hint="cs"/>
          <w:u w:val="none"/>
          <w:rtl/>
        </w:rPr>
        <w:t xml:space="preserve"> המאשימה </w:t>
      </w:r>
      <w:r w:rsidRPr="00E26B65">
        <w:rPr>
          <w:u w:val="none"/>
          <w:rtl/>
        </w:rPr>
        <w:t>–</w:t>
      </w:r>
      <w:r w:rsidRPr="00E26B65">
        <w:rPr>
          <w:rFonts w:hint="cs"/>
          <w:u w:val="none"/>
          <w:rtl/>
        </w:rPr>
        <w:t xml:space="preserve"> עו"ד אריאל אודרברג ועו"ד ליאת שפיר </w:t>
      </w:r>
      <w:r w:rsidRPr="00E26B65">
        <w:rPr>
          <w:rFonts w:hint="cs"/>
          <w:u w:val="none"/>
        </w:rPr>
        <w:t xml:space="preserve"> </w:t>
      </w:r>
    </w:p>
    <w:p w14:paraId="26508D85" w14:textId="77777777" w:rsidR="00576339" w:rsidRPr="00E26B65" w:rsidRDefault="00E26B65">
      <w:pPr>
        <w:pStyle w:val="12"/>
        <w:spacing w:line="360" w:lineRule="auto"/>
        <w:rPr>
          <w:b w:val="0"/>
          <w:bCs w:val="0"/>
          <w:u w:val="none"/>
          <w:rtl/>
        </w:rPr>
      </w:pPr>
      <w:r w:rsidRPr="00E26B65">
        <w:rPr>
          <w:rFonts w:hint="cs"/>
          <w:u w:val="none"/>
          <w:rtl/>
        </w:rPr>
        <w:t>הנאשם בעצמו וב"כ עו"ד גיא גור</w:t>
      </w:r>
      <w:r w:rsidRPr="00E26B65">
        <w:rPr>
          <w:rFonts w:hint="cs"/>
          <w:b w:val="0"/>
          <w:bCs w:val="0"/>
          <w:u w:val="none"/>
          <w:rtl/>
        </w:rPr>
        <w:t xml:space="preserve"> </w:t>
      </w:r>
      <w:r w:rsidRPr="00E26B65">
        <w:rPr>
          <w:rFonts w:hint="cs"/>
          <w:u w:val="none"/>
          <w:rtl/>
        </w:rPr>
        <w:t>[מטעם הסניגוריה הציבורית]</w:t>
      </w:r>
    </w:p>
    <w:p w14:paraId="7B51FA69" w14:textId="77777777" w:rsidR="00576339" w:rsidRPr="00E26B65" w:rsidRDefault="00576339">
      <w:pPr>
        <w:pStyle w:val="12"/>
        <w:spacing w:line="360" w:lineRule="auto"/>
        <w:rPr>
          <w:b w:val="0"/>
          <w:bCs w:val="0"/>
          <w:u w:val="none"/>
          <w:rtl/>
        </w:rPr>
      </w:pPr>
    </w:p>
    <w:p w14:paraId="130078D8" w14:textId="77777777" w:rsidR="00576339" w:rsidRPr="00E26B65" w:rsidRDefault="00E26B65">
      <w:pPr>
        <w:tabs>
          <w:tab w:val="left" w:pos="566"/>
        </w:tabs>
        <w:spacing w:line="360" w:lineRule="auto"/>
        <w:jc w:val="center"/>
        <w:rPr>
          <w:rFonts w:ascii="Arial" w:hAnsi="Arial"/>
          <w:b/>
          <w:bCs/>
          <w:sz w:val="28"/>
          <w:szCs w:val="28"/>
          <w:rtl/>
        </w:rPr>
      </w:pPr>
      <w:r w:rsidRPr="00E26B65">
        <w:rPr>
          <w:rFonts w:ascii="Arial" w:hAnsi="Arial"/>
          <w:b/>
          <w:color w:val="FF0000"/>
          <w:sz w:val="28"/>
          <w:rtl/>
        </w:rPr>
        <w:t>במסמך זה הושמטו פרוטוקולים</w:t>
      </w:r>
    </w:p>
    <w:p w14:paraId="1428C320" w14:textId="77777777" w:rsidR="00E26B65" w:rsidRPr="00E26B65" w:rsidRDefault="00E26B65" w:rsidP="00E26B65">
      <w:pPr>
        <w:tabs>
          <w:tab w:val="left" w:pos="566"/>
        </w:tabs>
        <w:spacing w:after="120" w:line="240" w:lineRule="exact"/>
        <w:ind w:left="283" w:hanging="283"/>
        <w:jc w:val="both"/>
        <w:rPr>
          <w:rFonts w:ascii="FrankRuehl" w:hAnsi="FrankRuehl" w:cs="FrankRuehl"/>
          <w:rtl/>
        </w:rPr>
      </w:pPr>
      <w:bookmarkStart w:id="3" w:name="LawTable"/>
      <w:bookmarkEnd w:id="3"/>
    </w:p>
    <w:p w14:paraId="7AD24F21" w14:textId="77777777" w:rsidR="00E26B65" w:rsidRPr="00E26B65" w:rsidRDefault="00E26B65" w:rsidP="00E26B65">
      <w:pPr>
        <w:tabs>
          <w:tab w:val="left" w:pos="566"/>
        </w:tabs>
        <w:spacing w:after="120" w:line="240" w:lineRule="exact"/>
        <w:ind w:left="283" w:hanging="283"/>
        <w:jc w:val="both"/>
        <w:rPr>
          <w:rFonts w:ascii="FrankRuehl" w:hAnsi="FrankRuehl" w:cs="FrankRuehl"/>
          <w:rtl/>
        </w:rPr>
      </w:pPr>
      <w:r w:rsidRPr="00E26B65">
        <w:rPr>
          <w:rFonts w:ascii="FrankRuehl" w:hAnsi="FrankRuehl" w:cs="FrankRuehl"/>
          <w:rtl/>
        </w:rPr>
        <w:t xml:space="preserve">חקיקה שאוזכרה: </w:t>
      </w:r>
    </w:p>
    <w:p w14:paraId="7132A124" w14:textId="77777777" w:rsidR="00E26B65" w:rsidRPr="00E26B65" w:rsidRDefault="00E26B65" w:rsidP="00E26B65">
      <w:pPr>
        <w:tabs>
          <w:tab w:val="left" w:pos="566"/>
        </w:tabs>
        <w:spacing w:after="120" w:line="240" w:lineRule="exact"/>
        <w:ind w:left="283" w:hanging="283"/>
        <w:jc w:val="both"/>
        <w:rPr>
          <w:rFonts w:ascii="FrankRuehl" w:hAnsi="FrankRuehl" w:cs="FrankRuehl"/>
          <w:color w:val="0000FF"/>
          <w:u w:val="single"/>
          <w:rtl/>
        </w:rPr>
      </w:pPr>
      <w:hyperlink r:id="rId7" w:history="1">
        <w:r w:rsidRPr="00E26B65">
          <w:rPr>
            <w:rStyle w:val="Hyperlink"/>
            <w:rFonts w:ascii="FrankRuehl" w:hAnsi="FrankRuehl" w:cs="FrankRuehl"/>
            <w:rtl/>
          </w:rPr>
          <w:t>פקודת הסמים המסוכנים [נוסח חדש], תשל"ג-1973</w:t>
        </w:r>
      </w:hyperlink>
    </w:p>
    <w:p w14:paraId="3E5CE188" w14:textId="77777777" w:rsidR="00E26B65" w:rsidRPr="00E26B65" w:rsidRDefault="00E26B65">
      <w:pPr>
        <w:tabs>
          <w:tab w:val="left" w:pos="566"/>
        </w:tabs>
        <w:spacing w:line="360" w:lineRule="auto"/>
        <w:jc w:val="center"/>
        <w:rPr>
          <w:rFonts w:ascii="Arial" w:hAnsi="Arial"/>
          <w:b/>
          <w:bCs/>
          <w:sz w:val="28"/>
          <w:szCs w:val="28"/>
          <w:rtl/>
        </w:rPr>
      </w:pPr>
      <w:bookmarkStart w:id="4" w:name="LawTable_End"/>
      <w:bookmarkEnd w:id="4"/>
    </w:p>
    <w:p w14:paraId="0C44F733" w14:textId="77777777" w:rsidR="00E26B65" w:rsidRPr="00E26B65" w:rsidRDefault="00E26B65">
      <w:pPr>
        <w:tabs>
          <w:tab w:val="left" w:pos="566"/>
        </w:tabs>
        <w:spacing w:line="360" w:lineRule="auto"/>
        <w:jc w:val="center"/>
        <w:rPr>
          <w:rFonts w:ascii="Arial" w:hAnsi="Arial"/>
          <w:b/>
          <w:bCs/>
          <w:sz w:val="28"/>
          <w:szCs w:val="28"/>
          <w:rtl/>
        </w:rPr>
      </w:pPr>
    </w:p>
    <w:p w14:paraId="4CCC1C5E" w14:textId="77777777" w:rsidR="00E26B65" w:rsidRPr="00E26B65" w:rsidRDefault="00E26B65" w:rsidP="00E26B65">
      <w:pPr>
        <w:tabs>
          <w:tab w:val="left" w:pos="566"/>
        </w:tabs>
        <w:spacing w:line="360" w:lineRule="auto"/>
        <w:jc w:val="center"/>
        <w:rPr>
          <w:rFonts w:ascii="Arial" w:hAnsi="Arial"/>
          <w:b/>
          <w:bCs/>
          <w:sz w:val="28"/>
          <w:szCs w:val="28"/>
          <w:u w:val="single"/>
          <w:rtl/>
        </w:rPr>
      </w:pPr>
      <w:bookmarkStart w:id="5" w:name="PsakDin"/>
      <w:bookmarkEnd w:id="0"/>
      <w:r w:rsidRPr="00E26B65">
        <w:rPr>
          <w:rFonts w:ascii="Arial" w:hAnsi="Arial"/>
          <w:b/>
          <w:bCs/>
          <w:sz w:val="28"/>
          <w:szCs w:val="28"/>
          <w:u w:val="single"/>
          <w:rtl/>
        </w:rPr>
        <w:t>גזר דין</w:t>
      </w:r>
    </w:p>
    <w:bookmarkEnd w:id="5"/>
    <w:p w14:paraId="4D692EDE" w14:textId="77777777" w:rsidR="00576339" w:rsidRDefault="00576339">
      <w:pPr>
        <w:tabs>
          <w:tab w:val="left" w:pos="566"/>
        </w:tabs>
        <w:spacing w:line="360" w:lineRule="auto"/>
        <w:jc w:val="center"/>
        <w:rPr>
          <w:rtl/>
        </w:rPr>
      </w:pPr>
    </w:p>
    <w:p w14:paraId="5737E9FE" w14:textId="77777777" w:rsidR="00576339" w:rsidRDefault="00E26B65">
      <w:pPr>
        <w:tabs>
          <w:tab w:val="left" w:pos="566"/>
        </w:tabs>
        <w:spacing w:line="360" w:lineRule="auto"/>
        <w:jc w:val="both"/>
        <w:rPr>
          <w:rtl/>
        </w:rPr>
      </w:pPr>
      <w:r>
        <w:rPr>
          <w:rtl/>
        </w:rPr>
        <w:t xml:space="preserve"> </w:t>
      </w:r>
      <w:bookmarkStart w:id="6" w:name="ABSTRACT_START"/>
      <w:bookmarkEnd w:id="6"/>
      <w:r>
        <w:rPr>
          <w:rFonts w:hint="cs"/>
          <w:rtl/>
        </w:rPr>
        <w:t xml:space="preserve">הנאשם הורשע על פי הודאתו בביצוע עבירות של איומים, תקיפה סתם, החזקת סמים שלא לצריכה עצמית והפרעה לשוטר במילוי תפקידו כאשר בשלב הטיעונים לעונש הוצג הסדר טיעון. </w:t>
      </w:r>
    </w:p>
    <w:p w14:paraId="17188BF8" w14:textId="77777777" w:rsidR="00576339" w:rsidRDefault="00576339">
      <w:pPr>
        <w:tabs>
          <w:tab w:val="left" w:pos="566"/>
        </w:tabs>
        <w:spacing w:line="360" w:lineRule="auto"/>
        <w:jc w:val="both"/>
        <w:rPr>
          <w:rtl/>
        </w:rPr>
      </w:pPr>
      <w:bookmarkStart w:id="7" w:name="ABSTRACT_END"/>
      <w:bookmarkEnd w:id="7"/>
    </w:p>
    <w:p w14:paraId="23BE62A4" w14:textId="77777777" w:rsidR="00576339" w:rsidRDefault="00E26B65">
      <w:pPr>
        <w:tabs>
          <w:tab w:val="left" w:pos="566"/>
        </w:tabs>
        <w:spacing w:line="360" w:lineRule="auto"/>
        <w:jc w:val="both"/>
        <w:rPr>
          <w:rtl/>
        </w:rPr>
      </w:pPr>
      <w:r>
        <w:rPr>
          <w:rFonts w:hint="cs"/>
          <w:rtl/>
        </w:rPr>
        <w:t>מדובר באירוע שהתרחש לפני כשנה כאשר במהלך ויכוח בין הנאשם ובין המתלונן שעניינו סולם, הנאשם עיקם את ידו של המתלונן וניסה לנגוח בראשו. המתלונן הזמין משטרה וכאשר השוטרים הלכו מהמקום אמר הנאשם למתלונן שיצטער על זה שהזמין משטרה. בהמשך אותו יום נמצא בחיפוש בבית הנאשם סם מסוכן מסוג חשיש/גראס בכמות כוללת שקרובה ל- 80 גרם וזאת במקומות שונים בבית. אגב ביצוע חיפוש הנאשם קפץ מחלון הבית, נמלט לרחוב וניסה להסתתר אחרי רכב חונה.</w:t>
      </w:r>
    </w:p>
    <w:p w14:paraId="59DAF43C" w14:textId="77777777" w:rsidR="00576339" w:rsidRDefault="00576339">
      <w:pPr>
        <w:tabs>
          <w:tab w:val="left" w:pos="566"/>
        </w:tabs>
        <w:spacing w:line="360" w:lineRule="auto"/>
        <w:jc w:val="both"/>
        <w:rPr>
          <w:rtl/>
        </w:rPr>
      </w:pPr>
    </w:p>
    <w:p w14:paraId="3FD886A7" w14:textId="77777777" w:rsidR="00576339" w:rsidRDefault="00E26B65">
      <w:pPr>
        <w:tabs>
          <w:tab w:val="left" w:pos="566"/>
        </w:tabs>
        <w:spacing w:line="360" w:lineRule="auto"/>
        <w:jc w:val="both"/>
        <w:rPr>
          <w:rtl/>
        </w:rPr>
      </w:pPr>
      <w:r>
        <w:rPr>
          <w:rFonts w:hint="cs"/>
          <w:rtl/>
        </w:rPr>
        <w:t xml:space="preserve">הסדר הטיעון אותו הניחו הצדדים בפני הינו סביר בנסיבות הענין ובמידת מה אף מקל עם הנאשם בשים לב לעברו העשיר והמכביד אשר כולל הרשעות רבות לרבות בתחום הסמים והאלימות ואשר כולל מאסרים בפועל גם לתקופות לא קצרות. מדיניות ביהמ"ש הינה לאמץ הסדרי טיעון וכך אעשה במקרה זה, תוך שאני מבהיר לנאשם שמשמעות רכיב עבודות השירות הינו שעליו לציית לכל הוראות הממונה על עבודות השירות ובכלל זה הוראות הנדרשות לבדיקה האם הוא צורך סמים. מובהר לנאשם שכל סטיה מהוראות הממונה עשויה להוביל לקטיעת עבודות השירות כך שהמשך המאסר יהיה בכליאה ממשית. </w:t>
      </w:r>
    </w:p>
    <w:p w14:paraId="70B27AE0" w14:textId="77777777" w:rsidR="00576339" w:rsidRDefault="00576339">
      <w:pPr>
        <w:tabs>
          <w:tab w:val="left" w:pos="566"/>
        </w:tabs>
        <w:spacing w:line="360" w:lineRule="auto"/>
        <w:jc w:val="both"/>
        <w:rPr>
          <w:rtl/>
        </w:rPr>
      </w:pPr>
    </w:p>
    <w:p w14:paraId="0A20C4C9" w14:textId="77777777" w:rsidR="00576339" w:rsidRDefault="00E26B65">
      <w:pPr>
        <w:tabs>
          <w:tab w:val="left" w:pos="566"/>
        </w:tabs>
        <w:spacing w:line="360" w:lineRule="auto"/>
        <w:jc w:val="both"/>
        <w:rPr>
          <w:rtl/>
        </w:rPr>
      </w:pPr>
      <w:r>
        <w:rPr>
          <w:rFonts w:hint="cs"/>
          <w:rtl/>
        </w:rPr>
        <w:lastRenderedPageBreak/>
        <w:t>אשר לגובה הקנס והפיצוי, הרי שיש לזכור שבגין מעשיו של הנאשם אכן הוא ראוי לרכיבים כספיים, אך יש מקום להתחשב במצבו הכלכלי הקשה. עם זאת, התחשבות זאת תהיה רק בקנס שיהיה מינימלי בנסיבות הענין, כאשר על פי הפסיקה אין מקום להתחשבות בנסיבות אישיות בקביעת הפיצויים. עם זאת, לענין הפיצוים יש גם לקחת בחשבון את העובדה שבסופו של יום מעשיו של הנאשם לא גרמו לפגיעה חמורה במתלונן ואף לא נזקק לטיפול.</w:t>
      </w:r>
    </w:p>
    <w:p w14:paraId="262A0B98" w14:textId="77777777" w:rsidR="00576339" w:rsidRDefault="00576339">
      <w:pPr>
        <w:tabs>
          <w:tab w:val="left" w:pos="566"/>
        </w:tabs>
        <w:spacing w:line="360" w:lineRule="auto"/>
        <w:jc w:val="both"/>
        <w:rPr>
          <w:rtl/>
        </w:rPr>
      </w:pPr>
    </w:p>
    <w:p w14:paraId="360B7F04" w14:textId="77777777" w:rsidR="00576339" w:rsidRDefault="00E26B65">
      <w:pPr>
        <w:tabs>
          <w:tab w:val="left" w:pos="566"/>
        </w:tabs>
        <w:snapToGrid w:val="0"/>
        <w:spacing w:line="360" w:lineRule="auto"/>
        <w:jc w:val="both"/>
        <w:rPr>
          <w:rtl/>
        </w:rPr>
      </w:pPr>
      <w:r>
        <w:rPr>
          <w:rFonts w:hint="cs"/>
          <w:rtl/>
        </w:rPr>
        <w:t>סוף דבר אני גוזר על הנאשם את העונשים הבאים:</w:t>
      </w:r>
    </w:p>
    <w:p w14:paraId="72148A27" w14:textId="77777777" w:rsidR="00576339" w:rsidRDefault="00E26B65">
      <w:pPr>
        <w:numPr>
          <w:ilvl w:val="0"/>
          <w:numId w:val="1"/>
        </w:numPr>
        <w:tabs>
          <w:tab w:val="left" w:pos="566"/>
        </w:tabs>
        <w:snapToGrid w:val="0"/>
        <w:spacing w:line="360" w:lineRule="auto"/>
        <w:ind w:left="658" w:hanging="298"/>
        <w:jc w:val="both"/>
        <w:rPr>
          <w:rtl/>
        </w:rPr>
      </w:pPr>
      <w:r>
        <w:rPr>
          <w:rFonts w:hint="cs"/>
          <w:rtl/>
        </w:rPr>
        <w:t xml:space="preserve">מאסר בפועל של 6 חודשים אשר ירוצו בדרך של עבודות שירות, החל מיום 6.12.15. לשם כך, על הנאשם להתייצב במשרדי הממונה על עבודות השירות בשב"ס מרכז (רמלה), באותו מועד עד השעה 8:00. </w:t>
      </w:r>
    </w:p>
    <w:p w14:paraId="1904E1DF" w14:textId="77777777" w:rsidR="00576339" w:rsidRDefault="00E26B65">
      <w:pPr>
        <w:numPr>
          <w:ilvl w:val="0"/>
          <w:numId w:val="1"/>
        </w:numPr>
        <w:tabs>
          <w:tab w:val="left" w:pos="566"/>
        </w:tabs>
        <w:snapToGrid w:val="0"/>
        <w:spacing w:line="360" w:lineRule="auto"/>
        <w:ind w:left="658" w:hanging="298"/>
        <w:jc w:val="both"/>
        <w:rPr>
          <w:rtl/>
        </w:rPr>
      </w:pPr>
      <w:r>
        <w:rPr>
          <w:rFonts w:hint="cs"/>
          <w:rtl/>
        </w:rPr>
        <w:t xml:space="preserve">מאסר על תנאי של 6 חודשים למשך 3 שנים מהיום, והתנאי הוא שלא יעבור עבירת אלימות או עבירה על </w:t>
      </w:r>
      <w:hyperlink r:id="rId8" w:history="1">
        <w:r w:rsidRPr="00E26B65">
          <w:rPr>
            <w:rStyle w:val="Hyperlink"/>
            <w:rFonts w:hint="eastAsia"/>
            <w:rtl/>
          </w:rPr>
          <w:t>פקודת</w:t>
        </w:r>
        <w:r w:rsidRPr="00E26B65">
          <w:rPr>
            <w:rStyle w:val="Hyperlink"/>
            <w:rtl/>
          </w:rPr>
          <w:t xml:space="preserve"> הסמים המסוכנים</w:t>
        </w:r>
      </w:hyperlink>
      <w:r>
        <w:rPr>
          <w:rFonts w:hint="cs"/>
          <w:rtl/>
        </w:rPr>
        <w:t xml:space="preserve">. </w:t>
      </w:r>
    </w:p>
    <w:p w14:paraId="6B59EA79" w14:textId="77777777" w:rsidR="00576339" w:rsidRDefault="00E26B65">
      <w:pPr>
        <w:numPr>
          <w:ilvl w:val="0"/>
          <w:numId w:val="1"/>
        </w:numPr>
        <w:tabs>
          <w:tab w:val="left" w:pos="566"/>
        </w:tabs>
        <w:snapToGrid w:val="0"/>
        <w:spacing w:line="360" w:lineRule="auto"/>
        <w:ind w:left="658" w:hanging="298"/>
        <w:jc w:val="both"/>
      </w:pPr>
      <w:r>
        <w:rPr>
          <w:rFonts w:hint="cs"/>
          <w:rtl/>
        </w:rPr>
        <w:t>קנס בסך 250 ₪, או 3 ימי מאסר תמורתו אם הקנס לא ישולם. הקנס ישולם ב-2 תשלומים חודשיים, שווים ורצופים, עד 1.12.15 ו- 1.1.16. לא ישולם תשלום אחד במועדו – תעמוד כל היתרה לפרעון מיידי.</w:t>
      </w:r>
    </w:p>
    <w:p w14:paraId="73850237" w14:textId="77777777" w:rsidR="00576339" w:rsidRDefault="00E26B65">
      <w:pPr>
        <w:numPr>
          <w:ilvl w:val="0"/>
          <w:numId w:val="1"/>
        </w:numPr>
        <w:tabs>
          <w:tab w:val="left" w:pos="566"/>
        </w:tabs>
        <w:snapToGrid w:val="0"/>
        <w:spacing w:line="360" w:lineRule="auto"/>
        <w:ind w:left="658" w:hanging="298"/>
        <w:jc w:val="both"/>
      </w:pPr>
      <w:r>
        <w:rPr>
          <w:rFonts w:hint="cs"/>
          <w:rtl/>
        </w:rPr>
        <w:t xml:space="preserve">פיצויים למתלונן ע"ת/1, בסך של 1000 ₪, אשר ישולמו באמצעות המזכירות ומתוך הפקדון בסכום זהה שהפקיד הנאשם בתיק </w:t>
      </w:r>
      <w:hyperlink r:id="rId9" w:history="1">
        <w:r w:rsidRPr="00E26B65">
          <w:rPr>
            <w:rStyle w:val="Hyperlink"/>
            <w:rFonts w:hint="eastAsia"/>
            <w:rtl/>
          </w:rPr>
          <w:t>מ</w:t>
        </w:r>
        <w:r w:rsidRPr="00E26B65">
          <w:rPr>
            <w:rStyle w:val="Hyperlink"/>
            <w:rtl/>
          </w:rPr>
          <w:t>"י 22277-10-14</w:t>
        </w:r>
      </w:hyperlink>
      <w:r>
        <w:rPr>
          <w:rFonts w:hint="cs"/>
          <w:rtl/>
        </w:rPr>
        <w:t xml:space="preserve">. ככל שיסתבר שהפקדון אינו משוייך לנאשם, הרי שהנאשם ישלם את סכום הפיצויים ב- 8 תשלומים חודשיים שווים ורצופים, תשלום ראשון עד 1.2.16 והיתרה עד 1 לכל חודש שלאחר מכן. לא ישולם תשלום במועדו, תעמוד כל היתרה לפרעון מיידי. </w:t>
      </w:r>
    </w:p>
    <w:p w14:paraId="50B2E54D" w14:textId="77777777" w:rsidR="00576339" w:rsidRDefault="00576339">
      <w:pPr>
        <w:tabs>
          <w:tab w:val="left" w:pos="566"/>
        </w:tabs>
        <w:snapToGrid w:val="0"/>
        <w:spacing w:line="360" w:lineRule="auto"/>
        <w:ind w:left="567" w:hanging="567"/>
        <w:jc w:val="both"/>
        <w:rPr>
          <w:rtl/>
        </w:rPr>
      </w:pPr>
    </w:p>
    <w:p w14:paraId="7A139568" w14:textId="77777777" w:rsidR="00576339" w:rsidRDefault="00E26B65">
      <w:pPr>
        <w:tabs>
          <w:tab w:val="left" w:pos="566"/>
        </w:tabs>
        <w:snapToGrid w:val="0"/>
        <w:spacing w:line="360" w:lineRule="auto"/>
        <w:ind w:left="567" w:hanging="567"/>
        <w:jc w:val="both"/>
      </w:pPr>
      <w:r>
        <w:rPr>
          <w:rFonts w:hint="cs"/>
          <w:rtl/>
        </w:rPr>
        <w:t xml:space="preserve">ניתן צו להשמדת המוצג </w:t>
      </w:r>
      <w:r>
        <w:rPr>
          <w:rtl/>
        </w:rPr>
        <w:t>–</w:t>
      </w:r>
      <w:r>
        <w:rPr>
          <w:rFonts w:hint="cs"/>
          <w:rtl/>
        </w:rPr>
        <w:t xml:space="preserve"> הסמים שנתפסו. </w:t>
      </w:r>
    </w:p>
    <w:p w14:paraId="5C57C033" w14:textId="77777777" w:rsidR="00576339" w:rsidRDefault="00576339">
      <w:pPr>
        <w:tabs>
          <w:tab w:val="left" w:pos="566"/>
        </w:tabs>
        <w:snapToGrid w:val="0"/>
        <w:spacing w:line="360" w:lineRule="auto"/>
        <w:ind w:left="567" w:hanging="567"/>
        <w:jc w:val="both"/>
        <w:rPr>
          <w:rtl/>
        </w:rPr>
      </w:pPr>
    </w:p>
    <w:p w14:paraId="2D754377" w14:textId="77777777" w:rsidR="00576339" w:rsidRDefault="00E26B65">
      <w:pPr>
        <w:tabs>
          <w:tab w:val="left" w:pos="566"/>
        </w:tabs>
        <w:snapToGrid w:val="0"/>
        <w:spacing w:line="360" w:lineRule="auto"/>
        <w:ind w:left="567" w:hanging="567"/>
        <w:jc w:val="both"/>
      </w:pPr>
      <w:r>
        <w:rPr>
          <w:rFonts w:hint="cs"/>
          <w:rtl/>
        </w:rPr>
        <w:t>זכות ערעור לבית-המשפט המחוזי בלוד בתוך 45 יום.</w:t>
      </w:r>
    </w:p>
    <w:p w14:paraId="06A9E508" w14:textId="77777777" w:rsidR="00576339" w:rsidRDefault="00576339">
      <w:pPr>
        <w:tabs>
          <w:tab w:val="left" w:pos="566"/>
        </w:tabs>
        <w:snapToGrid w:val="0"/>
        <w:spacing w:line="360" w:lineRule="auto"/>
        <w:ind w:left="567" w:hanging="567"/>
        <w:jc w:val="both"/>
        <w:rPr>
          <w:rtl/>
        </w:rPr>
      </w:pPr>
    </w:p>
    <w:p w14:paraId="3EC40B3E" w14:textId="77777777" w:rsidR="00576339" w:rsidRDefault="00E26B65">
      <w:pPr>
        <w:tabs>
          <w:tab w:val="left" w:pos="566"/>
        </w:tabs>
        <w:snapToGrid w:val="0"/>
        <w:spacing w:line="360" w:lineRule="auto"/>
        <w:ind w:left="567" w:hanging="567"/>
        <w:jc w:val="both"/>
        <w:rPr>
          <w:b/>
          <w:bCs/>
          <w:rtl/>
        </w:rPr>
      </w:pPr>
      <w:r>
        <w:rPr>
          <w:rFonts w:hint="cs"/>
          <w:b/>
          <w:bCs/>
          <w:rtl/>
        </w:rPr>
        <w:t>המזכירות תשלח העתק מגזר הדין לממונה על עבודות השירות.</w:t>
      </w:r>
    </w:p>
    <w:p w14:paraId="01F0313A" w14:textId="77777777" w:rsidR="00576339" w:rsidRDefault="00576339">
      <w:pPr>
        <w:spacing w:line="360" w:lineRule="auto"/>
        <w:jc w:val="both"/>
        <w:rPr>
          <w:b/>
          <w:bCs/>
          <w:rtl/>
        </w:rPr>
      </w:pPr>
    </w:p>
    <w:p w14:paraId="769D4087" w14:textId="77777777" w:rsidR="00576339" w:rsidRDefault="00E26B65">
      <w:pPr>
        <w:spacing w:line="360" w:lineRule="auto"/>
        <w:jc w:val="both"/>
        <w:rPr>
          <w:b/>
          <w:bCs/>
          <w:sz w:val="6"/>
          <w:szCs w:val="6"/>
        </w:rPr>
      </w:pPr>
      <w:r>
        <w:rPr>
          <w:b/>
          <w:bCs/>
          <w:sz w:val="6"/>
          <w:szCs w:val="6"/>
          <w:rtl/>
        </w:rPr>
        <w:t>&lt;#9#&gt;</w:t>
      </w:r>
    </w:p>
    <w:p w14:paraId="09C17FAC" w14:textId="77777777" w:rsidR="00576339" w:rsidRDefault="00576339">
      <w:pPr>
        <w:jc w:val="right"/>
        <w:rPr>
          <w:rtl/>
        </w:rPr>
      </w:pPr>
    </w:p>
    <w:p w14:paraId="5F4BA101" w14:textId="77777777" w:rsidR="00576339" w:rsidRDefault="00E26B65">
      <w:pPr>
        <w:jc w:val="center"/>
        <w:rPr>
          <w:rtl/>
        </w:rPr>
      </w:pPr>
      <w:r w:rsidRPr="00E26B65">
        <w:rPr>
          <w:b/>
          <w:bCs/>
          <w:color w:val="FFFFFF"/>
          <w:sz w:val="2"/>
          <w:szCs w:val="2"/>
          <w:rtl/>
        </w:rPr>
        <w:t>5129371</w:t>
      </w:r>
      <w:r>
        <w:rPr>
          <w:b/>
          <w:bCs/>
          <w:rtl/>
        </w:rPr>
        <w:t xml:space="preserve">ניתנה והודעה היום כ"א חשוון תשע"ו, 03/11/2015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76339" w14:paraId="5E22676D" w14:textId="77777777">
        <w:trPr>
          <w:trHeight w:val="316"/>
          <w:jc w:val="right"/>
        </w:trPr>
        <w:tc>
          <w:tcPr>
            <w:tcW w:w="3936" w:type="dxa"/>
            <w:shd w:val="clear" w:color="auto" w:fill="auto"/>
          </w:tcPr>
          <w:p w14:paraId="736C940D" w14:textId="77777777" w:rsidR="00576339" w:rsidRPr="00E26B65" w:rsidRDefault="00E26B65">
            <w:pPr>
              <w:jc w:val="center"/>
              <w:rPr>
                <w:rFonts w:ascii="Times New Roman" w:eastAsia="Times New Roman" w:hAnsi="Times New Roman" w:cs="Times New Roman"/>
                <w:color w:val="FFFFFF"/>
                <w:sz w:val="2"/>
                <w:szCs w:val="2"/>
              </w:rPr>
            </w:pPr>
            <w:r w:rsidRPr="00E26B65">
              <w:rPr>
                <w:rFonts w:ascii="Times New Roman" w:eastAsia="Times New Roman" w:hAnsi="Times New Roman" w:cs="Times New Roman"/>
                <w:color w:val="FFFFFF"/>
                <w:sz w:val="2"/>
                <w:szCs w:val="2"/>
                <w:rtl/>
              </w:rPr>
              <w:t>54678313</w:t>
            </w:r>
          </w:p>
          <w:p w14:paraId="2778BE1F" w14:textId="77777777" w:rsidR="00576339" w:rsidRDefault="00576339">
            <w:pPr>
              <w:jc w:val="center"/>
              <w:rPr>
                <w:rFonts w:ascii="Times New Roman" w:eastAsia="Times New Roman" w:hAnsi="Times New Roman" w:cs="Times New Roman"/>
                <w:rtl/>
              </w:rPr>
            </w:pPr>
          </w:p>
        </w:tc>
      </w:tr>
      <w:tr w:rsidR="00576339" w14:paraId="76AD7395" w14:textId="77777777">
        <w:trPr>
          <w:trHeight w:val="361"/>
          <w:jc w:val="right"/>
        </w:trPr>
        <w:tc>
          <w:tcPr>
            <w:tcW w:w="3936" w:type="dxa"/>
            <w:shd w:val="clear" w:color="auto" w:fill="auto"/>
          </w:tcPr>
          <w:p w14:paraId="68E6BB54" w14:textId="77777777" w:rsidR="00576339" w:rsidRDefault="00E26B65">
            <w:pPr>
              <w:jc w:val="center"/>
              <w:rPr>
                <w:rFonts w:ascii="Times New Roman" w:eastAsia="Times New Roman" w:hAnsi="Times New Roman"/>
                <w:b/>
                <w:bCs/>
                <w:rtl/>
              </w:rPr>
            </w:pPr>
            <w:r>
              <w:rPr>
                <w:rFonts w:ascii="Times New Roman" w:eastAsia="Times New Roman" w:hAnsi="Times New Roman" w:hint="cs"/>
                <w:b/>
                <w:bCs/>
                <w:rtl/>
              </w:rPr>
              <w:t>עמית פרייז</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773814CF" w14:textId="77777777" w:rsidR="00576339" w:rsidRDefault="00E26B65">
      <w:pPr>
        <w:jc w:val="both"/>
        <w:rPr>
          <w:rtl/>
        </w:rPr>
      </w:pPr>
      <w:r>
        <w:rPr>
          <w:rtl/>
        </w:rPr>
        <w:t xml:space="preserve"> </w:t>
      </w:r>
    </w:p>
    <w:p w14:paraId="3D8348CD" w14:textId="77777777" w:rsidR="00576339" w:rsidRDefault="00E26B65">
      <w:r>
        <w:rPr>
          <w:rtl/>
        </w:rPr>
        <w:t>הוקלד</w:t>
      </w:r>
      <w:r>
        <w:t xml:space="preserve"> </w:t>
      </w:r>
      <w:r>
        <w:rPr>
          <w:rtl/>
        </w:rPr>
        <w:t>על</w:t>
      </w:r>
      <w:r>
        <w:t xml:space="preserve"> </w:t>
      </w:r>
      <w:r>
        <w:rPr>
          <w:rtl/>
        </w:rPr>
        <w:t>ידי</w:t>
      </w:r>
      <w:r>
        <w:t xml:space="preserve"> </w:t>
      </w:r>
      <w:r>
        <w:rPr>
          <w:rtl/>
        </w:rPr>
        <w:t>אביגיל</w:t>
      </w:r>
      <w:r>
        <w:t xml:space="preserve"> </w:t>
      </w:r>
      <w:r>
        <w:rPr>
          <w:rtl/>
        </w:rPr>
        <w:t>כהן</w:t>
      </w:r>
    </w:p>
    <w:p w14:paraId="708CC732" w14:textId="77777777" w:rsidR="00E26B65" w:rsidRPr="00E26B65" w:rsidRDefault="00E26B65" w:rsidP="00E26B65">
      <w:pPr>
        <w:keepNext/>
        <w:rPr>
          <w:color w:val="000000"/>
          <w:sz w:val="22"/>
          <w:szCs w:val="22"/>
          <w:rtl/>
        </w:rPr>
      </w:pPr>
    </w:p>
    <w:p w14:paraId="63C2CA7D" w14:textId="77777777" w:rsidR="00E26B65" w:rsidRPr="00E26B65" w:rsidRDefault="00E26B65" w:rsidP="00E26B65">
      <w:pPr>
        <w:keepNext/>
        <w:rPr>
          <w:color w:val="000000"/>
          <w:sz w:val="22"/>
          <w:szCs w:val="22"/>
          <w:rtl/>
        </w:rPr>
      </w:pPr>
      <w:r w:rsidRPr="00E26B65">
        <w:rPr>
          <w:color w:val="000000"/>
          <w:sz w:val="22"/>
          <w:szCs w:val="22"/>
          <w:rtl/>
        </w:rPr>
        <w:t>עמית פרייז 54678313</w:t>
      </w:r>
    </w:p>
    <w:p w14:paraId="42DF0B08" w14:textId="77777777" w:rsidR="00E26B65" w:rsidRDefault="00E26B65" w:rsidP="00E26B65">
      <w:r w:rsidRPr="00E26B65">
        <w:rPr>
          <w:color w:val="000000"/>
          <w:rtl/>
        </w:rPr>
        <w:t>נוסח מסמך זה כפוף לשינויי ניסוח ועריכה</w:t>
      </w:r>
    </w:p>
    <w:p w14:paraId="01B701C9" w14:textId="77777777" w:rsidR="00E26B65" w:rsidRDefault="00E26B65" w:rsidP="00E26B65">
      <w:pPr>
        <w:rPr>
          <w:rtl/>
        </w:rPr>
      </w:pPr>
    </w:p>
    <w:p w14:paraId="64CC2142" w14:textId="77777777" w:rsidR="00E26B65" w:rsidRDefault="00E26B65" w:rsidP="00E26B6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0624C563" w14:textId="77777777" w:rsidR="00576339" w:rsidRPr="00E26B65" w:rsidRDefault="00576339" w:rsidP="00E26B65">
      <w:pPr>
        <w:jc w:val="center"/>
        <w:rPr>
          <w:color w:val="0000FF"/>
          <w:u w:val="single"/>
        </w:rPr>
      </w:pPr>
    </w:p>
    <w:sectPr w:rsidR="00576339" w:rsidRPr="00E26B65" w:rsidSect="00E26B65">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B0895" w14:textId="77777777" w:rsidR="002E74EC" w:rsidRDefault="002E74EC">
      <w:r>
        <w:separator/>
      </w:r>
    </w:p>
  </w:endnote>
  <w:endnote w:type="continuationSeparator" w:id="0">
    <w:p w14:paraId="7CB0DAF4" w14:textId="77777777" w:rsidR="002E74EC" w:rsidRDefault="002E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BA2D4" w14:textId="77777777" w:rsidR="002E74EC" w:rsidRDefault="002E74EC" w:rsidP="00E26B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28F249E0" w14:textId="77777777" w:rsidR="002E74EC" w:rsidRPr="00E26B65" w:rsidRDefault="002E74EC" w:rsidP="00E26B65">
    <w:pPr>
      <w:pStyle w:val="a5"/>
      <w:pBdr>
        <w:top w:val="single" w:sz="4" w:space="1" w:color="auto"/>
        <w:between w:val="single" w:sz="4" w:space="0" w:color="auto"/>
      </w:pBdr>
      <w:spacing w:after="60"/>
      <w:jc w:val="center"/>
      <w:rPr>
        <w:rFonts w:ascii="FrankRuehl" w:hAnsi="FrankRuehl" w:cs="FrankRuehl"/>
        <w:color w:val="000000"/>
      </w:rPr>
    </w:pPr>
    <w:r w:rsidRPr="00E26B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EC660" w14:textId="77777777" w:rsidR="002E74EC" w:rsidRDefault="002E74EC" w:rsidP="00E26B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72B0">
      <w:rPr>
        <w:rFonts w:ascii="FrankRuehl" w:hAnsi="FrankRuehl" w:cs="FrankRuehl"/>
        <w:noProof/>
        <w:rtl/>
      </w:rPr>
      <w:t>1</w:t>
    </w:r>
    <w:r>
      <w:rPr>
        <w:rFonts w:ascii="FrankRuehl" w:hAnsi="FrankRuehl" w:cs="FrankRuehl"/>
        <w:rtl/>
      </w:rPr>
      <w:fldChar w:fldCharType="end"/>
    </w:r>
  </w:p>
  <w:p w14:paraId="5DED40E4" w14:textId="77777777" w:rsidR="002E74EC" w:rsidRPr="00E26B65" w:rsidRDefault="002E74EC" w:rsidP="00E26B65">
    <w:pPr>
      <w:pStyle w:val="a5"/>
      <w:pBdr>
        <w:top w:val="single" w:sz="4" w:space="1" w:color="auto"/>
        <w:between w:val="single" w:sz="4" w:space="0" w:color="auto"/>
      </w:pBdr>
      <w:spacing w:after="60"/>
      <w:jc w:val="center"/>
      <w:rPr>
        <w:rFonts w:ascii="FrankRuehl" w:hAnsi="FrankRuehl" w:cs="FrankRuehl"/>
        <w:color w:val="000000"/>
      </w:rPr>
    </w:pPr>
    <w:r w:rsidRPr="00E26B65">
      <w:rPr>
        <w:rFonts w:ascii="FrankRuehl" w:hAnsi="FrankRuehl" w:cs="FrankRuehl"/>
        <w:color w:val="000000"/>
      </w:rPr>
      <w:pict w14:anchorId="0E3FC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152D9" w14:textId="77777777" w:rsidR="002E74EC" w:rsidRDefault="002E74EC">
      <w:r>
        <w:separator/>
      </w:r>
    </w:p>
  </w:footnote>
  <w:footnote w:type="continuationSeparator" w:id="0">
    <w:p w14:paraId="6135B79A" w14:textId="77777777" w:rsidR="002E74EC" w:rsidRDefault="002E7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4CC5B" w14:textId="77777777" w:rsidR="002E74EC" w:rsidRPr="00E26B65" w:rsidRDefault="002E74EC" w:rsidP="00E26B6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34314-10-14</w:t>
    </w:r>
    <w:r>
      <w:rPr>
        <w:color w:val="000000"/>
        <w:sz w:val="22"/>
        <w:szCs w:val="22"/>
        <w:rtl/>
      </w:rPr>
      <w:tab/>
      <w:t xml:space="preserve"> מדינת ישראל נ' איתמר עדוי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17E54" w14:textId="77777777" w:rsidR="002E74EC" w:rsidRPr="00E26B65" w:rsidRDefault="002E74EC" w:rsidP="00E26B6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34314-10-14</w:t>
    </w:r>
    <w:r>
      <w:rPr>
        <w:color w:val="000000"/>
        <w:sz w:val="22"/>
        <w:szCs w:val="22"/>
        <w:rtl/>
      </w:rPr>
      <w:tab/>
      <w:t xml:space="preserve"> מדינת ישראל נ' איתמר עדוי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8871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6339"/>
    <w:rsid w:val="00012A1A"/>
    <w:rsid w:val="00183A5F"/>
    <w:rsid w:val="002D72B0"/>
    <w:rsid w:val="002E74EC"/>
    <w:rsid w:val="005335D8"/>
    <w:rsid w:val="00576339"/>
    <w:rsid w:val="005B4E21"/>
    <w:rsid w:val="00A11AEF"/>
    <w:rsid w:val="00E26B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30AA9F"/>
  <w15:chartTrackingRefBased/>
  <w15:docId w15:val="{E5AE5A2C-9BF1-4848-8CB4-E1B40E05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33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76339"/>
  </w:style>
  <w:style w:type="paragraph" w:styleId="a4">
    <w:name w:val="header"/>
    <w:basedOn w:val="a"/>
    <w:rsid w:val="00576339"/>
    <w:pPr>
      <w:tabs>
        <w:tab w:val="center" w:pos="4153"/>
        <w:tab w:val="right" w:pos="8306"/>
      </w:tabs>
    </w:pPr>
  </w:style>
  <w:style w:type="paragraph" w:styleId="a5">
    <w:name w:val="footer"/>
    <w:basedOn w:val="a"/>
    <w:rsid w:val="00576339"/>
    <w:pPr>
      <w:tabs>
        <w:tab w:val="center" w:pos="4153"/>
        <w:tab w:val="right" w:pos="8306"/>
      </w:tabs>
    </w:pPr>
  </w:style>
  <w:style w:type="character" w:styleId="a6">
    <w:name w:val="page number"/>
    <w:basedOn w:val="a0"/>
    <w:rsid w:val="00576339"/>
  </w:style>
  <w:style w:type="character" w:customStyle="1" w:styleId="TimesNewRomanTimesNewRoman">
    <w:name w:val="סגנון (לטיני) Times New Roman (עברית ושפות אחרות) Times New Roman..."/>
    <w:rsid w:val="0057633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76339"/>
    <w:rPr>
      <w:rFonts w:ascii="Times New Roman" w:eastAsia="Times New Roman" w:hAnsi="Times New Roman"/>
      <w:b/>
      <w:bCs/>
      <w:u w:val="single"/>
    </w:rPr>
  </w:style>
  <w:style w:type="character" w:styleId="Hyperlink">
    <w:name w:val="Hyperlink"/>
    <w:basedOn w:val="a0"/>
    <w:rsid w:val="00E26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18095123"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3313</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3539060</vt:i4>
      </vt:variant>
      <vt:variant>
        <vt:i4>6</vt:i4>
      </vt:variant>
      <vt:variant>
        <vt:i4>0</vt:i4>
      </vt:variant>
      <vt:variant>
        <vt:i4>5</vt:i4>
      </vt:variant>
      <vt:variant>
        <vt:lpwstr>http://www.nevo.co.il/case/18095123</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34314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איתמר עדוי</vt:lpwstr>
  </property>
  <property fmtid="{D5CDD505-2E9C-101B-9397-08002B2CF9AE}" pid="10" name="LAWYER">
    <vt:lpwstr>אריאל אודרברג ליאת שפיר;ו גיא גור [ הסניגוריה הציבורית]</vt:lpwstr>
  </property>
  <property fmtid="{D5CDD505-2E9C-101B-9397-08002B2CF9AE}" pid="11" name="JUDGE">
    <vt:lpwstr>עמית פרייז</vt:lpwstr>
  </property>
  <property fmtid="{D5CDD505-2E9C-101B-9397-08002B2CF9AE}" pid="12" name="CITY">
    <vt:lpwstr>כ"ס</vt:lpwstr>
  </property>
  <property fmtid="{D5CDD505-2E9C-101B-9397-08002B2CF9AE}" pid="13" name="DATE">
    <vt:lpwstr>20151103</vt:lpwstr>
  </property>
  <property fmtid="{D5CDD505-2E9C-101B-9397-08002B2CF9AE}" pid="14" name="TYPE_N_DATE">
    <vt:lpwstr>38020151103</vt:lpwstr>
  </property>
  <property fmtid="{D5CDD505-2E9C-101B-9397-08002B2CF9AE}" pid="15" name="CASESLISTTMP1">
    <vt:lpwstr>18095123</vt:lpwstr>
  </property>
  <property fmtid="{D5CDD505-2E9C-101B-9397-08002B2CF9AE}" pid="16" name="LAWLISTTMP1">
    <vt:lpwstr>4216</vt:lpwstr>
  </property>
  <property fmtid="{D5CDD505-2E9C-101B-9397-08002B2CF9AE}" pid="17" name="WORDNUMPAGES">
    <vt:lpwstr>2</vt:lpwstr>
  </property>
  <property fmtid="{D5CDD505-2E9C-101B-9397-08002B2CF9AE}" pid="18" name="TYPE_ABS_DATE">
    <vt:lpwstr>380020151103</vt:lpwstr>
  </property>
  <property fmtid="{D5CDD505-2E9C-101B-9397-08002B2CF9AE}" pid="19" name="ISABSTRACT">
    <vt:lpwstr>Y</vt:lpwstr>
  </property>
</Properties>
</file>