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659A0" w:rsidRPr="00446A87" w14:paraId="2AB67E6E" w14:textId="77777777">
        <w:trPr>
          <w:trHeight w:hRule="exact" w:val="418"/>
          <w:jc w:val="center"/>
        </w:trPr>
        <w:tc>
          <w:tcPr>
            <w:tcW w:w="8720" w:type="dxa"/>
            <w:gridSpan w:val="3"/>
          </w:tcPr>
          <w:p w14:paraId="41245AA7" w14:textId="77777777" w:rsidR="004659A0" w:rsidRPr="00446A87" w:rsidRDefault="00446A87">
            <w:pPr>
              <w:pStyle w:val="a4"/>
              <w:tabs>
                <w:tab w:val="clear" w:pos="8306"/>
              </w:tabs>
              <w:jc w:val="center"/>
              <w:rPr>
                <w:rFonts w:ascii="Tahoma" w:hAnsi="Tahoma" w:cs="Tahoma"/>
                <w:b/>
                <w:bCs/>
                <w:color w:val="000080"/>
                <w:sz w:val="20"/>
                <w:szCs w:val="20"/>
                <w:rtl/>
              </w:rPr>
            </w:pPr>
            <w:bookmarkStart w:id="0" w:name="LastJudge"/>
            <w:r w:rsidRPr="00446A87">
              <w:rPr>
                <w:rFonts w:ascii="Tahoma" w:hAnsi="Tahoma" w:cs="Tahoma"/>
                <w:b/>
                <w:bCs/>
                <w:color w:val="000080"/>
                <w:sz w:val="20"/>
                <w:szCs w:val="20"/>
                <w:rtl/>
              </w:rPr>
              <w:t>בית משפט השלום בראשון לציון</w:t>
            </w:r>
          </w:p>
        </w:tc>
      </w:tr>
      <w:tr w:rsidR="004659A0" w:rsidRPr="00446A87" w14:paraId="4747046E" w14:textId="77777777">
        <w:trPr>
          <w:trHeight w:val="337"/>
          <w:jc w:val="center"/>
        </w:trPr>
        <w:tc>
          <w:tcPr>
            <w:tcW w:w="6396" w:type="dxa"/>
          </w:tcPr>
          <w:p w14:paraId="361CF98F" w14:textId="77777777" w:rsidR="004659A0" w:rsidRPr="00446A87" w:rsidRDefault="00446A87">
            <w:pPr>
              <w:rPr>
                <w:b/>
                <w:bCs/>
                <w:sz w:val="26"/>
                <w:szCs w:val="26"/>
                <w:rtl/>
              </w:rPr>
            </w:pPr>
            <w:r w:rsidRPr="00446A87">
              <w:rPr>
                <w:b/>
                <w:bCs/>
                <w:sz w:val="26"/>
                <w:szCs w:val="26"/>
                <w:rtl/>
              </w:rPr>
              <w:t>ת"פ</w:t>
            </w:r>
            <w:r w:rsidRPr="00446A87">
              <w:rPr>
                <w:rFonts w:hint="cs"/>
                <w:b/>
                <w:bCs/>
                <w:sz w:val="26"/>
                <w:szCs w:val="26"/>
                <w:rtl/>
              </w:rPr>
              <w:t xml:space="preserve"> </w:t>
            </w:r>
            <w:r w:rsidRPr="00446A87">
              <w:rPr>
                <w:b/>
                <w:bCs/>
                <w:sz w:val="26"/>
                <w:szCs w:val="26"/>
                <w:rtl/>
              </w:rPr>
              <w:t>416-10-14</w:t>
            </w:r>
            <w:r w:rsidRPr="00446A87">
              <w:rPr>
                <w:rFonts w:hint="cs"/>
                <w:b/>
                <w:bCs/>
                <w:sz w:val="26"/>
                <w:szCs w:val="26"/>
                <w:rtl/>
              </w:rPr>
              <w:t xml:space="preserve"> </w:t>
            </w:r>
            <w:r w:rsidRPr="00446A87">
              <w:rPr>
                <w:b/>
                <w:bCs/>
                <w:sz w:val="26"/>
                <w:szCs w:val="26"/>
                <w:rtl/>
              </w:rPr>
              <w:t>מדינת ישראל נ' גבאי(עציר)</w:t>
            </w:r>
          </w:p>
          <w:p w14:paraId="109EB440" w14:textId="77777777" w:rsidR="004659A0" w:rsidRPr="00446A87" w:rsidRDefault="004659A0">
            <w:pPr>
              <w:rPr>
                <w:b/>
                <w:bCs/>
                <w:sz w:val="26"/>
                <w:szCs w:val="26"/>
                <w:rtl/>
              </w:rPr>
            </w:pPr>
          </w:p>
        </w:tc>
        <w:tc>
          <w:tcPr>
            <w:tcW w:w="236" w:type="dxa"/>
          </w:tcPr>
          <w:p w14:paraId="3375B1CD" w14:textId="77777777" w:rsidR="004659A0" w:rsidRPr="00446A87" w:rsidRDefault="004659A0">
            <w:pPr>
              <w:pStyle w:val="a4"/>
              <w:jc w:val="right"/>
              <w:rPr>
                <w:b/>
                <w:bCs/>
                <w:sz w:val="26"/>
                <w:szCs w:val="26"/>
                <w:rtl/>
              </w:rPr>
            </w:pPr>
          </w:p>
        </w:tc>
        <w:tc>
          <w:tcPr>
            <w:tcW w:w="2088" w:type="dxa"/>
          </w:tcPr>
          <w:p w14:paraId="4532C1F1" w14:textId="77777777" w:rsidR="004659A0" w:rsidRPr="00446A87" w:rsidRDefault="00446A87">
            <w:pPr>
              <w:pStyle w:val="a4"/>
              <w:tabs>
                <w:tab w:val="clear" w:pos="4153"/>
              </w:tabs>
              <w:jc w:val="right"/>
              <w:rPr>
                <w:b/>
                <w:bCs/>
                <w:sz w:val="26"/>
                <w:szCs w:val="26"/>
                <w:rtl/>
              </w:rPr>
            </w:pPr>
            <w:r w:rsidRPr="00446A87">
              <w:rPr>
                <w:b/>
                <w:bCs/>
                <w:sz w:val="26"/>
                <w:szCs w:val="26"/>
                <w:rtl/>
              </w:rPr>
              <w:t>14 ינואר 2015</w:t>
            </w:r>
          </w:p>
        </w:tc>
      </w:tr>
    </w:tbl>
    <w:p w14:paraId="0A81CD8D" w14:textId="77777777" w:rsidR="004659A0" w:rsidRPr="00446A87" w:rsidRDefault="004659A0">
      <w:pPr>
        <w:pStyle w:val="a4"/>
        <w:jc w:val="center"/>
        <w:rPr>
          <w:rFonts w:ascii="Tahoma" w:hAnsi="Tahoma" w:cs="Tahoma"/>
          <w:b/>
          <w:bCs/>
          <w:color w:val="000080"/>
          <w:sz w:val="20"/>
          <w:szCs w:val="20"/>
          <w:rtl/>
        </w:rPr>
      </w:pPr>
    </w:p>
    <w:p w14:paraId="30B748AE" w14:textId="77777777" w:rsidR="004659A0" w:rsidRPr="00446A87" w:rsidRDefault="004659A0">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4659A0" w:rsidRPr="00446A87" w14:paraId="10059A84" w14:textId="77777777">
        <w:trPr>
          <w:trHeight w:val="337"/>
          <w:jc w:val="center"/>
        </w:trPr>
        <w:tc>
          <w:tcPr>
            <w:tcW w:w="1592" w:type="dxa"/>
          </w:tcPr>
          <w:p w14:paraId="026C065E" w14:textId="77777777" w:rsidR="004659A0" w:rsidRPr="00446A87" w:rsidRDefault="00446A87">
            <w:pPr>
              <w:pStyle w:val="a4"/>
              <w:bidi w:val="0"/>
              <w:spacing w:line="360" w:lineRule="auto"/>
              <w:jc w:val="both"/>
              <w:rPr>
                <w:rFonts w:ascii="Times New Roman" w:hAnsi="Times New Roman"/>
              </w:rPr>
            </w:pPr>
            <w:r w:rsidRPr="00446A87">
              <w:rPr>
                <w:rFonts w:ascii="Times New Roman" w:hAnsi="Times New Roman"/>
              </w:rPr>
              <w:t xml:space="preserve">  </w:t>
            </w:r>
          </w:p>
        </w:tc>
        <w:tc>
          <w:tcPr>
            <w:tcW w:w="7128" w:type="dxa"/>
          </w:tcPr>
          <w:p w14:paraId="053CFEBF" w14:textId="77777777" w:rsidR="004659A0" w:rsidRPr="00446A87" w:rsidRDefault="00446A87">
            <w:pPr>
              <w:pStyle w:val="a4"/>
              <w:jc w:val="right"/>
              <w:rPr>
                <w:b/>
                <w:bCs/>
                <w:sz w:val="26"/>
                <w:szCs w:val="26"/>
                <w:rtl/>
              </w:rPr>
            </w:pPr>
            <w:r w:rsidRPr="00446A87">
              <w:rPr>
                <w:rFonts w:hint="cs"/>
                <w:rtl/>
              </w:rPr>
              <w:t xml:space="preserve"> 500-10-14</w:t>
            </w:r>
          </w:p>
        </w:tc>
      </w:tr>
    </w:tbl>
    <w:p w14:paraId="42057C1B" w14:textId="77777777" w:rsidR="004659A0" w:rsidRPr="00446A87" w:rsidRDefault="004659A0">
      <w:pPr>
        <w:spacing w:line="360" w:lineRule="auto"/>
        <w:jc w:val="both"/>
        <w:rPr>
          <w:rFonts w:ascii="Arial" w:hAnsi="Arial"/>
          <w:rtl/>
        </w:rPr>
      </w:pPr>
    </w:p>
    <w:p w14:paraId="6776F14F" w14:textId="77777777" w:rsidR="004659A0" w:rsidRPr="00446A87" w:rsidRDefault="004659A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659A0" w:rsidRPr="00446A87" w14:paraId="7B3E69A2" w14:textId="77777777">
        <w:trPr>
          <w:gridAfter w:val="1"/>
          <w:wAfter w:w="55" w:type="dxa"/>
        </w:trPr>
        <w:tc>
          <w:tcPr>
            <w:tcW w:w="8719" w:type="dxa"/>
            <w:gridSpan w:val="2"/>
          </w:tcPr>
          <w:p w14:paraId="59144F98" w14:textId="77777777" w:rsidR="004659A0" w:rsidRPr="00446A87" w:rsidRDefault="00446A87">
            <w:pPr>
              <w:spacing w:line="360" w:lineRule="auto"/>
              <w:rPr>
                <w:rFonts w:ascii="Times New Roman" w:eastAsia="Times New Roman" w:hAnsi="Times New Roman"/>
                <w:b/>
                <w:bCs/>
                <w:sz w:val="26"/>
                <w:szCs w:val="26"/>
                <w:rtl/>
              </w:rPr>
            </w:pPr>
            <w:r w:rsidRPr="00446A87">
              <w:rPr>
                <w:rFonts w:ascii="Times New Roman" w:eastAsia="Times New Roman" w:hAnsi="Times New Roman" w:hint="cs"/>
                <w:b/>
                <w:bCs/>
                <w:sz w:val="26"/>
                <w:szCs w:val="26"/>
                <w:rtl/>
              </w:rPr>
              <w:t>בפני כב' ה</w:t>
            </w:r>
            <w:r w:rsidRPr="00446A87">
              <w:rPr>
                <w:rFonts w:ascii="Times New Roman" w:eastAsia="Times New Roman" w:hAnsi="Times New Roman" w:hint="cs"/>
                <w:rtl/>
              </w:rPr>
              <w:t>שופטת שירלי דקל נוה</w:t>
            </w:r>
            <w:r w:rsidRPr="00446A87">
              <w:rPr>
                <w:rStyle w:val="TimesNewRomanTimesNewRoman"/>
                <w:rFonts w:eastAsia="Times New Roman"/>
                <w:rtl/>
              </w:rPr>
              <w:t xml:space="preserve"> </w:t>
            </w:r>
          </w:p>
        </w:tc>
      </w:tr>
      <w:tr w:rsidR="004659A0" w:rsidRPr="00446A87" w14:paraId="14E81600" w14:textId="77777777">
        <w:tc>
          <w:tcPr>
            <w:tcW w:w="2880" w:type="dxa"/>
          </w:tcPr>
          <w:p w14:paraId="24676FE1" w14:textId="77777777" w:rsidR="004659A0" w:rsidRPr="00446A87" w:rsidRDefault="00446A87">
            <w:pPr>
              <w:ind w:left="26"/>
              <w:rPr>
                <w:rFonts w:ascii="Times New Roman" w:eastAsia="Times New Roman" w:hAnsi="Times New Roman"/>
                <w:b/>
                <w:bCs/>
                <w:sz w:val="26"/>
                <w:szCs w:val="26"/>
                <w:rtl/>
              </w:rPr>
            </w:pPr>
            <w:bookmarkStart w:id="1" w:name="FirstAppellant"/>
            <w:r w:rsidRPr="00446A87">
              <w:rPr>
                <w:rFonts w:ascii="Times New Roman" w:eastAsia="Times New Roman" w:hAnsi="Times New Roman" w:hint="cs"/>
                <w:b/>
                <w:bCs/>
                <w:sz w:val="26"/>
                <w:szCs w:val="26"/>
                <w:rtl/>
              </w:rPr>
              <w:t>ה</w:t>
            </w:r>
            <w:r w:rsidRPr="00446A87">
              <w:rPr>
                <w:rFonts w:ascii="Times New Roman" w:eastAsia="Times New Roman" w:hAnsi="Times New Roman" w:hint="cs"/>
                <w:rtl/>
              </w:rPr>
              <w:t>מאשימה</w:t>
            </w:r>
          </w:p>
        </w:tc>
        <w:tc>
          <w:tcPr>
            <w:tcW w:w="5922" w:type="dxa"/>
            <w:gridSpan w:val="2"/>
          </w:tcPr>
          <w:p w14:paraId="2F3BC050" w14:textId="77777777" w:rsidR="004659A0" w:rsidRPr="00446A87" w:rsidRDefault="00446A87">
            <w:pPr>
              <w:rPr>
                <w:rFonts w:ascii="Times New Roman" w:eastAsia="Times New Roman" w:hAnsi="Times New Roman"/>
                <w:b/>
                <w:bCs/>
                <w:sz w:val="26"/>
                <w:szCs w:val="26"/>
                <w:rtl/>
              </w:rPr>
            </w:pPr>
            <w:r w:rsidRPr="00446A87">
              <w:rPr>
                <w:rFonts w:ascii="Times New Roman" w:eastAsia="Times New Roman" w:hAnsi="Times New Roman" w:hint="cs"/>
                <w:rtl/>
              </w:rPr>
              <w:t>מדינת ישראל</w:t>
            </w:r>
          </w:p>
          <w:p w14:paraId="224D9209" w14:textId="77777777" w:rsidR="004659A0" w:rsidRPr="00446A87" w:rsidRDefault="004659A0">
            <w:pPr>
              <w:rPr>
                <w:rFonts w:ascii="Times New Roman" w:eastAsia="Times New Roman" w:hAnsi="Times New Roman"/>
                <w:b/>
                <w:bCs/>
                <w:sz w:val="26"/>
                <w:szCs w:val="26"/>
                <w:rtl/>
              </w:rPr>
            </w:pPr>
          </w:p>
        </w:tc>
      </w:tr>
      <w:bookmarkEnd w:id="1"/>
      <w:tr w:rsidR="004659A0" w:rsidRPr="00446A87" w14:paraId="22ECC34E" w14:textId="77777777">
        <w:tc>
          <w:tcPr>
            <w:tcW w:w="8802" w:type="dxa"/>
            <w:gridSpan w:val="3"/>
          </w:tcPr>
          <w:p w14:paraId="26A0B05B" w14:textId="77777777" w:rsidR="004659A0" w:rsidRPr="00446A87" w:rsidRDefault="00446A87">
            <w:pPr>
              <w:jc w:val="center"/>
              <w:rPr>
                <w:rFonts w:ascii="Arial" w:eastAsia="Times New Roman" w:hAnsi="Arial"/>
                <w:b/>
                <w:bCs/>
                <w:sz w:val="26"/>
                <w:szCs w:val="26"/>
                <w:rtl/>
              </w:rPr>
            </w:pPr>
            <w:r w:rsidRPr="00446A87">
              <w:rPr>
                <w:rFonts w:ascii="Arial" w:eastAsia="Times New Roman" w:hAnsi="Arial"/>
                <w:b/>
                <w:bCs/>
                <w:sz w:val="26"/>
                <w:szCs w:val="26"/>
                <w:rtl/>
              </w:rPr>
              <w:t>נגד</w:t>
            </w:r>
          </w:p>
          <w:p w14:paraId="7D9A48EE" w14:textId="77777777" w:rsidR="004659A0" w:rsidRPr="00446A87" w:rsidRDefault="004659A0">
            <w:pPr>
              <w:jc w:val="center"/>
              <w:rPr>
                <w:rFonts w:ascii="Arial" w:eastAsia="Times New Roman" w:hAnsi="Arial"/>
                <w:b/>
                <w:bCs/>
                <w:sz w:val="26"/>
                <w:szCs w:val="26"/>
              </w:rPr>
            </w:pPr>
          </w:p>
        </w:tc>
      </w:tr>
      <w:tr w:rsidR="004659A0" w:rsidRPr="00446A87" w14:paraId="3E809AFD" w14:textId="77777777">
        <w:tc>
          <w:tcPr>
            <w:tcW w:w="2880" w:type="dxa"/>
          </w:tcPr>
          <w:p w14:paraId="700D5017" w14:textId="77777777" w:rsidR="004659A0" w:rsidRPr="00446A87" w:rsidRDefault="00446A87">
            <w:pPr>
              <w:ind w:left="26"/>
              <w:rPr>
                <w:rFonts w:ascii="Times New Roman" w:eastAsia="Times New Roman" w:hAnsi="Times New Roman"/>
                <w:b/>
                <w:bCs/>
                <w:sz w:val="26"/>
                <w:szCs w:val="26"/>
                <w:rtl/>
              </w:rPr>
            </w:pPr>
            <w:r w:rsidRPr="00446A87">
              <w:rPr>
                <w:rFonts w:ascii="Times New Roman" w:eastAsia="Times New Roman" w:hAnsi="Times New Roman" w:hint="cs"/>
                <w:b/>
                <w:bCs/>
                <w:sz w:val="26"/>
                <w:szCs w:val="26"/>
                <w:rtl/>
              </w:rPr>
              <w:t>ה</w:t>
            </w:r>
            <w:r w:rsidRPr="00446A87">
              <w:rPr>
                <w:rFonts w:ascii="Times New Roman" w:eastAsia="Times New Roman" w:hAnsi="Times New Roman" w:hint="cs"/>
                <w:rtl/>
              </w:rPr>
              <w:t>נאשם</w:t>
            </w:r>
          </w:p>
        </w:tc>
        <w:tc>
          <w:tcPr>
            <w:tcW w:w="5922" w:type="dxa"/>
            <w:gridSpan w:val="2"/>
          </w:tcPr>
          <w:p w14:paraId="49C66A81" w14:textId="77777777" w:rsidR="004659A0" w:rsidRPr="00446A87" w:rsidRDefault="00446A87">
            <w:pPr>
              <w:rPr>
                <w:rFonts w:ascii="Times New Roman" w:eastAsia="Times New Roman" w:hAnsi="Times New Roman"/>
                <w:b/>
                <w:bCs/>
                <w:sz w:val="26"/>
                <w:szCs w:val="26"/>
                <w:rtl/>
              </w:rPr>
            </w:pPr>
            <w:r w:rsidRPr="00446A87">
              <w:rPr>
                <w:rFonts w:ascii="Times New Roman" w:eastAsia="Times New Roman" w:hAnsi="Times New Roman" w:hint="cs"/>
                <w:rtl/>
              </w:rPr>
              <w:t>ליאור גבאי (עציר)</w:t>
            </w:r>
          </w:p>
          <w:p w14:paraId="5BF0C348" w14:textId="77777777" w:rsidR="004659A0" w:rsidRPr="00446A87" w:rsidRDefault="004659A0">
            <w:pPr>
              <w:rPr>
                <w:rFonts w:ascii="Times New Roman" w:eastAsia="Times New Roman" w:hAnsi="Times New Roman"/>
                <w:b/>
                <w:bCs/>
                <w:sz w:val="26"/>
                <w:szCs w:val="26"/>
                <w:rtl/>
              </w:rPr>
            </w:pPr>
          </w:p>
        </w:tc>
      </w:tr>
    </w:tbl>
    <w:p w14:paraId="66C6C316" w14:textId="77777777" w:rsidR="004659A0" w:rsidRPr="00446A87" w:rsidRDefault="00446A87">
      <w:pPr>
        <w:spacing w:line="360" w:lineRule="auto"/>
        <w:jc w:val="both"/>
        <w:rPr>
          <w:sz w:val="6"/>
          <w:szCs w:val="6"/>
          <w:rtl/>
        </w:rPr>
      </w:pPr>
      <w:r w:rsidRPr="00446A87">
        <w:rPr>
          <w:sz w:val="6"/>
          <w:szCs w:val="6"/>
          <w:rtl/>
        </w:rPr>
        <w:t>&lt;#1#&gt;</w:t>
      </w:r>
    </w:p>
    <w:p w14:paraId="72370166" w14:textId="77777777" w:rsidR="004659A0" w:rsidRPr="00446A87" w:rsidRDefault="00446A87">
      <w:pPr>
        <w:pStyle w:val="12"/>
        <w:rPr>
          <w:u w:val="none"/>
          <w:rtl/>
        </w:rPr>
      </w:pPr>
      <w:r w:rsidRPr="00446A87">
        <w:rPr>
          <w:rFonts w:hint="cs"/>
          <w:u w:val="none"/>
          <w:rtl/>
        </w:rPr>
        <w:t>נוכחים:</w:t>
      </w:r>
    </w:p>
    <w:p w14:paraId="433DA129" w14:textId="77777777" w:rsidR="004659A0" w:rsidRPr="00446A87" w:rsidRDefault="00446A87">
      <w:pPr>
        <w:pStyle w:val="12"/>
        <w:rPr>
          <w:b w:val="0"/>
          <w:bCs w:val="0"/>
          <w:u w:val="none"/>
          <w:rtl/>
        </w:rPr>
      </w:pPr>
      <w:r w:rsidRPr="00446A87">
        <w:rPr>
          <w:rFonts w:hint="cs"/>
          <w:b w:val="0"/>
          <w:bCs w:val="0"/>
          <w:u w:val="none"/>
          <w:rtl/>
        </w:rPr>
        <w:t xml:space="preserve">באת-כוח המאשימה עו"ד טל שילוני </w:t>
      </w:r>
    </w:p>
    <w:p w14:paraId="2E5C8C85" w14:textId="77777777" w:rsidR="004659A0" w:rsidRPr="00446A87" w:rsidRDefault="00446A87">
      <w:pPr>
        <w:pStyle w:val="12"/>
        <w:rPr>
          <w:b w:val="0"/>
          <w:bCs w:val="0"/>
          <w:u w:val="none"/>
          <w:rtl/>
        </w:rPr>
      </w:pPr>
      <w:r w:rsidRPr="00446A87">
        <w:rPr>
          <w:rFonts w:hint="cs"/>
          <w:b w:val="0"/>
          <w:bCs w:val="0"/>
          <w:u w:val="none"/>
          <w:rtl/>
        </w:rPr>
        <w:t xml:space="preserve">הנאשם - הובא ע"י שב"ס </w:t>
      </w:r>
    </w:p>
    <w:p w14:paraId="2F879000" w14:textId="77777777" w:rsidR="004659A0" w:rsidRPr="00446A87" w:rsidRDefault="00446A87">
      <w:pPr>
        <w:pStyle w:val="12"/>
        <w:rPr>
          <w:b w:val="0"/>
          <w:bCs w:val="0"/>
          <w:u w:val="none"/>
          <w:rtl/>
        </w:rPr>
      </w:pPr>
      <w:r w:rsidRPr="00446A87">
        <w:rPr>
          <w:rFonts w:hint="cs"/>
          <w:b w:val="0"/>
          <w:bCs w:val="0"/>
          <w:u w:val="none"/>
          <w:rtl/>
        </w:rPr>
        <w:t xml:space="preserve">בא כוח הנאשם עו"ד ארז צברי </w:t>
      </w:r>
    </w:p>
    <w:p w14:paraId="7EAC26FD" w14:textId="77777777" w:rsidR="004659A0" w:rsidRDefault="00446A87">
      <w:pPr>
        <w:jc w:val="center"/>
        <w:rPr>
          <w:rFonts w:ascii="Arial" w:hAnsi="Arial" w:hint="cs"/>
          <w:b/>
          <w:bCs/>
          <w:sz w:val="28"/>
          <w:szCs w:val="28"/>
          <w:rtl/>
        </w:rPr>
      </w:pPr>
      <w:r w:rsidRPr="00446A87">
        <w:rPr>
          <w:rFonts w:ascii="Arial" w:hAnsi="Arial"/>
          <w:b/>
          <w:color w:val="FF0000"/>
          <w:sz w:val="28"/>
          <w:rtl/>
        </w:rPr>
        <w:t>במסמך זה הושמטו פרוטוקולים</w:t>
      </w:r>
    </w:p>
    <w:p w14:paraId="2D60B3B1" w14:textId="77777777" w:rsidR="005A1F40" w:rsidRDefault="005A1F40">
      <w:pPr>
        <w:jc w:val="center"/>
        <w:rPr>
          <w:rFonts w:ascii="Arial" w:hAnsi="Arial" w:hint="cs"/>
          <w:b/>
          <w:bCs/>
          <w:sz w:val="28"/>
          <w:szCs w:val="28"/>
          <w:rtl/>
        </w:rPr>
      </w:pPr>
    </w:p>
    <w:p w14:paraId="71DA69D6" w14:textId="77777777" w:rsidR="005A1F40" w:rsidRPr="005A1F40" w:rsidRDefault="005A1F40" w:rsidP="005A1F40">
      <w:pPr>
        <w:spacing w:after="120" w:line="240" w:lineRule="exact"/>
        <w:ind w:left="283" w:hanging="283"/>
        <w:jc w:val="both"/>
        <w:rPr>
          <w:rFonts w:ascii="FrankRuehl" w:hAnsi="FrankRuehl" w:cs="FrankRuehl"/>
          <w:rtl/>
        </w:rPr>
      </w:pPr>
    </w:p>
    <w:p w14:paraId="631B1D18" w14:textId="77777777" w:rsidR="005A1F40" w:rsidRPr="005A1F40" w:rsidRDefault="005A1F40" w:rsidP="005A1F40">
      <w:pPr>
        <w:spacing w:after="120" w:line="240" w:lineRule="exact"/>
        <w:ind w:left="283" w:hanging="283"/>
        <w:jc w:val="both"/>
        <w:rPr>
          <w:rFonts w:ascii="FrankRuehl" w:hAnsi="FrankRuehl" w:cs="FrankRuehl"/>
          <w:rtl/>
        </w:rPr>
      </w:pPr>
      <w:r w:rsidRPr="005A1F40">
        <w:rPr>
          <w:rFonts w:ascii="FrankRuehl" w:hAnsi="FrankRuehl" w:cs="FrankRuehl"/>
          <w:rtl/>
        </w:rPr>
        <w:t xml:space="preserve">חקיקה שאוזכרה: </w:t>
      </w:r>
    </w:p>
    <w:p w14:paraId="2238005B" w14:textId="77777777" w:rsidR="005A1F40" w:rsidRPr="005A1F40" w:rsidRDefault="005A1F40" w:rsidP="005A1F40">
      <w:pPr>
        <w:spacing w:after="120" w:line="240" w:lineRule="exact"/>
        <w:ind w:left="283" w:hanging="283"/>
        <w:jc w:val="both"/>
        <w:rPr>
          <w:rFonts w:ascii="FrankRuehl" w:hAnsi="FrankRuehl" w:cs="FrankRuehl"/>
          <w:rtl/>
        </w:rPr>
      </w:pPr>
      <w:hyperlink r:id="rId6" w:history="1">
        <w:r w:rsidRPr="005A1F40">
          <w:rPr>
            <w:rFonts w:ascii="FrankRuehl" w:hAnsi="FrankRuehl" w:cs="FrankRuehl"/>
            <w:color w:val="0000FF"/>
            <w:u w:val="single"/>
            <w:rtl/>
          </w:rPr>
          <w:t>חוק העונשין, תשל"ז-1977</w:t>
        </w:r>
      </w:hyperlink>
      <w:r w:rsidRPr="005A1F40">
        <w:rPr>
          <w:rFonts w:ascii="FrankRuehl" w:hAnsi="FrankRuehl" w:cs="FrankRuehl"/>
          <w:rtl/>
        </w:rPr>
        <w:t xml:space="preserve">: סע'  </w:t>
      </w:r>
      <w:hyperlink r:id="rId7" w:history="1">
        <w:r w:rsidRPr="005A1F40">
          <w:rPr>
            <w:rFonts w:ascii="FrankRuehl" w:hAnsi="FrankRuehl" w:cs="FrankRuehl"/>
            <w:color w:val="0000FF"/>
            <w:u w:val="single"/>
            <w:rtl/>
          </w:rPr>
          <w:t>186(א)</w:t>
        </w:r>
      </w:hyperlink>
      <w:r w:rsidRPr="005A1F40">
        <w:rPr>
          <w:rFonts w:ascii="FrankRuehl" w:hAnsi="FrankRuehl" w:cs="FrankRuehl"/>
          <w:rtl/>
        </w:rPr>
        <w:t xml:space="preserve">, </w:t>
      </w:r>
      <w:hyperlink r:id="rId8" w:history="1">
        <w:r w:rsidRPr="005A1F40">
          <w:rPr>
            <w:rFonts w:ascii="FrankRuehl" w:hAnsi="FrankRuehl" w:cs="FrankRuehl"/>
            <w:color w:val="0000FF"/>
            <w:u w:val="single"/>
            <w:rtl/>
          </w:rPr>
          <w:t>192</w:t>
        </w:r>
      </w:hyperlink>
      <w:r w:rsidRPr="005A1F40">
        <w:rPr>
          <w:rFonts w:ascii="FrankRuehl" w:hAnsi="FrankRuehl" w:cs="FrankRuehl"/>
          <w:rtl/>
        </w:rPr>
        <w:t xml:space="preserve">, </w:t>
      </w:r>
      <w:hyperlink r:id="rId9" w:history="1">
        <w:r w:rsidRPr="005A1F40">
          <w:rPr>
            <w:rFonts w:ascii="FrankRuehl" w:hAnsi="FrankRuehl" w:cs="FrankRuehl"/>
            <w:color w:val="0000FF"/>
            <w:u w:val="single"/>
            <w:rtl/>
          </w:rPr>
          <w:t>244</w:t>
        </w:r>
      </w:hyperlink>
      <w:r w:rsidRPr="005A1F40">
        <w:rPr>
          <w:rFonts w:ascii="FrankRuehl" w:hAnsi="FrankRuehl" w:cs="FrankRuehl"/>
          <w:rtl/>
        </w:rPr>
        <w:t xml:space="preserve">, </w:t>
      </w:r>
      <w:hyperlink r:id="rId10" w:history="1">
        <w:r w:rsidRPr="005A1F40">
          <w:rPr>
            <w:rFonts w:ascii="FrankRuehl" w:hAnsi="FrankRuehl" w:cs="FrankRuehl"/>
            <w:color w:val="0000FF"/>
            <w:u w:val="single"/>
            <w:rtl/>
          </w:rPr>
          <w:t>273</w:t>
        </w:r>
      </w:hyperlink>
      <w:r w:rsidRPr="005A1F40">
        <w:rPr>
          <w:rFonts w:ascii="FrankRuehl" w:hAnsi="FrankRuehl" w:cs="FrankRuehl"/>
          <w:rtl/>
        </w:rPr>
        <w:t xml:space="preserve">, </w:t>
      </w:r>
      <w:hyperlink r:id="rId11" w:history="1">
        <w:r w:rsidRPr="005A1F40">
          <w:rPr>
            <w:rFonts w:ascii="FrankRuehl" w:hAnsi="FrankRuehl" w:cs="FrankRuehl"/>
            <w:color w:val="0000FF"/>
            <w:u w:val="single"/>
            <w:rtl/>
          </w:rPr>
          <w:t>275</w:t>
        </w:r>
      </w:hyperlink>
      <w:r w:rsidRPr="005A1F40">
        <w:rPr>
          <w:rFonts w:ascii="FrankRuehl" w:hAnsi="FrankRuehl" w:cs="FrankRuehl"/>
          <w:rtl/>
        </w:rPr>
        <w:t xml:space="preserve">, </w:t>
      </w:r>
      <w:hyperlink r:id="rId12" w:history="1">
        <w:r w:rsidRPr="005A1F40">
          <w:rPr>
            <w:rFonts w:ascii="FrankRuehl" w:hAnsi="FrankRuehl" w:cs="FrankRuehl"/>
            <w:color w:val="0000FF"/>
            <w:u w:val="single"/>
            <w:rtl/>
          </w:rPr>
          <w:t>288</w:t>
        </w:r>
      </w:hyperlink>
      <w:r w:rsidRPr="005A1F40">
        <w:rPr>
          <w:rFonts w:ascii="FrankRuehl" w:hAnsi="FrankRuehl" w:cs="FrankRuehl"/>
          <w:rtl/>
        </w:rPr>
        <w:t xml:space="preserve">, </w:t>
      </w:r>
      <w:hyperlink r:id="rId13" w:history="1">
        <w:r w:rsidRPr="005A1F40">
          <w:rPr>
            <w:rFonts w:ascii="FrankRuehl" w:hAnsi="FrankRuehl" w:cs="FrankRuehl"/>
            <w:color w:val="0000FF"/>
            <w:u w:val="single"/>
            <w:rtl/>
          </w:rPr>
          <w:t>334</w:t>
        </w:r>
      </w:hyperlink>
      <w:r w:rsidRPr="005A1F40">
        <w:rPr>
          <w:rFonts w:ascii="FrankRuehl" w:hAnsi="FrankRuehl" w:cs="FrankRuehl"/>
          <w:rtl/>
        </w:rPr>
        <w:t xml:space="preserve">, </w:t>
      </w:r>
      <w:hyperlink r:id="rId14" w:history="1">
        <w:r w:rsidRPr="005A1F40">
          <w:rPr>
            <w:rFonts w:ascii="FrankRuehl" w:hAnsi="FrankRuehl" w:cs="FrankRuehl"/>
            <w:color w:val="0000FF"/>
            <w:u w:val="single"/>
            <w:rtl/>
          </w:rPr>
          <w:t>335(א)(1)</w:t>
        </w:r>
      </w:hyperlink>
      <w:r w:rsidRPr="005A1F40">
        <w:rPr>
          <w:rFonts w:ascii="FrankRuehl" w:hAnsi="FrankRuehl" w:cs="FrankRuehl"/>
          <w:rtl/>
        </w:rPr>
        <w:t xml:space="preserve">, </w:t>
      </w:r>
      <w:hyperlink r:id="rId15" w:history="1">
        <w:r w:rsidRPr="005A1F40">
          <w:rPr>
            <w:rFonts w:ascii="FrankRuehl" w:hAnsi="FrankRuehl" w:cs="FrankRuehl"/>
            <w:color w:val="0000FF"/>
            <w:u w:val="single"/>
            <w:rtl/>
          </w:rPr>
          <w:t>379</w:t>
        </w:r>
      </w:hyperlink>
    </w:p>
    <w:p w14:paraId="59726658" w14:textId="77777777" w:rsidR="005A1F40" w:rsidRPr="005A1F40" w:rsidRDefault="005A1F40" w:rsidP="005A1F40">
      <w:pPr>
        <w:spacing w:after="120" w:line="240" w:lineRule="exact"/>
        <w:ind w:left="283" w:hanging="283"/>
        <w:jc w:val="both"/>
        <w:rPr>
          <w:rFonts w:ascii="FrankRuehl" w:hAnsi="FrankRuehl" w:cs="FrankRuehl"/>
          <w:rtl/>
        </w:rPr>
      </w:pPr>
      <w:hyperlink r:id="rId16" w:history="1">
        <w:r w:rsidRPr="005A1F40">
          <w:rPr>
            <w:rFonts w:ascii="FrankRuehl" w:hAnsi="FrankRuehl" w:cs="FrankRuehl"/>
            <w:color w:val="0000FF"/>
            <w:u w:val="single"/>
            <w:rtl/>
          </w:rPr>
          <w:t>פקודת הסמים המסוכנים [נוסח חדש], תשל"ג-1973</w:t>
        </w:r>
      </w:hyperlink>
      <w:r w:rsidRPr="005A1F40">
        <w:rPr>
          <w:rFonts w:ascii="FrankRuehl" w:hAnsi="FrankRuehl" w:cs="FrankRuehl"/>
          <w:rtl/>
        </w:rPr>
        <w:t xml:space="preserve">: סע'  </w:t>
      </w:r>
      <w:hyperlink r:id="rId17" w:history="1">
        <w:r w:rsidRPr="005A1F40">
          <w:rPr>
            <w:rFonts w:ascii="FrankRuehl" w:hAnsi="FrankRuehl" w:cs="FrankRuehl"/>
            <w:color w:val="0000FF"/>
            <w:u w:val="single"/>
            <w:rtl/>
          </w:rPr>
          <w:t>7(א)</w:t>
        </w:r>
      </w:hyperlink>
      <w:r w:rsidRPr="005A1F40">
        <w:rPr>
          <w:rFonts w:ascii="FrankRuehl" w:hAnsi="FrankRuehl" w:cs="FrankRuehl"/>
          <w:rtl/>
        </w:rPr>
        <w:t xml:space="preserve">, </w:t>
      </w:r>
      <w:hyperlink r:id="rId18" w:history="1">
        <w:r w:rsidRPr="005A1F40">
          <w:rPr>
            <w:rFonts w:ascii="FrankRuehl" w:hAnsi="FrankRuehl" w:cs="FrankRuehl"/>
            <w:color w:val="0000FF"/>
            <w:u w:val="single"/>
            <w:rtl/>
          </w:rPr>
          <w:t>(ג)</w:t>
        </w:r>
      </w:hyperlink>
    </w:p>
    <w:p w14:paraId="14CD1C28" w14:textId="77777777" w:rsidR="005A1F40" w:rsidRPr="005A1F40" w:rsidRDefault="005A1F40" w:rsidP="005A1F40">
      <w:pPr>
        <w:spacing w:after="120" w:line="240" w:lineRule="exact"/>
        <w:ind w:left="283" w:hanging="283"/>
        <w:jc w:val="both"/>
        <w:rPr>
          <w:rFonts w:ascii="FrankRuehl" w:hAnsi="FrankRuehl" w:cs="FrankRuehl"/>
          <w:rtl/>
        </w:rPr>
      </w:pPr>
    </w:p>
    <w:p w14:paraId="1BBDEA5F" w14:textId="77777777" w:rsidR="005A1F40" w:rsidRDefault="005A1F40">
      <w:pPr>
        <w:jc w:val="center"/>
        <w:rPr>
          <w:rFonts w:ascii="Arial" w:hAnsi="Arial" w:hint="cs"/>
          <w:b/>
          <w:bCs/>
          <w:sz w:val="28"/>
          <w:szCs w:val="28"/>
          <w:rtl/>
        </w:rPr>
      </w:pPr>
    </w:p>
    <w:p w14:paraId="5FD50F0F" w14:textId="77777777" w:rsidR="005A1F40" w:rsidRPr="00446A87" w:rsidRDefault="005A1F40">
      <w:pPr>
        <w:jc w:val="center"/>
        <w:rPr>
          <w:rFonts w:ascii="Arial" w:hAnsi="Arial" w:hint="cs"/>
          <w:b/>
          <w:bCs/>
          <w:sz w:val="28"/>
          <w:szCs w:val="28"/>
          <w:rtl/>
        </w:rPr>
      </w:pPr>
    </w:p>
    <w:p w14:paraId="0BAF9668" w14:textId="77777777" w:rsidR="004659A0" w:rsidRPr="00446A87" w:rsidRDefault="00446A87">
      <w:pPr>
        <w:jc w:val="center"/>
        <w:rPr>
          <w:rFonts w:ascii="Arial" w:hAnsi="Arial"/>
          <w:b/>
          <w:bCs/>
          <w:sz w:val="28"/>
          <w:szCs w:val="28"/>
          <w:rtl/>
        </w:rPr>
      </w:pPr>
      <w:r w:rsidRPr="00446A87">
        <w:rPr>
          <w:rFonts w:ascii="Arial" w:hAnsi="Arial"/>
          <w:b/>
          <w:bCs/>
          <w:sz w:val="28"/>
          <w:szCs w:val="28"/>
          <w:rtl/>
        </w:rPr>
        <w:t>החלטה והכרעת דין</w:t>
      </w:r>
    </w:p>
    <w:p w14:paraId="6A29D318" w14:textId="77777777" w:rsidR="004659A0" w:rsidRPr="00446A87" w:rsidRDefault="004659A0">
      <w:pPr>
        <w:jc w:val="both"/>
        <w:rPr>
          <w:rtl/>
        </w:rPr>
      </w:pPr>
    </w:p>
    <w:p w14:paraId="61942C37" w14:textId="77777777" w:rsidR="004659A0" w:rsidRPr="00446A87" w:rsidRDefault="00446A87">
      <w:pPr>
        <w:pStyle w:val="a7"/>
        <w:ind w:right="0"/>
        <w:jc w:val="both"/>
        <w:rPr>
          <w:rFonts w:cs="David"/>
          <w:rtl/>
        </w:rPr>
      </w:pPr>
      <w:r w:rsidRPr="00446A87">
        <w:rPr>
          <w:rFonts w:cs="David" w:hint="cs"/>
          <w:rtl/>
        </w:rPr>
        <w:t>אני מתירה את תיקון כתב האישום, ולאור הודאת הנאשם בעובדת כתב האישום המתוקן, אני מרשיעה אותו בעבירות כדקלמן:</w:t>
      </w:r>
    </w:p>
    <w:p w14:paraId="0C71146C" w14:textId="77777777" w:rsidR="004659A0" w:rsidRPr="00446A87" w:rsidRDefault="00446A87">
      <w:pPr>
        <w:pStyle w:val="a7"/>
        <w:ind w:right="0"/>
        <w:jc w:val="both"/>
        <w:rPr>
          <w:rFonts w:cs="David"/>
          <w:rtl/>
        </w:rPr>
      </w:pPr>
      <w:r w:rsidRPr="00446A87">
        <w:rPr>
          <w:rFonts w:cs="David" w:hint="cs"/>
          <w:rtl/>
        </w:rPr>
        <w:t xml:space="preserve">פציעה בנסיבות מחמירות- עבירה לפי </w:t>
      </w:r>
      <w:hyperlink r:id="rId19" w:history="1">
        <w:r w:rsidR="00BC7A45" w:rsidRPr="00BC7A45">
          <w:rPr>
            <w:rFonts w:cs="David"/>
            <w:color w:val="0000FF"/>
            <w:u w:val="single"/>
            <w:rtl/>
          </w:rPr>
          <w:t>סעיף 334</w:t>
        </w:r>
      </w:hyperlink>
      <w:r w:rsidR="00BC7A45">
        <w:rPr>
          <w:rFonts w:cs="David" w:hint="cs"/>
          <w:rtl/>
        </w:rPr>
        <w:t xml:space="preserve"> בנסיבות סעיף </w:t>
      </w:r>
      <w:hyperlink r:id="rId20" w:history="1">
        <w:r w:rsidR="00BC7A45" w:rsidRPr="00BC7A45">
          <w:rPr>
            <w:rFonts w:cs="David"/>
            <w:color w:val="0000FF"/>
            <w:u w:val="single"/>
            <w:rtl/>
          </w:rPr>
          <w:t>335(א)(1)</w:t>
        </w:r>
      </w:hyperlink>
      <w:r w:rsidRPr="00446A87">
        <w:rPr>
          <w:rFonts w:cs="David" w:hint="cs"/>
          <w:rtl/>
        </w:rPr>
        <w:t xml:space="preserve"> ל</w:t>
      </w:r>
      <w:hyperlink r:id="rId21" w:history="1">
        <w:r w:rsidRPr="00446A87">
          <w:rPr>
            <w:rFonts w:cs="David"/>
            <w:color w:val="0000FF"/>
            <w:u w:val="single"/>
            <w:rtl/>
          </w:rPr>
          <w:t>חוק העונשין</w:t>
        </w:r>
      </w:hyperlink>
      <w:r w:rsidRPr="00446A87">
        <w:rPr>
          <w:rFonts w:cs="David" w:hint="cs"/>
          <w:rtl/>
        </w:rPr>
        <w:t xml:space="preserve"> התשל"ז – 1977 (להלן: "</w:t>
      </w:r>
      <w:r w:rsidRPr="00446A87">
        <w:rPr>
          <w:rFonts w:cs="David" w:hint="cs"/>
          <w:b/>
          <w:bCs/>
          <w:rtl/>
        </w:rPr>
        <w:t>חוק העונשין</w:t>
      </w:r>
      <w:r w:rsidRPr="00446A87">
        <w:rPr>
          <w:rFonts w:cs="David" w:hint="cs"/>
          <w:rtl/>
        </w:rPr>
        <w:t>").</w:t>
      </w:r>
    </w:p>
    <w:p w14:paraId="69292FED" w14:textId="77777777" w:rsidR="004659A0" w:rsidRPr="00446A87" w:rsidRDefault="00446A87">
      <w:pPr>
        <w:pStyle w:val="a7"/>
        <w:ind w:right="0"/>
        <w:jc w:val="both"/>
        <w:rPr>
          <w:rFonts w:cs="David"/>
          <w:rtl/>
        </w:rPr>
      </w:pPr>
      <w:r w:rsidRPr="00446A87">
        <w:rPr>
          <w:rFonts w:cs="David" w:hint="cs"/>
          <w:rtl/>
        </w:rPr>
        <w:t xml:space="preserve">תקיפה סתם- עבירה לפי </w:t>
      </w:r>
      <w:hyperlink r:id="rId22" w:history="1">
        <w:r w:rsidR="00BC7A45" w:rsidRPr="00BC7A45">
          <w:rPr>
            <w:rFonts w:cs="David"/>
            <w:color w:val="0000FF"/>
            <w:u w:val="single"/>
            <w:rtl/>
          </w:rPr>
          <w:t>סעיף 379</w:t>
        </w:r>
      </w:hyperlink>
      <w:r w:rsidRPr="00446A87">
        <w:rPr>
          <w:rFonts w:cs="David" w:hint="cs"/>
          <w:rtl/>
        </w:rPr>
        <w:t xml:space="preserve"> ל</w:t>
      </w:r>
      <w:hyperlink r:id="rId23" w:history="1">
        <w:r w:rsidRPr="00446A87">
          <w:rPr>
            <w:rFonts w:cs="David"/>
            <w:color w:val="0000FF"/>
            <w:u w:val="single"/>
            <w:rtl/>
          </w:rPr>
          <w:t>חוק העונשין</w:t>
        </w:r>
      </w:hyperlink>
      <w:r w:rsidRPr="00446A87">
        <w:rPr>
          <w:rFonts w:cs="David" w:hint="cs"/>
          <w:rtl/>
        </w:rPr>
        <w:t xml:space="preserve">. </w:t>
      </w:r>
    </w:p>
    <w:p w14:paraId="6C2075E1" w14:textId="77777777" w:rsidR="004659A0" w:rsidRPr="00446A87" w:rsidRDefault="00446A87">
      <w:pPr>
        <w:pStyle w:val="a7"/>
        <w:ind w:right="0"/>
        <w:jc w:val="both"/>
        <w:rPr>
          <w:rFonts w:cs="David"/>
          <w:rtl/>
        </w:rPr>
      </w:pPr>
      <w:r w:rsidRPr="00446A87">
        <w:rPr>
          <w:rFonts w:cs="David" w:hint="cs"/>
          <w:rtl/>
        </w:rPr>
        <w:t xml:space="preserve">איומים- עבירה לפי </w:t>
      </w:r>
      <w:hyperlink r:id="rId24" w:history="1">
        <w:r w:rsidR="00BC7A45" w:rsidRPr="00BC7A45">
          <w:rPr>
            <w:rFonts w:cs="David"/>
            <w:color w:val="0000FF"/>
            <w:u w:val="single"/>
            <w:rtl/>
          </w:rPr>
          <w:t>סעיף 192</w:t>
        </w:r>
      </w:hyperlink>
      <w:r w:rsidRPr="00446A87">
        <w:rPr>
          <w:rFonts w:cs="David" w:hint="cs"/>
          <w:rtl/>
        </w:rPr>
        <w:t xml:space="preserve"> ל</w:t>
      </w:r>
      <w:hyperlink r:id="rId25" w:history="1">
        <w:r w:rsidRPr="00446A87">
          <w:rPr>
            <w:rFonts w:cs="David"/>
            <w:color w:val="0000FF"/>
            <w:u w:val="single"/>
            <w:rtl/>
          </w:rPr>
          <w:t>חוק העונשין</w:t>
        </w:r>
      </w:hyperlink>
      <w:r w:rsidRPr="00446A87">
        <w:rPr>
          <w:rFonts w:cs="David" w:hint="cs"/>
          <w:rtl/>
        </w:rPr>
        <w:t xml:space="preserve">. </w:t>
      </w:r>
    </w:p>
    <w:p w14:paraId="34573053" w14:textId="77777777" w:rsidR="004659A0" w:rsidRPr="00446A87" w:rsidRDefault="004659A0">
      <w:pPr>
        <w:spacing w:line="360" w:lineRule="auto"/>
        <w:jc w:val="both"/>
        <w:rPr>
          <w:b/>
          <w:bCs/>
          <w:color w:val="FF0000"/>
          <w:rtl/>
        </w:rPr>
      </w:pPr>
    </w:p>
    <w:p w14:paraId="0FE5B619" w14:textId="77777777" w:rsidR="004659A0" w:rsidRPr="00446A87" w:rsidRDefault="00446A87">
      <w:pPr>
        <w:spacing w:line="360" w:lineRule="auto"/>
        <w:jc w:val="both"/>
        <w:rPr>
          <w:b/>
          <w:bCs/>
          <w:color w:val="FF0000"/>
          <w:sz w:val="6"/>
          <w:szCs w:val="6"/>
          <w:rtl/>
        </w:rPr>
      </w:pPr>
      <w:r w:rsidRPr="00446A87">
        <w:rPr>
          <w:b/>
          <w:bCs/>
          <w:color w:val="FF0000"/>
          <w:sz w:val="6"/>
          <w:szCs w:val="6"/>
          <w:rtl/>
        </w:rPr>
        <w:t>&lt;#3#&gt;</w:t>
      </w:r>
    </w:p>
    <w:p w14:paraId="7A879DAB" w14:textId="77777777" w:rsidR="004659A0" w:rsidRPr="00446A87" w:rsidRDefault="004659A0">
      <w:pPr>
        <w:jc w:val="right"/>
        <w:rPr>
          <w:rtl/>
        </w:rPr>
      </w:pPr>
    </w:p>
    <w:p w14:paraId="3FB898FD" w14:textId="77777777" w:rsidR="004659A0" w:rsidRPr="00446A87" w:rsidRDefault="00446A87">
      <w:pPr>
        <w:spacing w:line="360" w:lineRule="auto"/>
        <w:rPr>
          <w:rtl/>
        </w:rPr>
      </w:pPr>
      <w:r w:rsidRPr="00446A87">
        <w:rPr>
          <w:rFonts w:hint="cs"/>
          <w:b/>
          <w:bCs/>
          <w:rtl/>
        </w:rPr>
        <w:t xml:space="preserve">ניתנה והודעה היום </w:t>
      </w:r>
      <w:r w:rsidRPr="00446A87">
        <w:rPr>
          <w:rFonts w:hint="cs"/>
          <w:rtl/>
        </w:rPr>
        <w:t>כ"ג טבת תשע"ה</w:t>
      </w:r>
      <w:r w:rsidRPr="00446A87">
        <w:rPr>
          <w:rFonts w:hint="cs"/>
          <w:b/>
          <w:bCs/>
          <w:rtl/>
        </w:rPr>
        <w:t xml:space="preserve">, </w:t>
      </w:r>
      <w:r w:rsidRPr="00446A87">
        <w:rPr>
          <w:rFonts w:hint="cs"/>
          <w:rtl/>
        </w:rPr>
        <w:t>14/01/2015</w:t>
      </w:r>
      <w:r w:rsidRPr="00446A87">
        <w:rPr>
          <w:rFonts w:hint="cs"/>
          <w:b/>
          <w:bCs/>
          <w:rtl/>
        </w:rPr>
        <w:t xml:space="preserve"> במעמד הנוכחים.</w:t>
      </w:r>
    </w:p>
    <w:p w14:paraId="27D20318" w14:textId="77777777" w:rsidR="004659A0" w:rsidRPr="00446A87" w:rsidRDefault="004659A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659A0" w:rsidRPr="00446A87" w14:paraId="6C6BDA38" w14:textId="77777777">
        <w:trPr>
          <w:trHeight w:val="316"/>
          <w:jc w:val="right"/>
        </w:trPr>
        <w:tc>
          <w:tcPr>
            <w:tcW w:w="3936" w:type="dxa"/>
          </w:tcPr>
          <w:p w14:paraId="3ECD79C0" w14:textId="77777777" w:rsidR="004659A0" w:rsidRPr="00446A87" w:rsidRDefault="004659A0">
            <w:pPr>
              <w:jc w:val="center"/>
              <w:rPr>
                <w:rFonts w:ascii="Times New Roman" w:eastAsia="Times New Roman" w:hAnsi="Times New Roman" w:cs="Times New Roman"/>
              </w:rPr>
            </w:pPr>
          </w:p>
          <w:p w14:paraId="6BC47FE8" w14:textId="77777777" w:rsidR="004659A0" w:rsidRPr="00446A87" w:rsidRDefault="004659A0">
            <w:pPr>
              <w:jc w:val="center"/>
              <w:rPr>
                <w:rFonts w:ascii="Times New Roman" w:eastAsia="Times New Roman" w:hAnsi="Times New Roman" w:cs="Times New Roman"/>
                <w:rtl/>
              </w:rPr>
            </w:pPr>
          </w:p>
        </w:tc>
      </w:tr>
      <w:tr w:rsidR="004659A0" w:rsidRPr="00446A87" w14:paraId="034E6268" w14:textId="77777777">
        <w:trPr>
          <w:trHeight w:val="361"/>
          <w:jc w:val="right"/>
        </w:trPr>
        <w:tc>
          <w:tcPr>
            <w:tcW w:w="3936" w:type="dxa"/>
          </w:tcPr>
          <w:p w14:paraId="009F88C3" w14:textId="77777777" w:rsidR="004659A0" w:rsidRPr="00446A87" w:rsidRDefault="00446A87">
            <w:pPr>
              <w:jc w:val="center"/>
              <w:rPr>
                <w:rFonts w:ascii="Times New Roman" w:eastAsia="Times New Roman" w:hAnsi="Times New Roman"/>
                <w:b/>
                <w:bCs/>
                <w:rtl/>
              </w:rPr>
            </w:pPr>
            <w:r w:rsidRPr="00446A87">
              <w:rPr>
                <w:rFonts w:ascii="Times New Roman" w:eastAsia="Times New Roman" w:hAnsi="Times New Roman" w:hint="cs"/>
                <w:b/>
                <w:bCs/>
                <w:rtl/>
              </w:rPr>
              <w:t>שירלי דקל נוה</w:t>
            </w:r>
            <w:r w:rsidRPr="00446A87">
              <w:rPr>
                <w:rFonts w:ascii="Times New Roman" w:eastAsia="Times New Roman" w:hAnsi="Times New Roman"/>
                <w:b/>
                <w:bCs/>
                <w:rtl/>
              </w:rPr>
              <w:t xml:space="preserve"> </w:t>
            </w:r>
            <w:r w:rsidRPr="00446A87">
              <w:rPr>
                <w:rFonts w:ascii="Times New Roman" w:eastAsia="Times New Roman" w:hAnsi="Times New Roman" w:hint="cs"/>
                <w:b/>
                <w:bCs/>
                <w:rtl/>
              </w:rPr>
              <w:t>, שופטת</w:t>
            </w:r>
            <w:r w:rsidRPr="00446A87">
              <w:rPr>
                <w:rFonts w:ascii="Times New Roman" w:eastAsia="Times New Roman" w:hAnsi="Times New Roman"/>
                <w:b/>
                <w:bCs/>
                <w:rtl/>
              </w:rPr>
              <w:t xml:space="preserve"> </w:t>
            </w:r>
          </w:p>
        </w:tc>
      </w:tr>
    </w:tbl>
    <w:p w14:paraId="7121E0C8" w14:textId="77777777" w:rsidR="004659A0" w:rsidRPr="00446A87" w:rsidRDefault="004659A0">
      <w:pPr>
        <w:jc w:val="right"/>
        <w:rPr>
          <w:rtl/>
        </w:rPr>
      </w:pPr>
    </w:p>
    <w:p w14:paraId="3BB95C6A" w14:textId="77777777" w:rsidR="004659A0" w:rsidRPr="00446A87" w:rsidRDefault="004659A0">
      <w:pPr>
        <w:spacing w:line="360" w:lineRule="auto"/>
        <w:jc w:val="both"/>
        <w:rPr>
          <w:color w:val="FF0000"/>
          <w:rtl/>
        </w:rPr>
      </w:pPr>
    </w:p>
    <w:p w14:paraId="511B347C" w14:textId="77777777" w:rsidR="00BC7A45" w:rsidRDefault="00BC7A45">
      <w:pPr>
        <w:spacing w:line="360" w:lineRule="auto"/>
        <w:jc w:val="center"/>
        <w:rPr>
          <w:rFonts w:hint="cs"/>
          <w:b/>
          <w:bCs/>
          <w:rtl/>
        </w:rPr>
      </w:pPr>
    </w:p>
    <w:p w14:paraId="1BB95B0E" w14:textId="77777777" w:rsidR="004659A0" w:rsidRPr="00446A87" w:rsidRDefault="00446A87">
      <w:pPr>
        <w:spacing w:line="360" w:lineRule="auto"/>
        <w:jc w:val="center"/>
        <w:rPr>
          <w:rFonts w:ascii="Arial" w:hAnsi="Arial"/>
          <w:b/>
          <w:bCs/>
          <w:sz w:val="28"/>
          <w:szCs w:val="28"/>
          <w:rtl/>
        </w:rPr>
      </w:pPr>
      <w:r w:rsidRPr="00446A87">
        <w:rPr>
          <w:rFonts w:ascii="Arial" w:hAnsi="Arial"/>
          <w:b/>
          <w:bCs/>
          <w:sz w:val="28"/>
          <w:szCs w:val="28"/>
          <w:rtl/>
        </w:rPr>
        <w:t>החלטה</w:t>
      </w:r>
      <w:r w:rsidRPr="00446A87">
        <w:rPr>
          <w:rFonts w:ascii="Arial" w:hAnsi="Arial" w:hint="cs"/>
          <w:b/>
          <w:bCs/>
          <w:sz w:val="28"/>
          <w:szCs w:val="28"/>
          <w:rtl/>
        </w:rPr>
        <w:t xml:space="preserve"> והכרעת דין</w:t>
      </w:r>
    </w:p>
    <w:p w14:paraId="30E6F20B" w14:textId="77777777" w:rsidR="004659A0" w:rsidRPr="00446A87" w:rsidRDefault="004659A0">
      <w:pPr>
        <w:spacing w:line="360" w:lineRule="auto"/>
        <w:jc w:val="both"/>
        <w:rPr>
          <w:sz w:val="6"/>
          <w:szCs w:val="6"/>
          <w:rtl/>
        </w:rPr>
      </w:pPr>
    </w:p>
    <w:p w14:paraId="26E04E30" w14:textId="77777777" w:rsidR="004659A0" w:rsidRPr="00446A87" w:rsidRDefault="004659A0">
      <w:pPr>
        <w:spacing w:line="360" w:lineRule="auto"/>
        <w:jc w:val="both"/>
        <w:rPr>
          <w:rtl/>
        </w:rPr>
      </w:pPr>
    </w:p>
    <w:p w14:paraId="06245824" w14:textId="77777777" w:rsidR="004659A0" w:rsidRPr="00446A87" w:rsidRDefault="00446A87">
      <w:pPr>
        <w:spacing w:line="360" w:lineRule="auto"/>
        <w:jc w:val="both"/>
        <w:rPr>
          <w:rtl/>
        </w:rPr>
      </w:pPr>
      <w:r w:rsidRPr="00446A87">
        <w:rPr>
          <w:rFonts w:hint="cs"/>
          <w:rtl/>
        </w:rPr>
        <w:t>לבקשת הנאשם, ובהתאם להודייתו אני מרשיעה את הנאשם בעבירות בתיקים כדלקמן ומורה על צירופן לתיק העיקרי:</w:t>
      </w:r>
    </w:p>
    <w:p w14:paraId="3B56023E" w14:textId="77777777" w:rsidR="004659A0" w:rsidRPr="00446A87" w:rsidRDefault="004659A0">
      <w:pPr>
        <w:spacing w:line="360" w:lineRule="auto"/>
        <w:rPr>
          <w:rtl/>
        </w:rPr>
      </w:pPr>
    </w:p>
    <w:p w14:paraId="6DA0E1F5" w14:textId="77777777" w:rsidR="004659A0" w:rsidRPr="00446A87" w:rsidRDefault="00446A87">
      <w:pPr>
        <w:spacing w:line="360" w:lineRule="auto"/>
        <w:jc w:val="both"/>
        <w:rPr>
          <w:rtl/>
        </w:rPr>
      </w:pPr>
      <w:hyperlink r:id="rId26" w:history="1">
        <w:r w:rsidRPr="00446A87">
          <w:rPr>
            <w:color w:val="0000FF"/>
            <w:u w:val="single"/>
            <w:rtl/>
          </w:rPr>
          <w:t>ת"פ 19865-11-14</w:t>
        </w:r>
      </w:hyperlink>
      <w:r w:rsidRPr="00446A87">
        <w:rPr>
          <w:rFonts w:hint="cs"/>
          <w:rtl/>
        </w:rPr>
        <w:t>:</w:t>
      </w:r>
    </w:p>
    <w:p w14:paraId="50096140" w14:textId="77777777" w:rsidR="004659A0" w:rsidRPr="00446A87" w:rsidRDefault="00446A87">
      <w:pPr>
        <w:spacing w:line="360" w:lineRule="auto"/>
        <w:jc w:val="both"/>
        <w:rPr>
          <w:rtl/>
        </w:rPr>
      </w:pPr>
      <w:r w:rsidRPr="00446A87">
        <w:rPr>
          <w:rFonts w:hint="cs"/>
          <w:rtl/>
        </w:rPr>
        <w:t>עבירות של  החזקת סכין למ</w:t>
      </w:r>
      <w:r w:rsidR="00BC7A45">
        <w:rPr>
          <w:rFonts w:hint="cs"/>
          <w:rtl/>
        </w:rPr>
        <w:t xml:space="preserve">טרה לא כשרה, עבירה לפי סעיף </w:t>
      </w:r>
      <w:hyperlink r:id="rId27" w:history="1">
        <w:r w:rsidR="00BC7A45" w:rsidRPr="00BC7A45">
          <w:rPr>
            <w:color w:val="0000FF"/>
            <w:u w:val="single"/>
            <w:rtl/>
          </w:rPr>
          <w:t>186(א)</w:t>
        </w:r>
      </w:hyperlink>
      <w:r w:rsidRPr="00446A87">
        <w:rPr>
          <w:rFonts w:hint="cs"/>
          <w:rtl/>
        </w:rPr>
        <w:t xml:space="preserve"> ל</w:t>
      </w:r>
      <w:hyperlink r:id="rId28" w:history="1">
        <w:r w:rsidRPr="00446A87">
          <w:rPr>
            <w:color w:val="0000FF"/>
            <w:u w:val="single"/>
            <w:rtl/>
          </w:rPr>
          <w:t>חוק העונשין</w:t>
        </w:r>
      </w:hyperlink>
      <w:r w:rsidRPr="00446A87">
        <w:rPr>
          <w:rFonts w:hint="cs"/>
          <w:rtl/>
        </w:rPr>
        <w:t>.</w:t>
      </w:r>
    </w:p>
    <w:p w14:paraId="12E4A7CC" w14:textId="77777777" w:rsidR="004659A0" w:rsidRPr="00446A87" w:rsidRDefault="00446A87">
      <w:pPr>
        <w:spacing w:line="360" w:lineRule="auto"/>
        <w:jc w:val="both"/>
        <w:rPr>
          <w:rtl/>
        </w:rPr>
      </w:pPr>
      <w:r w:rsidRPr="00446A87">
        <w:rPr>
          <w:rFonts w:hint="cs"/>
          <w:rtl/>
        </w:rPr>
        <w:t xml:space="preserve">הפרעה לשוטר במילוי תפקידו- עבירה לפי </w:t>
      </w:r>
      <w:hyperlink r:id="rId29" w:history="1">
        <w:r w:rsidR="00BC7A45" w:rsidRPr="00BC7A45">
          <w:rPr>
            <w:color w:val="0000FF"/>
            <w:u w:val="single"/>
            <w:rtl/>
          </w:rPr>
          <w:t>סעיף 275</w:t>
        </w:r>
      </w:hyperlink>
      <w:r w:rsidRPr="00446A87">
        <w:rPr>
          <w:rFonts w:hint="cs"/>
          <w:rtl/>
        </w:rPr>
        <w:t xml:space="preserve"> ל</w:t>
      </w:r>
      <w:hyperlink r:id="rId30" w:history="1">
        <w:r w:rsidRPr="00446A87">
          <w:rPr>
            <w:color w:val="0000FF"/>
            <w:u w:val="single"/>
            <w:rtl/>
          </w:rPr>
          <w:t>חוק העונשין</w:t>
        </w:r>
      </w:hyperlink>
      <w:r w:rsidRPr="00446A87">
        <w:rPr>
          <w:rFonts w:hint="cs"/>
          <w:rtl/>
        </w:rPr>
        <w:t>.</w:t>
      </w:r>
    </w:p>
    <w:p w14:paraId="690604E3" w14:textId="77777777" w:rsidR="004659A0" w:rsidRPr="00446A87" w:rsidRDefault="00446A87">
      <w:pPr>
        <w:spacing w:line="360" w:lineRule="auto"/>
        <w:jc w:val="both"/>
        <w:rPr>
          <w:rtl/>
        </w:rPr>
      </w:pPr>
      <w:r w:rsidRPr="00446A87">
        <w:rPr>
          <w:rFonts w:hint="cs"/>
          <w:rtl/>
        </w:rPr>
        <w:t xml:space="preserve">העלבת עובד ציבור- עבירה לפי </w:t>
      </w:r>
      <w:hyperlink r:id="rId31" w:history="1">
        <w:r w:rsidR="00BC7A45" w:rsidRPr="00BC7A45">
          <w:rPr>
            <w:color w:val="0000FF"/>
            <w:u w:val="single"/>
            <w:rtl/>
          </w:rPr>
          <w:t>סעיף 288</w:t>
        </w:r>
      </w:hyperlink>
      <w:r w:rsidRPr="00446A87">
        <w:rPr>
          <w:rFonts w:hint="cs"/>
          <w:rtl/>
        </w:rPr>
        <w:t xml:space="preserve"> ל</w:t>
      </w:r>
      <w:hyperlink r:id="rId32" w:history="1">
        <w:r w:rsidRPr="00446A87">
          <w:rPr>
            <w:color w:val="0000FF"/>
            <w:u w:val="single"/>
            <w:rtl/>
          </w:rPr>
          <w:t>חוק העונשין</w:t>
        </w:r>
      </w:hyperlink>
      <w:r w:rsidRPr="00446A87">
        <w:rPr>
          <w:rFonts w:hint="cs"/>
          <w:rtl/>
        </w:rPr>
        <w:t>.</w:t>
      </w:r>
    </w:p>
    <w:p w14:paraId="26F6791E" w14:textId="77777777" w:rsidR="004659A0" w:rsidRPr="00446A87" w:rsidRDefault="00446A87">
      <w:pPr>
        <w:spacing w:line="360" w:lineRule="auto"/>
        <w:jc w:val="both"/>
        <w:rPr>
          <w:rtl/>
        </w:rPr>
      </w:pPr>
      <w:r w:rsidRPr="00446A87">
        <w:rPr>
          <w:rFonts w:hint="cs"/>
          <w:rtl/>
        </w:rPr>
        <w:t xml:space="preserve">איומים- עבירה לפי </w:t>
      </w:r>
      <w:hyperlink r:id="rId33" w:history="1">
        <w:r w:rsidR="00BC7A45" w:rsidRPr="00BC7A45">
          <w:rPr>
            <w:color w:val="0000FF"/>
            <w:u w:val="single"/>
            <w:rtl/>
          </w:rPr>
          <w:t>סעיף 192</w:t>
        </w:r>
      </w:hyperlink>
      <w:r w:rsidRPr="00446A87">
        <w:rPr>
          <w:rFonts w:hint="cs"/>
          <w:rtl/>
        </w:rPr>
        <w:t xml:space="preserve"> ל</w:t>
      </w:r>
      <w:hyperlink r:id="rId34" w:history="1">
        <w:r w:rsidRPr="00446A87">
          <w:rPr>
            <w:color w:val="0000FF"/>
            <w:u w:val="single"/>
            <w:rtl/>
          </w:rPr>
          <w:t>חוק העונשין</w:t>
        </w:r>
      </w:hyperlink>
      <w:r w:rsidRPr="00446A87">
        <w:rPr>
          <w:rFonts w:hint="cs"/>
          <w:rtl/>
        </w:rPr>
        <w:t xml:space="preserve">. </w:t>
      </w:r>
    </w:p>
    <w:p w14:paraId="58914904" w14:textId="77777777" w:rsidR="004659A0" w:rsidRPr="00446A87" w:rsidRDefault="00446A87">
      <w:pPr>
        <w:spacing w:line="360" w:lineRule="auto"/>
        <w:jc w:val="both"/>
        <w:rPr>
          <w:rtl/>
        </w:rPr>
      </w:pPr>
      <w:r w:rsidRPr="00446A87">
        <w:rPr>
          <w:rFonts w:hint="cs"/>
          <w:rtl/>
        </w:rPr>
        <w:t xml:space="preserve">שיבוש מהלכי משפט </w:t>
      </w:r>
      <w:r w:rsidRPr="00446A87">
        <w:rPr>
          <w:rtl/>
        </w:rPr>
        <w:t>–</w:t>
      </w:r>
      <w:r w:rsidRPr="00446A87">
        <w:rPr>
          <w:rFonts w:hint="cs"/>
          <w:rtl/>
        </w:rPr>
        <w:t xml:space="preserve"> עבירה לפי </w:t>
      </w:r>
      <w:hyperlink r:id="rId35" w:history="1">
        <w:r w:rsidR="00BC7A45" w:rsidRPr="00BC7A45">
          <w:rPr>
            <w:color w:val="0000FF"/>
            <w:u w:val="single"/>
            <w:rtl/>
          </w:rPr>
          <w:t>סעיף 244</w:t>
        </w:r>
      </w:hyperlink>
      <w:r w:rsidRPr="00446A87">
        <w:rPr>
          <w:rFonts w:hint="cs"/>
          <w:rtl/>
        </w:rPr>
        <w:t xml:space="preserve"> ל</w:t>
      </w:r>
      <w:hyperlink r:id="rId36" w:history="1">
        <w:r w:rsidRPr="00446A87">
          <w:rPr>
            <w:color w:val="0000FF"/>
            <w:u w:val="single"/>
            <w:rtl/>
          </w:rPr>
          <w:t>חוק העונשין</w:t>
        </w:r>
      </w:hyperlink>
      <w:r w:rsidRPr="00446A87">
        <w:rPr>
          <w:rFonts w:hint="cs"/>
          <w:rtl/>
        </w:rPr>
        <w:t xml:space="preserve">. </w:t>
      </w:r>
    </w:p>
    <w:p w14:paraId="58AB057A" w14:textId="77777777" w:rsidR="004659A0" w:rsidRPr="00446A87" w:rsidRDefault="004659A0">
      <w:pPr>
        <w:spacing w:line="360" w:lineRule="auto"/>
        <w:jc w:val="both"/>
        <w:rPr>
          <w:rtl/>
        </w:rPr>
      </w:pPr>
    </w:p>
    <w:p w14:paraId="33FE1028" w14:textId="77777777" w:rsidR="004659A0" w:rsidRPr="00446A87" w:rsidRDefault="00446A87">
      <w:pPr>
        <w:spacing w:line="360" w:lineRule="auto"/>
        <w:jc w:val="both"/>
        <w:rPr>
          <w:rtl/>
        </w:rPr>
      </w:pPr>
      <w:r w:rsidRPr="00446A87">
        <w:rPr>
          <w:rFonts w:hint="cs"/>
          <w:rtl/>
        </w:rPr>
        <w:t>פ"א 170694/2014 (מיום 16/4/2014):</w:t>
      </w:r>
    </w:p>
    <w:p w14:paraId="34BEAB85" w14:textId="77777777" w:rsidR="004659A0" w:rsidRPr="00446A87" w:rsidRDefault="00446A87">
      <w:pPr>
        <w:spacing w:line="360" w:lineRule="auto"/>
        <w:jc w:val="both"/>
        <w:rPr>
          <w:rtl/>
        </w:rPr>
      </w:pPr>
      <w:r w:rsidRPr="00446A87">
        <w:rPr>
          <w:rFonts w:hint="cs"/>
          <w:rtl/>
        </w:rPr>
        <w:t>החזקת ס</w:t>
      </w:r>
      <w:r w:rsidR="00BC7A45">
        <w:rPr>
          <w:rFonts w:hint="cs"/>
          <w:rtl/>
        </w:rPr>
        <w:t xml:space="preserve">ם לשימוש עצמי- עבירה לפי סעיף </w:t>
      </w:r>
      <w:hyperlink r:id="rId37" w:history="1">
        <w:r w:rsidR="00BC7A45" w:rsidRPr="00BC7A45">
          <w:rPr>
            <w:color w:val="0000FF"/>
            <w:u w:val="single"/>
            <w:rtl/>
          </w:rPr>
          <w:t>7(א)</w:t>
        </w:r>
      </w:hyperlink>
      <w:r w:rsidRPr="00446A87">
        <w:rPr>
          <w:rFonts w:hint="cs"/>
          <w:rtl/>
        </w:rPr>
        <w:t xml:space="preserve"> + </w:t>
      </w:r>
      <w:hyperlink r:id="rId38" w:history="1">
        <w:r w:rsidR="00BC7A45" w:rsidRPr="00BC7A45">
          <w:rPr>
            <w:color w:val="0000FF"/>
            <w:u w:val="single"/>
            <w:rtl/>
          </w:rPr>
          <w:t>(ג)</w:t>
        </w:r>
      </w:hyperlink>
      <w:r w:rsidRPr="00446A87">
        <w:rPr>
          <w:rFonts w:hint="cs"/>
          <w:rtl/>
        </w:rPr>
        <w:t xml:space="preserve"> סיפא ל</w:t>
      </w:r>
      <w:hyperlink r:id="rId39" w:history="1">
        <w:r w:rsidRPr="00446A87">
          <w:rPr>
            <w:color w:val="0000FF"/>
            <w:u w:val="single"/>
            <w:rtl/>
          </w:rPr>
          <w:t>פקודת הסמים המסוכנים</w:t>
        </w:r>
      </w:hyperlink>
      <w:r w:rsidRPr="00446A87">
        <w:rPr>
          <w:rFonts w:hint="cs"/>
          <w:rtl/>
        </w:rPr>
        <w:t xml:space="preserve">, תשל"ג </w:t>
      </w:r>
      <w:r w:rsidRPr="00446A87">
        <w:rPr>
          <w:rtl/>
        </w:rPr>
        <w:t>–</w:t>
      </w:r>
      <w:r w:rsidRPr="00446A87">
        <w:rPr>
          <w:rFonts w:hint="cs"/>
          <w:rtl/>
        </w:rPr>
        <w:t xml:space="preserve"> 1973.</w:t>
      </w:r>
    </w:p>
    <w:p w14:paraId="11C6D0C1" w14:textId="77777777" w:rsidR="004659A0" w:rsidRPr="00446A87" w:rsidRDefault="00446A87">
      <w:pPr>
        <w:spacing w:line="360" w:lineRule="auto"/>
        <w:jc w:val="both"/>
        <w:rPr>
          <w:rtl/>
        </w:rPr>
      </w:pPr>
      <w:r w:rsidRPr="00446A87">
        <w:rPr>
          <w:rFonts w:hint="cs"/>
          <w:rtl/>
        </w:rPr>
        <w:t xml:space="preserve">איומים- עבירה לפי </w:t>
      </w:r>
      <w:hyperlink r:id="rId40" w:history="1">
        <w:r w:rsidR="00BC7A45" w:rsidRPr="00BC7A45">
          <w:rPr>
            <w:color w:val="0000FF"/>
            <w:u w:val="single"/>
            <w:rtl/>
          </w:rPr>
          <w:t>סעיף 192</w:t>
        </w:r>
      </w:hyperlink>
      <w:r w:rsidRPr="00446A87">
        <w:rPr>
          <w:rFonts w:hint="cs"/>
          <w:rtl/>
        </w:rPr>
        <w:t xml:space="preserve"> ל</w:t>
      </w:r>
      <w:hyperlink r:id="rId41" w:history="1">
        <w:r w:rsidRPr="00446A87">
          <w:rPr>
            <w:color w:val="0000FF"/>
            <w:u w:val="single"/>
            <w:rtl/>
          </w:rPr>
          <w:t>חוק העונשין</w:t>
        </w:r>
      </w:hyperlink>
      <w:r w:rsidRPr="00446A87">
        <w:rPr>
          <w:rFonts w:hint="cs"/>
          <w:rtl/>
        </w:rPr>
        <w:t>.</w:t>
      </w:r>
    </w:p>
    <w:p w14:paraId="134341E0" w14:textId="77777777" w:rsidR="004659A0" w:rsidRPr="00446A87" w:rsidRDefault="00446A87">
      <w:pPr>
        <w:spacing w:line="360" w:lineRule="auto"/>
        <w:jc w:val="both"/>
        <w:rPr>
          <w:rtl/>
        </w:rPr>
      </w:pPr>
      <w:r w:rsidRPr="00446A87">
        <w:rPr>
          <w:rFonts w:hint="cs"/>
          <w:rtl/>
        </w:rPr>
        <w:t xml:space="preserve">תקיפת שוטר- עבירה לפי </w:t>
      </w:r>
      <w:hyperlink r:id="rId42" w:history="1">
        <w:r w:rsidR="00BC7A45" w:rsidRPr="00BC7A45">
          <w:rPr>
            <w:color w:val="0000FF"/>
            <w:u w:val="single"/>
            <w:rtl/>
          </w:rPr>
          <w:t>סעיף 273</w:t>
        </w:r>
      </w:hyperlink>
      <w:r w:rsidRPr="00446A87">
        <w:rPr>
          <w:rFonts w:hint="cs"/>
          <w:rtl/>
        </w:rPr>
        <w:t xml:space="preserve"> ל</w:t>
      </w:r>
      <w:hyperlink r:id="rId43" w:history="1">
        <w:r w:rsidRPr="00446A87">
          <w:rPr>
            <w:color w:val="0000FF"/>
            <w:u w:val="single"/>
            <w:rtl/>
          </w:rPr>
          <w:t>חוק העונשין</w:t>
        </w:r>
      </w:hyperlink>
      <w:r w:rsidRPr="00446A87">
        <w:rPr>
          <w:rFonts w:hint="cs"/>
          <w:rtl/>
        </w:rPr>
        <w:t>.</w:t>
      </w:r>
    </w:p>
    <w:p w14:paraId="1642E5FA" w14:textId="77777777" w:rsidR="004659A0" w:rsidRPr="00446A87" w:rsidRDefault="00446A87">
      <w:pPr>
        <w:spacing w:line="360" w:lineRule="auto"/>
        <w:jc w:val="both"/>
        <w:rPr>
          <w:rtl/>
        </w:rPr>
      </w:pPr>
      <w:r w:rsidRPr="00446A87">
        <w:rPr>
          <w:rFonts w:hint="cs"/>
          <w:rtl/>
        </w:rPr>
        <w:t xml:space="preserve">העלבת עובד ציבור- עבירה לפי </w:t>
      </w:r>
      <w:hyperlink r:id="rId44" w:history="1">
        <w:r w:rsidR="00BC7A45" w:rsidRPr="00BC7A45">
          <w:rPr>
            <w:color w:val="0000FF"/>
            <w:u w:val="single"/>
            <w:rtl/>
          </w:rPr>
          <w:t>סעיף 288</w:t>
        </w:r>
      </w:hyperlink>
      <w:r w:rsidRPr="00446A87">
        <w:rPr>
          <w:rFonts w:hint="cs"/>
          <w:rtl/>
        </w:rPr>
        <w:t xml:space="preserve"> ל</w:t>
      </w:r>
      <w:hyperlink r:id="rId45" w:history="1">
        <w:r w:rsidRPr="00446A87">
          <w:rPr>
            <w:color w:val="0000FF"/>
            <w:u w:val="single"/>
            <w:rtl/>
          </w:rPr>
          <w:t>חוק העונשין</w:t>
        </w:r>
      </w:hyperlink>
      <w:r w:rsidRPr="00446A87">
        <w:rPr>
          <w:rFonts w:hint="cs"/>
          <w:rtl/>
        </w:rPr>
        <w:t xml:space="preserve">. </w:t>
      </w:r>
    </w:p>
    <w:p w14:paraId="1F7D52C2" w14:textId="77777777" w:rsidR="004659A0" w:rsidRPr="00446A87" w:rsidRDefault="004659A0">
      <w:pPr>
        <w:spacing w:line="360" w:lineRule="auto"/>
        <w:rPr>
          <w:rtl/>
        </w:rPr>
      </w:pPr>
    </w:p>
    <w:p w14:paraId="25DC9307" w14:textId="77777777" w:rsidR="004659A0" w:rsidRPr="00446A87" w:rsidRDefault="00446A87">
      <w:pPr>
        <w:spacing w:line="360" w:lineRule="auto"/>
        <w:jc w:val="both"/>
        <w:rPr>
          <w:b/>
          <w:bCs/>
          <w:rtl/>
        </w:rPr>
      </w:pPr>
      <w:r w:rsidRPr="00446A87">
        <w:rPr>
          <w:rFonts w:hint="cs"/>
          <w:b/>
          <w:bCs/>
          <w:rtl/>
        </w:rPr>
        <w:t>הדיון הקבוע ב</w:t>
      </w:r>
      <w:hyperlink r:id="rId46" w:history="1">
        <w:r w:rsidRPr="00446A87">
          <w:rPr>
            <w:b/>
            <w:bCs/>
            <w:color w:val="0000FF"/>
            <w:u w:val="single"/>
            <w:rtl/>
          </w:rPr>
          <w:t>ת"פ 19865-11-14</w:t>
        </w:r>
      </w:hyperlink>
      <w:r w:rsidRPr="00446A87">
        <w:rPr>
          <w:rFonts w:hint="cs"/>
          <w:b/>
          <w:bCs/>
          <w:rtl/>
        </w:rPr>
        <w:t xml:space="preserve"> ליום 25/2/2015- מבוטל. ככל שיש זימון לנאשם באמצעות שב"ס על המזכירות לבטלו.</w:t>
      </w:r>
    </w:p>
    <w:p w14:paraId="1A013003" w14:textId="77777777" w:rsidR="004659A0" w:rsidRPr="00446A87" w:rsidRDefault="00446A87">
      <w:pPr>
        <w:spacing w:line="360" w:lineRule="auto"/>
        <w:rPr>
          <w:sz w:val="6"/>
          <w:szCs w:val="6"/>
          <w:rtl/>
        </w:rPr>
      </w:pPr>
      <w:r w:rsidRPr="00446A87">
        <w:rPr>
          <w:sz w:val="6"/>
          <w:szCs w:val="6"/>
          <w:rtl/>
        </w:rPr>
        <w:t>&lt;#6#&gt;</w:t>
      </w:r>
    </w:p>
    <w:p w14:paraId="3A9BACF8" w14:textId="77777777" w:rsidR="004659A0" w:rsidRPr="00446A87" w:rsidRDefault="004659A0">
      <w:pPr>
        <w:jc w:val="right"/>
        <w:rPr>
          <w:rtl/>
        </w:rPr>
      </w:pPr>
    </w:p>
    <w:p w14:paraId="014783AF" w14:textId="77777777" w:rsidR="004659A0" w:rsidRPr="00446A87" w:rsidRDefault="00446A87">
      <w:pPr>
        <w:spacing w:line="360" w:lineRule="auto"/>
        <w:rPr>
          <w:rtl/>
        </w:rPr>
      </w:pPr>
      <w:r w:rsidRPr="00446A87">
        <w:rPr>
          <w:rFonts w:hint="cs"/>
          <w:b/>
          <w:bCs/>
          <w:rtl/>
        </w:rPr>
        <w:t xml:space="preserve">ניתנה והודעה היום </w:t>
      </w:r>
      <w:r w:rsidRPr="00446A87">
        <w:rPr>
          <w:rFonts w:hint="cs"/>
          <w:rtl/>
        </w:rPr>
        <w:t>כ"ג טבת תשע"ה</w:t>
      </w:r>
      <w:r w:rsidRPr="00446A87">
        <w:rPr>
          <w:rFonts w:hint="cs"/>
          <w:b/>
          <w:bCs/>
          <w:rtl/>
        </w:rPr>
        <w:t xml:space="preserve">, </w:t>
      </w:r>
      <w:r w:rsidRPr="00446A87">
        <w:rPr>
          <w:rFonts w:hint="cs"/>
          <w:rtl/>
        </w:rPr>
        <w:t>14/01/2015</w:t>
      </w:r>
      <w:r w:rsidRPr="00446A87">
        <w:rPr>
          <w:rFonts w:hint="cs"/>
          <w:b/>
          <w:bCs/>
          <w:rtl/>
        </w:rPr>
        <w:t xml:space="preserve"> במעמד הנוכחים.</w:t>
      </w:r>
    </w:p>
    <w:p w14:paraId="2F937F08" w14:textId="77777777" w:rsidR="004659A0" w:rsidRPr="00446A87" w:rsidRDefault="004659A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659A0" w:rsidRPr="00446A87" w14:paraId="1AB03662" w14:textId="77777777">
        <w:trPr>
          <w:trHeight w:val="316"/>
          <w:jc w:val="right"/>
        </w:trPr>
        <w:tc>
          <w:tcPr>
            <w:tcW w:w="3936" w:type="dxa"/>
          </w:tcPr>
          <w:p w14:paraId="487D210F" w14:textId="77777777" w:rsidR="004659A0" w:rsidRPr="00446A87" w:rsidRDefault="004659A0">
            <w:pPr>
              <w:jc w:val="center"/>
              <w:rPr>
                <w:rFonts w:ascii="Times New Roman" w:eastAsia="Times New Roman" w:hAnsi="Times New Roman" w:cs="Times New Roman"/>
              </w:rPr>
            </w:pPr>
          </w:p>
          <w:p w14:paraId="036A28E9" w14:textId="77777777" w:rsidR="004659A0" w:rsidRPr="00446A87" w:rsidRDefault="004659A0">
            <w:pPr>
              <w:jc w:val="center"/>
              <w:rPr>
                <w:rFonts w:ascii="Times New Roman" w:eastAsia="Times New Roman" w:hAnsi="Times New Roman" w:cs="Times New Roman"/>
                <w:rtl/>
              </w:rPr>
            </w:pPr>
          </w:p>
        </w:tc>
      </w:tr>
      <w:tr w:rsidR="004659A0" w:rsidRPr="00446A87" w14:paraId="5C18207C" w14:textId="77777777">
        <w:trPr>
          <w:trHeight w:val="361"/>
          <w:jc w:val="right"/>
        </w:trPr>
        <w:tc>
          <w:tcPr>
            <w:tcW w:w="3936" w:type="dxa"/>
          </w:tcPr>
          <w:p w14:paraId="752308DE" w14:textId="77777777" w:rsidR="004659A0" w:rsidRPr="00446A87" w:rsidRDefault="00446A87">
            <w:pPr>
              <w:jc w:val="center"/>
              <w:rPr>
                <w:rFonts w:ascii="Times New Roman" w:eastAsia="Times New Roman" w:hAnsi="Times New Roman"/>
                <w:b/>
                <w:bCs/>
                <w:rtl/>
              </w:rPr>
            </w:pPr>
            <w:r w:rsidRPr="00446A87">
              <w:rPr>
                <w:rFonts w:ascii="Times New Roman" w:eastAsia="Times New Roman" w:hAnsi="Times New Roman" w:hint="cs"/>
                <w:b/>
                <w:bCs/>
                <w:rtl/>
              </w:rPr>
              <w:t>שירלי דקל נוה</w:t>
            </w:r>
            <w:r w:rsidRPr="00446A87">
              <w:rPr>
                <w:rFonts w:ascii="Times New Roman" w:eastAsia="Times New Roman" w:hAnsi="Times New Roman"/>
                <w:b/>
                <w:bCs/>
                <w:rtl/>
              </w:rPr>
              <w:t xml:space="preserve"> </w:t>
            </w:r>
            <w:r w:rsidRPr="00446A87">
              <w:rPr>
                <w:rFonts w:ascii="Times New Roman" w:eastAsia="Times New Roman" w:hAnsi="Times New Roman" w:hint="cs"/>
                <w:b/>
                <w:bCs/>
                <w:rtl/>
              </w:rPr>
              <w:t>, שופטת</w:t>
            </w:r>
            <w:r w:rsidRPr="00446A87">
              <w:rPr>
                <w:rFonts w:ascii="Times New Roman" w:eastAsia="Times New Roman" w:hAnsi="Times New Roman"/>
                <w:b/>
                <w:bCs/>
                <w:rtl/>
              </w:rPr>
              <w:t xml:space="preserve"> </w:t>
            </w:r>
          </w:p>
        </w:tc>
      </w:tr>
    </w:tbl>
    <w:p w14:paraId="24A32E5C" w14:textId="77777777" w:rsidR="005A1F40" w:rsidRDefault="005A1F40">
      <w:pPr>
        <w:spacing w:line="360" w:lineRule="auto"/>
        <w:jc w:val="center"/>
        <w:rPr>
          <w:rFonts w:ascii="Arial" w:hAnsi="Arial"/>
          <w:sz w:val="28"/>
          <w:szCs w:val="28"/>
          <w:rtl/>
        </w:rPr>
      </w:pPr>
      <w:bookmarkStart w:id="2" w:name="LawTable"/>
      <w:bookmarkEnd w:id="2"/>
    </w:p>
    <w:p w14:paraId="233635D2" w14:textId="77777777" w:rsidR="00446A87" w:rsidRDefault="00446A87">
      <w:pPr>
        <w:spacing w:line="360" w:lineRule="auto"/>
        <w:jc w:val="center"/>
        <w:rPr>
          <w:rFonts w:ascii="Arial" w:hAnsi="Arial" w:hint="cs"/>
          <w:b/>
          <w:bCs/>
          <w:sz w:val="28"/>
          <w:szCs w:val="28"/>
          <w:rtl/>
        </w:rPr>
      </w:pPr>
      <w:bookmarkStart w:id="3" w:name="LawTable_End"/>
      <w:bookmarkEnd w:id="3"/>
    </w:p>
    <w:p w14:paraId="71BB8E2E" w14:textId="77777777" w:rsidR="005A1F40" w:rsidRDefault="005A1F40">
      <w:pPr>
        <w:spacing w:line="360" w:lineRule="auto"/>
        <w:jc w:val="center"/>
        <w:rPr>
          <w:rFonts w:ascii="Arial" w:hAnsi="Arial" w:hint="cs"/>
          <w:b/>
          <w:bCs/>
          <w:sz w:val="28"/>
          <w:szCs w:val="28"/>
          <w:rtl/>
        </w:rPr>
      </w:pPr>
    </w:p>
    <w:p w14:paraId="434A7332" w14:textId="77777777" w:rsidR="005A1F40" w:rsidRPr="005A1F40" w:rsidRDefault="005A1F40">
      <w:pPr>
        <w:spacing w:line="360" w:lineRule="auto"/>
        <w:jc w:val="center"/>
        <w:rPr>
          <w:rFonts w:ascii="Arial" w:hAnsi="Arial" w:hint="cs"/>
          <w:b/>
          <w:bCs/>
          <w:sz w:val="28"/>
          <w:szCs w:val="28"/>
          <w:rtl/>
        </w:rPr>
      </w:pPr>
    </w:p>
    <w:p w14:paraId="1A322201" w14:textId="77777777" w:rsidR="00446A87" w:rsidRPr="00446A87" w:rsidRDefault="00446A87" w:rsidP="00446A87">
      <w:pPr>
        <w:spacing w:line="360" w:lineRule="auto"/>
        <w:jc w:val="center"/>
        <w:rPr>
          <w:rFonts w:ascii="Arial" w:hAnsi="Arial"/>
          <w:b/>
          <w:bCs/>
          <w:sz w:val="28"/>
          <w:szCs w:val="28"/>
          <w:u w:val="single"/>
          <w:rtl/>
        </w:rPr>
      </w:pPr>
      <w:bookmarkStart w:id="4" w:name="PsakDin"/>
      <w:bookmarkEnd w:id="0"/>
      <w:r w:rsidRPr="00446A87">
        <w:rPr>
          <w:rFonts w:ascii="Arial" w:hAnsi="Arial"/>
          <w:b/>
          <w:bCs/>
          <w:sz w:val="28"/>
          <w:szCs w:val="28"/>
          <w:u w:val="single"/>
          <w:rtl/>
        </w:rPr>
        <w:t>גזר דין</w:t>
      </w:r>
    </w:p>
    <w:bookmarkEnd w:id="4"/>
    <w:p w14:paraId="104F35DE" w14:textId="77777777" w:rsidR="004659A0" w:rsidRDefault="004659A0">
      <w:pPr>
        <w:spacing w:line="360" w:lineRule="auto"/>
        <w:jc w:val="center"/>
        <w:rPr>
          <w:rtl/>
        </w:rPr>
      </w:pPr>
    </w:p>
    <w:p w14:paraId="49D22D49" w14:textId="77777777" w:rsidR="004659A0" w:rsidRDefault="00446A87">
      <w:pPr>
        <w:spacing w:line="360" w:lineRule="auto"/>
        <w:jc w:val="both"/>
        <w:rPr>
          <w:rtl/>
        </w:rPr>
      </w:pPr>
      <w:bookmarkStart w:id="5" w:name="ABSTRACT_START"/>
      <w:bookmarkEnd w:id="5"/>
      <w:r>
        <w:rPr>
          <w:rFonts w:hint="cs"/>
          <w:rtl/>
        </w:rPr>
        <w:t>הנאשם הורשע, בהתאם להודאתו, ובמסגרת הסדר טיעון בכתב אישום מתוקן המייחס לו עבירות של פציעה בנסיבות מחמירות, תקיפה סתם ואיומים.</w:t>
      </w:r>
    </w:p>
    <w:p w14:paraId="1F2026BC" w14:textId="77777777" w:rsidR="004659A0" w:rsidRDefault="004659A0">
      <w:pPr>
        <w:spacing w:line="360" w:lineRule="auto"/>
        <w:jc w:val="both"/>
        <w:rPr>
          <w:rtl/>
        </w:rPr>
      </w:pPr>
      <w:bookmarkStart w:id="6" w:name="ABSTRACT_END"/>
      <w:bookmarkEnd w:id="6"/>
    </w:p>
    <w:p w14:paraId="2F7AAC46" w14:textId="77777777" w:rsidR="004659A0" w:rsidRDefault="00446A87">
      <w:pPr>
        <w:spacing w:line="360" w:lineRule="auto"/>
        <w:jc w:val="both"/>
        <w:rPr>
          <w:rtl/>
        </w:rPr>
      </w:pPr>
      <w:r>
        <w:rPr>
          <w:rFonts w:hint="cs"/>
          <w:rtl/>
        </w:rPr>
        <w:t>על-פי עובדות כתב האישום המתוקן, בין הנאשם לבין שני אחים קטינים, א' ו-י' התגלע סכסוך. ביום 17/9/2014 התפללו האחים בבית הכנסת אליו הגיע הנאשם כשהוא מצויד בחפץ חד וכשהבחין בהם התנפל עליהם והכה את א' בכל חלקי גופו. בתגובה נחלץ י' לעזרת א', אחז בנאשם והשכיבו על הרצפה אך הנאשם גבר עליו והשניים נאבקו זה בזה. א' חשש שהנאשם יפגע ב-י' והכה את הנאשם באמצעות כיסא בגבו. בתגובה הנאשם רץ לעבר הדלת, י' רץ אחריו, תפס אותו ונאבק בו בשנית. בשלב זה, הנאשם תפס את י', שלף את החפץ החד, ודקר את י' בגבו ובהמשך נמלט מהמקום.</w:t>
      </w:r>
    </w:p>
    <w:p w14:paraId="102FD931" w14:textId="77777777" w:rsidR="004659A0" w:rsidRDefault="00446A87">
      <w:pPr>
        <w:spacing w:line="360" w:lineRule="auto"/>
        <w:jc w:val="both"/>
        <w:rPr>
          <w:rtl/>
        </w:rPr>
      </w:pPr>
      <w:r>
        <w:rPr>
          <w:rFonts w:hint="cs"/>
          <w:rtl/>
        </w:rPr>
        <w:t>כתוצאה מהדקירה נגרמו ל-י' פצע באורך 2.5 ס"מ בגב שהצריך תפירה באמצעות סיכות וחתכים בידו. אף שהנאשם ידע שהמשטרה בעקבותיו הוא נמלט והסגיר עצמו רק ביום 21/9/2014.</w:t>
      </w:r>
    </w:p>
    <w:p w14:paraId="16ABE586" w14:textId="77777777" w:rsidR="004659A0" w:rsidRDefault="00446A87">
      <w:pPr>
        <w:spacing w:line="360" w:lineRule="auto"/>
        <w:jc w:val="both"/>
        <w:rPr>
          <w:rtl/>
        </w:rPr>
      </w:pPr>
      <w:r>
        <w:rPr>
          <w:rFonts w:hint="cs"/>
          <w:rtl/>
        </w:rPr>
        <w:t>במהלך חקירתו ביום 23/9/2014 עת ישב בחדר החקירה, הנאשם איים על חוקר.</w:t>
      </w:r>
    </w:p>
    <w:p w14:paraId="5B910C69" w14:textId="77777777" w:rsidR="004659A0" w:rsidRDefault="004659A0">
      <w:pPr>
        <w:spacing w:line="360" w:lineRule="auto"/>
        <w:jc w:val="both"/>
        <w:rPr>
          <w:rtl/>
        </w:rPr>
      </w:pPr>
    </w:p>
    <w:p w14:paraId="669603F7" w14:textId="77777777" w:rsidR="004659A0" w:rsidRDefault="00446A87">
      <w:pPr>
        <w:spacing w:line="360" w:lineRule="auto"/>
        <w:jc w:val="both"/>
        <w:rPr>
          <w:rtl/>
        </w:rPr>
      </w:pPr>
      <w:r>
        <w:rPr>
          <w:rFonts w:hint="cs"/>
          <w:rtl/>
        </w:rPr>
        <w:t>כמו כן, הנאשם הודה בשני תיקים נוספים, וצירפם כדלקמן:</w:t>
      </w:r>
    </w:p>
    <w:p w14:paraId="2423032F" w14:textId="77777777" w:rsidR="004659A0" w:rsidRDefault="004659A0">
      <w:pPr>
        <w:spacing w:line="360" w:lineRule="auto"/>
        <w:jc w:val="both"/>
        <w:rPr>
          <w:rtl/>
        </w:rPr>
      </w:pPr>
    </w:p>
    <w:p w14:paraId="6E3DDD7D" w14:textId="77777777" w:rsidR="004659A0" w:rsidRDefault="00446A87">
      <w:pPr>
        <w:spacing w:line="360" w:lineRule="auto"/>
        <w:jc w:val="both"/>
        <w:rPr>
          <w:rtl/>
        </w:rPr>
      </w:pPr>
      <w:hyperlink r:id="rId47" w:history="1">
        <w:r w:rsidRPr="00446A87">
          <w:rPr>
            <w:color w:val="0000FF"/>
            <w:u w:val="single"/>
            <w:rtl/>
          </w:rPr>
          <w:t>ת"פ 19865-11-14</w:t>
        </w:r>
      </w:hyperlink>
      <w:r>
        <w:rPr>
          <w:rFonts w:hint="cs"/>
          <w:rtl/>
        </w:rPr>
        <w:t xml:space="preserve"> של בית- משפט זה: בעבירות של החזקת סכין למטרה לא כשרה, הפרעה לשוטר במילוי תפקידו, העלבת עובד ציבור, איומים, ושיבוש מהלכי משפט.</w:t>
      </w:r>
    </w:p>
    <w:p w14:paraId="5667062F" w14:textId="77777777" w:rsidR="004659A0" w:rsidRDefault="004659A0">
      <w:pPr>
        <w:spacing w:line="360" w:lineRule="auto"/>
        <w:jc w:val="both"/>
        <w:rPr>
          <w:rtl/>
        </w:rPr>
      </w:pPr>
    </w:p>
    <w:p w14:paraId="496529FE" w14:textId="77777777" w:rsidR="004659A0" w:rsidRDefault="00446A87">
      <w:pPr>
        <w:spacing w:line="360" w:lineRule="auto"/>
        <w:jc w:val="both"/>
        <w:rPr>
          <w:rtl/>
        </w:rPr>
      </w:pPr>
      <w:r>
        <w:rPr>
          <w:rFonts w:hint="cs"/>
          <w:rtl/>
        </w:rPr>
        <w:t xml:space="preserve">על-פי עובדות כתב האישום, ביום 27/3/2014 במסעדה בעיר ראשל"צ החזיק הנאשם בסכין יפנית מתקבעת. כאשר הגיעו שוטרים למקום, הנאשם סירב להזדהות בפניהם, ניסה לעזוב את המקום והשליך את הסכין במטרה להעלים ראיות. הנאשם העליב את השוטרים ובעת שעוכב בתחנת המשטרה איים על אחד השוטרים, הכשילו בתפקידו והעליבו. </w:t>
      </w:r>
    </w:p>
    <w:p w14:paraId="4908C4D9" w14:textId="77777777" w:rsidR="004659A0" w:rsidRDefault="004659A0">
      <w:pPr>
        <w:spacing w:line="360" w:lineRule="auto"/>
        <w:jc w:val="both"/>
        <w:rPr>
          <w:rtl/>
        </w:rPr>
      </w:pPr>
    </w:p>
    <w:p w14:paraId="70748EEC" w14:textId="77777777" w:rsidR="004659A0" w:rsidRDefault="00446A87">
      <w:pPr>
        <w:spacing w:line="360" w:lineRule="auto"/>
        <w:jc w:val="both"/>
        <w:rPr>
          <w:rtl/>
        </w:rPr>
      </w:pPr>
      <w:r>
        <w:rPr>
          <w:rFonts w:hint="cs"/>
          <w:u w:val="single"/>
          <w:rtl/>
        </w:rPr>
        <w:t>פ"א 170694/2014 (מיום 16/4/2014):</w:t>
      </w:r>
      <w:r>
        <w:rPr>
          <w:rFonts w:hint="cs"/>
          <w:rtl/>
        </w:rPr>
        <w:t xml:space="preserve"> בעבירות של החזקת סם לשימוש עצמי, איומים, תקיפת שוטר, והעלבת עובד ציבור.</w:t>
      </w:r>
    </w:p>
    <w:p w14:paraId="429BE89F" w14:textId="77777777" w:rsidR="004659A0" w:rsidRDefault="004659A0">
      <w:pPr>
        <w:spacing w:line="360" w:lineRule="auto"/>
        <w:jc w:val="both"/>
        <w:rPr>
          <w:rtl/>
        </w:rPr>
      </w:pPr>
    </w:p>
    <w:p w14:paraId="72380363" w14:textId="77777777" w:rsidR="004659A0" w:rsidRDefault="00446A87">
      <w:pPr>
        <w:spacing w:line="360" w:lineRule="auto"/>
        <w:jc w:val="both"/>
      </w:pPr>
      <w:r>
        <w:rPr>
          <w:rFonts w:hint="cs"/>
          <w:rtl/>
        </w:rPr>
        <w:t>הצדדים הגיעו להסדר טיעון במסגרתו עתרו במשותף להשתת18 חודשי מאסר בפועל שירוצו החל מיום מעצרו, מאסר על תנאי ופיצוי למתלונן.</w:t>
      </w:r>
    </w:p>
    <w:p w14:paraId="69E6CED2" w14:textId="77777777" w:rsidR="004659A0" w:rsidRDefault="004659A0">
      <w:pPr>
        <w:spacing w:line="360" w:lineRule="auto"/>
        <w:jc w:val="both"/>
        <w:rPr>
          <w:rtl/>
        </w:rPr>
      </w:pPr>
    </w:p>
    <w:p w14:paraId="569930D2" w14:textId="77777777" w:rsidR="004659A0" w:rsidRDefault="00446A87">
      <w:pPr>
        <w:spacing w:line="360" w:lineRule="auto"/>
        <w:jc w:val="both"/>
        <w:rPr>
          <w:rtl/>
        </w:rPr>
      </w:pPr>
      <w:r>
        <w:rPr>
          <w:rFonts w:hint="cs"/>
          <w:rtl/>
        </w:rPr>
        <w:t xml:space="preserve">באת כוח המאשימה הפנתה לגיליון הרישום הפלילי של הנאשם ולנסיבות ביצוע העבירות בתיק העיקרי, עם זאת, טענה כי המאשימה לקחה בחשבון את הקשיים הראייתיים ואת חלקם של האחים באירוע. כמו כן באת-כוח המאשימה ציינה כי המאשימה לקחה בחשבון גם את הודיית הנאשם, נטילת האחריות ואת החיסכון בזמנו של בית-המשפט. באת-כוח המאשימה השאירה את גובה הפיצוי שעליו הוסכם, לשיקול דעת בית-המשפט. </w:t>
      </w:r>
    </w:p>
    <w:p w14:paraId="4DF2BCA8" w14:textId="77777777" w:rsidR="004659A0" w:rsidRDefault="004659A0">
      <w:pPr>
        <w:spacing w:line="360" w:lineRule="auto"/>
        <w:jc w:val="both"/>
        <w:rPr>
          <w:rtl/>
        </w:rPr>
      </w:pPr>
    </w:p>
    <w:p w14:paraId="743C6719" w14:textId="77777777" w:rsidR="004659A0" w:rsidRDefault="00446A87">
      <w:pPr>
        <w:spacing w:line="360" w:lineRule="auto"/>
        <w:jc w:val="both"/>
        <w:rPr>
          <w:rtl/>
        </w:rPr>
      </w:pPr>
      <w:r>
        <w:rPr>
          <w:rFonts w:hint="cs"/>
          <w:rtl/>
        </w:rPr>
        <w:t>בא-כוח הנאשם הפנה את בית-המשפט לעובדות המפורטות בכתב האישום בנוגע לחלקם של האחים, לפיהן הנאשם יצא מבית הכנסת והאחים רצו אחריו ותפסו אותו. כמו כן, בא-כוח הנאשם טען  כי בהתאם לתעודה הרפואית, הפצע שנגרם היה ללא דימום ולא גרם לנזק משמעותי. בא-כוח הנאשם הפנה לתיקון בכתב האישום לפיו במקום "סכין" יוחסה לנאשם החזקת "חפץ חד".</w:t>
      </w:r>
    </w:p>
    <w:p w14:paraId="4C4C23C4" w14:textId="77777777" w:rsidR="004659A0" w:rsidRDefault="00446A87">
      <w:pPr>
        <w:spacing w:line="360" w:lineRule="auto"/>
        <w:jc w:val="both"/>
        <w:rPr>
          <w:rtl/>
        </w:rPr>
      </w:pPr>
      <w:r>
        <w:rPr>
          <w:rFonts w:hint="cs"/>
          <w:rtl/>
        </w:rPr>
        <w:t xml:space="preserve">בא-כוח הנאשם ציין כי אף שלנאשם עבר פלילי, העבירה האחרונה עליה עמד לדין הינה משנת 2007 כלומר, במשך מספר שנים הנאשם נמנע מהסתבכות עם החוק. בא-כוח הנאשם טען כי לאחים הקטינים עבר פלילי. עוד ציין בא-כוח הנאשם כי הנאשם צירף את כל תיקיו ואין תיקים נוספים התלויים ועומדים נגדו. </w:t>
      </w:r>
    </w:p>
    <w:p w14:paraId="2004EF72" w14:textId="77777777" w:rsidR="004659A0" w:rsidRDefault="00446A87">
      <w:pPr>
        <w:spacing w:line="360" w:lineRule="auto"/>
        <w:jc w:val="both"/>
        <w:rPr>
          <w:rtl/>
        </w:rPr>
      </w:pPr>
      <w:r>
        <w:rPr>
          <w:rFonts w:hint="cs"/>
          <w:rtl/>
        </w:rPr>
        <w:t xml:space="preserve">בא-כוח הנאשם עתר לכך שסכום הפיצוי יהיה נמוך, ויקח בחשבון גם את חלקם של המעורבים האחרים בכתב האישום, את מצבו הכלכלי של הנאשם, העובדה שעפ"י ההסדר הוא יישלח למאסר לתקופה לא קצרה והפיצוי ישלם מכיס אמו.  </w:t>
      </w:r>
    </w:p>
    <w:p w14:paraId="7862A8B3" w14:textId="77777777" w:rsidR="004659A0" w:rsidRDefault="004659A0">
      <w:pPr>
        <w:spacing w:line="360" w:lineRule="auto"/>
        <w:jc w:val="both"/>
        <w:rPr>
          <w:b/>
          <w:bCs/>
          <w:u w:val="single"/>
          <w:rtl/>
        </w:rPr>
      </w:pPr>
    </w:p>
    <w:p w14:paraId="7BEED562" w14:textId="77777777" w:rsidR="004659A0" w:rsidRDefault="00446A87">
      <w:pPr>
        <w:spacing w:line="360" w:lineRule="auto"/>
        <w:jc w:val="both"/>
        <w:rPr>
          <w:rtl/>
        </w:rPr>
      </w:pPr>
      <w:r>
        <w:rPr>
          <w:rFonts w:hint="cs"/>
          <w:rtl/>
        </w:rPr>
        <w:t xml:space="preserve">על אף גילו של הנאשם, שהינו בן 27 שנים בלבד, הוא בעל עבר פלילי לא מבוטל. הנאשם עמד לדין בעבר כבר 5 פעמים- פעמיים ללא הרשעה בבית-משפט השלום לנוער, ופעמיים הורשע ונשלח למאסרים בפועל. </w:t>
      </w:r>
    </w:p>
    <w:p w14:paraId="147D0245" w14:textId="77777777" w:rsidR="004659A0" w:rsidRDefault="00446A87">
      <w:pPr>
        <w:spacing w:line="360" w:lineRule="auto"/>
        <w:jc w:val="both"/>
        <w:rPr>
          <w:rtl/>
        </w:rPr>
      </w:pPr>
      <w:r>
        <w:rPr>
          <w:rFonts w:hint="cs"/>
          <w:rtl/>
        </w:rPr>
        <w:t>הרשעתו האחרונה של הנאשם הינה משנת 2008, כלומר, חלפה תקופה לא מבוטלת מאז, אך גיליון הרשעותיו כולל עבירות אלימות חמורות, איומים ועבירות כלפי שוטרים.</w:t>
      </w:r>
    </w:p>
    <w:p w14:paraId="1ACCD9AD" w14:textId="77777777" w:rsidR="004659A0" w:rsidRDefault="004659A0">
      <w:pPr>
        <w:spacing w:line="360" w:lineRule="auto"/>
        <w:jc w:val="both"/>
        <w:rPr>
          <w:rtl/>
        </w:rPr>
      </w:pPr>
    </w:p>
    <w:p w14:paraId="3FC775B3" w14:textId="77777777" w:rsidR="004659A0" w:rsidRDefault="00446A87">
      <w:pPr>
        <w:spacing w:line="360" w:lineRule="auto"/>
        <w:jc w:val="both"/>
        <w:rPr>
          <w:rtl/>
        </w:rPr>
      </w:pPr>
      <w:r>
        <w:rPr>
          <w:rFonts w:hint="cs"/>
          <w:rtl/>
        </w:rPr>
        <w:t xml:space="preserve">מכתב האישום בתיק העיקרי עולה כי גם לקטינים היה חלק באירוע, הם רצו אחרי הנאשם שניסה לצאת מהמקום, נאבקו בו ובמהלך מאבק זה הוא דקר את אחד מהם. </w:t>
      </w:r>
    </w:p>
    <w:p w14:paraId="61FB222D" w14:textId="77777777" w:rsidR="004659A0" w:rsidRDefault="004659A0">
      <w:pPr>
        <w:spacing w:line="360" w:lineRule="auto"/>
        <w:jc w:val="both"/>
        <w:rPr>
          <w:rtl/>
        </w:rPr>
      </w:pPr>
    </w:p>
    <w:p w14:paraId="7A5B037E" w14:textId="77777777" w:rsidR="004659A0" w:rsidRDefault="00446A87">
      <w:pPr>
        <w:spacing w:line="360" w:lineRule="auto"/>
        <w:jc w:val="both"/>
      </w:pPr>
      <w:r>
        <w:rPr>
          <w:rFonts w:hint="cs"/>
          <w:rtl/>
        </w:rPr>
        <w:t xml:space="preserve">לאחר ששקלתי את כל הנסיבות הצריכות לעניין ואת טיעוני הצדדים, ובהם גילו של הנאשם, עברו הפלילי, התיקון בכתב האישום בתיק העיקרי, העובדה שהנאשם צירף את כל תיקיו והודה בהם, החסכון בזמן שיפוטי יקר, ואת האינטרס הציבורי, ההסדר הינו סביר ועולה בקנה אחד עם מתחם הענישה ההולם והראוי. </w:t>
      </w:r>
    </w:p>
    <w:p w14:paraId="10A1EF3D" w14:textId="77777777" w:rsidR="004659A0" w:rsidRDefault="004659A0">
      <w:pPr>
        <w:spacing w:line="360" w:lineRule="auto"/>
        <w:jc w:val="both"/>
        <w:rPr>
          <w:rtl/>
        </w:rPr>
      </w:pPr>
    </w:p>
    <w:p w14:paraId="2F63B161" w14:textId="77777777" w:rsidR="004659A0" w:rsidRDefault="00446A87">
      <w:pPr>
        <w:spacing w:line="360" w:lineRule="auto"/>
        <w:jc w:val="both"/>
        <w:rPr>
          <w:rtl/>
        </w:rPr>
      </w:pPr>
      <w:r>
        <w:rPr>
          <w:rFonts w:hint="cs"/>
          <w:rtl/>
        </w:rPr>
        <w:t>לפיכך, אני מוצאת לנכון לכבד את הסדר הטיעון וגוזרת על הנאשם את העונשים הבאים:</w:t>
      </w:r>
    </w:p>
    <w:p w14:paraId="1E98B540" w14:textId="77777777" w:rsidR="004659A0" w:rsidRDefault="004659A0">
      <w:pPr>
        <w:spacing w:line="360" w:lineRule="auto"/>
        <w:jc w:val="both"/>
        <w:rPr>
          <w:sz w:val="20"/>
          <w:rtl/>
        </w:rPr>
      </w:pPr>
    </w:p>
    <w:p w14:paraId="636E1803" w14:textId="77777777" w:rsidR="004659A0" w:rsidRDefault="00446A87">
      <w:pPr>
        <w:spacing w:line="360" w:lineRule="auto"/>
        <w:jc w:val="both"/>
        <w:rPr>
          <w:rtl/>
        </w:rPr>
      </w:pPr>
      <w:r>
        <w:rPr>
          <w:rFonts w:hint="cs"/>
          <w:rtl/>
        </w:rPr>
        <w:t>א)</w:t>
      </w:r>
      <w:r>
        <w:rPr>
          <w:rFonts w:hint="cs"/>
          <w:rtl/>
        </w:rPr>
        <w:tab/>
        <w:t>18 חודשי מאסר בפועל, בקיזוז ימי מעצרו מיום 21/9/2014.</w:t>
      </w:r>
    </w:p>
    <w:p w14:paraId="119C1B09" w14:textId="77777777" w:rsidR="004659A0" w:rsidRDefault="004659A0">
      <w:pPr>
        <w:spacing w:line="360" w:lineRule="auto"/>
        <w:jc w:val="both"/>
        <w:rPr>
          <w:rtl/>
        </w:rPr>
      </w:pPr>
    </w:p>
    <w:p w14:paraId="2CC5E9FC" w14:textId="77777777" w:rsidR="004659A0" w:rsidRDefault="00446A87">
      <w:pPr>
        <w:spacing w:line="360" w:lineRule="auto"/>
        <w:ind w:left="720" w:hanging="720"/>
        <w:jc w:val="both"/>
      </w:pPr>
      <w:r>
        <w:rPr>
          <w:rFonts w:hint="cs"/>
          <w:rtl/>
        </w:rPr>
        <w:t>ב)</w:t>
      </w:r>
      <w:r>
        <w:rPr>
          <w:rFonts w:hint="cs"/>
          <w:rtl/>
        </w:rPr>
        <w:tab/>
        <w:t xml:space="preserve">מאסר על תנאי למשך 6 חודשים, והנאשם לא יישא בעונש זה אלא אם כן יעבור בתוך שלוש שנים מיום שחרורו ממאסר עבירת אלימות מסוג פשע. </w:t>
      </w:r>
    </w:p>
    <w:p w14:paraId="3FAE277D" w14:textId="77777777" w:rsidR="004659A0" w:rsidRDefault="004659A0">
      <w:pPr>
        <w:spacing w:line="360" w:lineRule="auto"/>
        <w:ind w:left="720" w:hanging="720"/>
        <w:jc w:val="both"/>
        <w:rPr>
          <w:rtl/>
        </w:rPr>
      </w:pPr>
    </w:p>
    <w:p w14:paraId="172DB011" w14:textId="77777777" w:rsidR="004659A0" w:rsidRDefault="00446A87">
      <w:pPr>
        <w:spacing w:line="360" w:lineRule="auto"/>
        <w:ind w:left="720" w:hanging="720"/>
        <w:jc w:val="both"/>
      </w:pPr>
      <w:r>
        <w:rPr>
          <w:rFonts w:hint="cs"/>
          <w:rtl/>
        </w:rPr>
        <w:t>ג)</w:t>
      </w:r>
      <w:r>
        <w:rPr>
          <w:rFonts w:hint="cs"/>
          <w:rtl/>
        </w:rPr>
        <w:tab/>
        <w:t>מאסר על תנאי למשך 4 חודשים, והנאשם לא יישא בעונש זה אלא אם כן יעבור בתוך שלוש שנים מיום שחרורו ממאסר עבירת אלימות מסוג עוון לרבות עבירת איומים ו/או עבירה של החזקת סכין למטרה לא כשרה ו/או עבירות כלפי שוטרים ועובדי ציבור ו/או עבירה של שיבוש מהלכי משפט.</w:t>
      </w:r>
    </w:p>
    <w:p w14:paraId="4EC844DB" w14:textId="77777777" w:rsidR="004659A0" w:rsidRDefault="004659A0">
      <w:pPr>
        <w:spacing w:line="360" w:lineRule="auto"/>
        <w:ind w:left="720" w:hanging="720"/>
        <w:jc w:val="both"/>
        <w:rPr>
          <w:rtl/>
        </w:rPr>
      </w:pPr>
    </w:p>
    <w:p w14:paraId="740666BD" w14:textId="77777777" w:rsidR="004659A0" w:rsidRDefault="00446A87">
      <w:pPr>
        <w:spacing w:line="360" w:lineRule="auto"/>
        <w:ind w:left="720" w:hanging="720"/>
        <w:jc w:val="both"/>
      </w:pPr>
      <w:r>
        <w:rPr>
          <w:rFonts w:hint="cs"/>
          <w:rtl/>
        </w:rPr>
        <w:t>ד)</w:t>
      </w:r>
      <w:r>
        <w:rPr>
          <w:rFonts w:hint="cs"/>
          <w:rtl/>
        </w:rPr>
        <w:tab/>
        <w:t xml:space="preserve">מאסר על תנאי למשך חודש, והנאשם לא יישא בעונש זה אלא אם כן יעבור בתוך שלוש שנים מיום שחרורו ממאסר עבירה על </w:t>
      </w:r>
      <w:hyperlink r:id="rId48" w:history="1">
        <w:r w:rsidRPr="00446A87">
          <w:rPr>
            <w:color w:val="0000FF"/>
            <w:u w:val="single"/>
            <w:rtl/>
          </w:rPr>
          <w:t>פקודת הסמים המסוכנים</w:t>
        </w:r>
      </w:hyperlink>
      <w:r>
        <w:rPr>
          <w:rFonts w:hint="cs"/>
          <w:rtl/>
        </w:rPr>
        <w:t xml:space="preserve">. </w:t>
      </w:r>
    </w:p>
    <w:p w14:paraId="34A0510E" w14:textId="77777777" w:rsidR="004659A0" w:rsidRDefault="004659A0">
      <w:pPr>
        <w:spacing w:line="360" w:lineRule="auto"/>
        <w:ind w:left="720" w:hanging="720"/>
        <w:jc w:val="both"/>
        <w:rPr>
          <w:rtl/>
        </w:rPr>
      </w:pPr>
    </w:p>
    <w:p w14:paraId="05524B40" w14:textId="77777777" w:rsidR="004659A0" w:rsidRDefault="00446A87">
      <w:pPr>
        <w:spacing w:line="360" w:lineRule="auto"/>
        <w:ind w:left="720" w:hanging="720"/>
        <w:jc w:val="both"/>
        <w:rPr>
          <w:rtl/>
        </w:rPr>
      </w:pPr>
      <w:r>
        <w:rPr>
          <w:rFonts w:hint="cs"/>
          <w:rtl/>
        </w:rPr>
        <w:t>ה)</w:t>
      </w:r>
      <w:r>
        <w:rPr>
          <w:rFonts w:hint="cs"/>
          <w:rtl/>
        </w:rPr>
        <w:tab/>
        <w:t xml:space="preserve">פיצוי בסך 750 ₪. הפיצוי יופקד בקופת בית המשפט עד ליום 1/3/2016 ויועבר על-ידי המזכירות למתלונן, י', בא-כוח המאשימה תמסור את פרטיו במזכירות בית-המשפט. </w:t>
      </w:r>
    </w:p>
    <w:p w14:paraId="411D7C77" w14:textId="77777777" w:rsidR="004659A0" w:rsidRDefault="004659A0">
      <w:pPr>
        <w:pStyle w:val="a9"/>
        <w:spacing w:line="360" w:lineRule="auto"/>
        <w:ind w:left="0"/>
        <w:jc w:val="both"/>
        <w:rPr>
          <w:rtl/>
        </w:rPr>
      </w:pPr>
    </w:p>
    <w:p w14:paraId="233CAD23" w14:textId="77777777" w:rsidR="004659A0" w:rsidRDefault="00446A87">
      <w:pPr>
        <w:pStyle w:val="a9"/>
        <w:spacing w:line="360" w:lineRule="auto"/>
        <w:ind w:left="0"/>
        <w:jc w:val="both"/>
        <w:rPr>
          <w:b/>
          <w:bCs/>
        </w:rPr>
      </w:pPr>
      <w:r>
        <w:rPr>
          <w:rFonts w:hint="cs"/>
          <w:b/>
          <w:bCs/>
          <w:rtl/>
        </w:rPr>
        <w:t xml:space="preserve">ניתן צו כללי למוצגים בתיק זה, ובתיקים שצורפו. </w:t>
      </w:r>
    </w:p>
    <w:p w14:paraId="69CACB43" w14:textId="77777777" w:rsidR="004659A0" w:rsidRDefault="004659A0">
      <w:pPr>
        <w:spacing w:line="360" w:lineRule="auto"/>
        <w:jc w:val="both"/>
        <w:rPr>
          <w:rtl/>
        </w:rPr>
      </w:pPr>
    </w:p>
    <w:p w14:paraId="23E4C858" w14:textId="77777777" w:rsidR="004659A0" w:rsidRDefault="00446A87">
      <w:pPr>
        <w:spacing w:line="360" w:lineRule="auto"/>
        <w:jc w:val="both"/>
        <w:rPr>
          <w:b/>
          <w:bCs/>
          <w:rtl/>
        </w:rPr>
      </w:pPr>
      <w:r>
        <w:rPr>
          <w:rFonts w:hint="cs"/>
          <w:b/>
          <w:bCs/>
          <w:rtl/>
        </w:rPr>
        <w:t>בא-כוח הנאשם יסייע לנאשם בקבלת שובר לתשלום הפיצוי ממזכירות בית-המשפט.</w:t>
      </w:r>
    </w:p>
    <w:p w14:paraId="1AE6AD3D" w14:textId="77777777" w:rsidR="004659A0" w:rsidRDefault="004659A0">
      <w:pPr>
        <w:spacing w:line="360" w:lineRule="auto"/>
        <w:jc w:val="both"/>
        <w:rPr>
          <w:b/>
          <w:bCs/>
          <w:rtl/>
        </w:rPr>
      </w:pPr>
    </w:p>
    <w:p w14:paraId="1E90CBC3" w14:textId="77777777" w:rsidR="004659A0" w:rsidRDefault="00446A87">
      <w:pPr>
        <w:spacing w:line="360" w:lineRule="auto"/>
        <w:jc w:val="both"/>
        <w:rPr>
          <w:b/>
          <w:bCs/>
          <w:u w:val="single"/>
        </w:rPr>
      </w:pPr>
      <w:r>
        <w:rPr>
          <w:rFonts w:hint="cs"/>
          <w:b/>
          <w:bCs/>
          <w:u w:val="single"/>
          <w:rtl/>
        </w:rPr>
        <w:t>זכות ערעור לבית המשפט מחוזי מרכז – לוד תוך 45 ימים מהיום.</w:t>
      </w:r>
    </w:p>
    <w:p w14:paraId="33E5C012" w14:textId="77777777" w:rsidR="004659A0" w:rsidRDefault="00446A87">
      <w:pPr>
        <w:spacing w:line="360" w:lineRule="auto"/>
        <w:jc w:val="both"/>
        <w:rPr>
          <w:b/>
          <w:bCs/>
          <w:sz w:val="6"/>
          <w:szCs w:val="6"/>
          <w:rtl/>
        </w:rPr>
      </w:pPr>
      <w:r>
        <w:rPr>
          <w:b/>
          <w:bCs/>
          <w:sz w:val="6"/>
          <w:szCs w:val="6"/>
          <w:rtl/>
        </w:rPr>
        <w:t>&lt;#8#&gt;</w:t>
      </w:r>
    </w:p>
    <w:p w14:paraId="10065047" w14:textId="77777777" w:rsidR="004659A0" w:rsidRDefault="004659A0">
      <w:pPr>
        <w:jc w:val="right"/>
        <w:rPr>
          <w:rtl/>
        </w:rPr>
      </w:pPr>
    </w:p>
    <w:p w14:paraId="5D42702F" w14:textId="77777777" w:rsidR="004659A0" w:rsidRDefault="00446A87">
      <w:pPr>
        <w:jc w:val="center"/>
        <w:rPr>
          <w:rtl/>
        </w:rPr>
      </w:pPr>
      <w:r w:rsidRPr="00446A87">
        <w:rPr>
          <w:b/>
          <w:bCs/>
          <w:color w:val="FFFFFF"/>
          <w:sz w:val="2"/>
          <w:szCs w:val="2"/>
          <w:rtl/>
        </w:rPr>
        <w:t>5129371</w:t>
      </w:r>
      <w:r>
        <w:rPr>
          <w:b/>
          <w:bCs/>
          <w:rtl/>
        </w:rPr>
        <w:t xml:space="preserve">ניתן והודע היום כ"ג טבת תשע"ה, 14/01/2015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659A0" w14:paraId="6B7F7013" w14:textId="77777777">
        <w:trPr>
          <w:trHeight w:val="316"/>
          <w:jc w:val="right"/>
        </w:trPr>
        <w:tc>
          <w:tcPr>
            <w:tcW w:w="3936" w:type="dxa"/>
          </w:tcPr>
          <w:p w14:paraId="58D6A459" w14:textId="77777777" w:rsidR="004659A0" w:rsidRPr="00446A87" w:rsidRDefault="00446A87">
            <w:pPr>
              <w:jc w:val="center"/>
              <w:rPr>
                <w:rFonts w:ascii="Times New Roman" w:eastAsia="Times New Roman" w:hAnsi="Times New Roman" w:cs="Times New Roman"/>
                <w:color w:val="FFFFFF"/>
                <w:sz w:val="2"/>
                <w:szCs w:val="2"/>
              </w:rPr>
            </w:pPr>
            <w:r w:rsidRPr="00446A87">
              <w:rPr>
                <w:rFonts w:ascii="Times New Roman" w:eastAsia="Times New Roman" w:hAnsi="Times New Roman" w:cs="Times New Roman"/>
                <w:color w:val="FFFFFF"/>
                <w:sz w:val="2"/>
                <w:szCs w:val="2"/>
                <w:rtl/>
              </w:rPr>
              <w:t>54678313</w:t>
            </w:r>
          </w:p>
          <w:p w14:paraId="3D6BCC0A" w14:textId="77777777" w:rsidR="004659A0" w:rsidRDefault="004659A0">
            <w:pPr>
              <w:jc w:val="center"/>
              <w:rPr>
                <w:rFonts w:ascii="Times New Roman" w:eastAsia="Times New Roman" w:hAnsi="Times New Roman" w:cs="Times New Roman"/>
                <w:rtl/>
              </w:rPr>
            </w:pPr>
          </w:p>
        </w:tc>
      </w:tr>
      <w:tr w:rsidR="004659A0" w14:paraId="551B55E6" w14:textId="77777777">
        <w:trPr>
          <w:trHeight w:val="361"/>
          <w:jc w:val="right"/>
        </w:trPr>
        <w:tc>
          <w:tcPr>
            <w:tcW w:w="3936" w:type="dxa"/>
          </w:tcPr>
          <w:p w14:paraId="12FB7DF2" w14:textId="77777777" w:rsidR="004659A0" w:rsidRDefault="00446A87">
            <w:pPr>
              <w:jc w:val="center"/>
              <w:rPr>
                <w:rFonts w:ascii="Times New Roman" w:eastAsia="Times New Roman" w:hAnsi="Times New Roman"/>
                <w:b/>
                <w:bCs/>
                <w:rtl/>
              </w:rPr>
            </w:pPr>
            <w:r>
              <w:rPr>
                <w:rFonts w:ascii="Times New Roman" w:eastAsia="Times New Roman" w:hAnsi="Times New Roman" w:hint="cs"/>
                <w:b/>
                <w:bCs/>
                <w:rtl/>
              </w:rPr>
              <w:t>שירלי דקל נוה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14BB401C" w14:textId="77777777" w:rsidR="004659A0" w:rsidRDefault="004659A0">
      <w:pPr>
        <w:spacing w:line="360" w:lineRule="auto"/>
        <w:jc w:val="both"/>
        <w:rPr>
          <w:rtl/>
        </w:rPr>
      </w:pPr>
      <w:bookmarkStart w:id="7" w:name="_GoBack"/>
      <w:bookmarkEnd w:id="7"/>
    </w:p>
    <w:p w14:paraId="6E9726B2" w14:textId="77777777" w:rsidR="004659A0" w:rsidRDefault="00446A87">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37B4612B" w14:textId="77777777" w:rsidR="00446A87" w:rsidRPr="00446A87" w:rsidRDefault="00446A87" w:rsidP="00446A87">
      <w:pPr>
        <w:keepNext/>
        <w:rPr>
          <w:color w:val="000000"/>
          <w:sz w:val="22"/>
          <w:szCs w:val="22"/>
          <w:rtl/>
        </w:rPr>
      </w:pPr>
    </w:p>
    <w:p w14:paraId="1E0074AE" w14:textId="77777777" w:rsidR="00446A87" w:rsidRPr="00446A87" w:rsidRDefault="00446A87" w:rsidP="00446A87">
      <w:pPr>
        <w:keepNext/>
        <w:rPr>
          <w:color w:val="000000"/>
          <w:sz w:val="22"/>
          <w:szCs w:val="22"/>
          <w:rtl/>
        </w:rPr>
      </w:pPr>
      <w:r w:rsidRPr="00446A87">
        <w:rPr>
          <w:color w:val="000000"/>
          <w:sz w:val="22"/>
          <w:szCs w:val="22"/>
          <w:rtl/>
        </w:rPr>
        <w:t>שירלי דקל נוה 54678313</w:t>
      </w:r>
    </w:p>
    <w:p w14:paraId="12890AAF" w14:textId="77777777" w:rsidR="00446A87" w:rsidRDefault="00446A87" w:rsidP="00446A87">
      <w:r w:rsidRPr="00446A87">
        <w:rPr>
          <w:color w:val="000000"/>
          <w:rtl/>
        </w:rPr>
        <w:t>נוסח מסמך זה כפוף לשינויי ניסוח ועריכה</w:t>
      </w:r>
    </w:p>
    <w:p w14:paraId="2E6B9C63" w14:textId="77777777" w:rsidR="00446A87" w:rsidRDefault="00446A87" w:rsidP="00446A87">
      <w:pPr>
        <w:rPr>
          <w:rtl/>
        </w:rPr>
      </w:pPr>
    </w:p>
    <w:p w14:paraId="715B605F" w14:textId="77777777" w:rsidR="00446A87" w:rsidRDefault="00446A87" w:rsidP="00446A87">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598D179E" w14:textId="77777777" w:rsidR="004659A0" w:rsidRPr="00446A87" w:rsidRDefault="004659A0" w:rsidP="00446A87">
      <w:pPr>
        <w:jc w:val="center"/>
        <w:rPr>
          <w:color w:val="0000FF"/>
          <w:u w:val="single"/>
        </w:rPr>
      </w:pPr>
    </w:p>
    <w:sectPr w:rsidR="004659A0" w:rsidRPr="00446A87" w:rsidSect="00446A87">
      <w:headerReference w:type="even" r:id="rId50"/>
      <w:headerReference w:type="default" r:id="rId51"/>
      <w:footerReference w:type="even" r:id="rId52"/>
      <w:footerReference w:type="default" r:id="rId5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5BE85" w14:textId="77777777" w:rsidR="00C860DD" w:rsidRPr="00B81830" w:rsidRDefault="00C860DD">
      <w:pPr>
        <w:rPr>
          <w:rFonts w:cs="Arial"/>
          <w:szCs w:val="20"/>
        </w:rPr>
      </w:pPr>
      <w:r>
        <w:separator/>
      </w:r>
    </w:p>
  </w:endnote>
  <w:endnote w:type="continuationSeparator" w:id="0">
    <w:p w14:paraId="4705DE2F" w14:textId="77777777" w:rsidR="00C860DD" w:rsidRPr="00B81830" w:rsidRDefault="00C860D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D4FEC" w14:textId="77777777" w:rsidR="00C860DD" w:rsidRDefault="00C860DD" w:rsidP="00446A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48EFD30C" w14:textId="77777777" w:rsidR="00C860DD" w:rsidRPr="00446A87" w:rsidRDefault="00C860DD" w:rsidP="00446A87">
    <w:pPr>
      <w:pStyle w:val="a5"/>
      <w:pBdr>
        <w:top w:val="single" w:sz="4" w:space="1" w:color="auto"/>
        <w:between w:val="single" w:sz="4" w:space="0" w:color="auto"/>
      </w:pBdr>
      <w:spacing w:after="60"/>
      <w:jc w:val="center"/>
      <w:rPr>
        <w:rFonts w:ascii="FrankRuehl" w:hAnsi="FrankRuehl" w:cs="FrankRuehl"/>
        <w:color w:val="000000"/>
      </w:rPr>
    </w:pPr>
    <w:r w:rsidRPr="00446A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15F9F" w14:textId="77777777" w:rsidR="00C860DD" w:rsidRDefault="00C860DD" w:rsidP="00446A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71D2">
      <w:rPr>
        <w:rFonts w:ascii="FrankRuehl" w:hAnsi="FrankRuehl" w:cs="FrankRuehl"/>
        <w:noProof/>
        <w:rtl/>
      </w:rPr>
      <w:t>1</w:t>
    </w:r>
    <w:r>
      <w:rPr>
        <w:rFonts w:ascii="FrankRuehl" w:hAnsi="FrankRuehl" w:cs="FrankRuehl"/>
        <w:rtl/>
      </w:rPr>
      <w:fldChar w:fldCharType="end"/>
    </w:r>
  </w:p>
  <w:p w14:paraId="61AE48CD" w14:textId="77777777" w:rsidR="00C860DD" w:rsidRPr="00446A87" w:rsidRDefault="00C860DD" w:rsidP="00446A87">
    <w:pPr>
      <w:pStyle w:val="a5"/>
      <w:pBdr>
        <w:top w:val="single" w:sz="4" w:space="1" w:color="auto"/>
        <w:between w:val="single" w:sz="4" w:space="0" w:color="auto"/>
      </w:pBdr>
      <w:spacing w:after="60"/>
      <w:jc w:val="center"/>
      <w:rPr>
        <w:rFonts w:ascii="FrankRuehl" w:hAnsi="FrankRuehl" w:cs="FrankRuehl"/>
        <w:color w:val="000000"/>
      </w:rPr>
    </w:pPr>
    <w:r w:rsidRPr="00446A87">
      <w:rPr>
        <w:rFonts w:ascii="FrankRuehl" w:hAnsi="FrankRuehl" w:cs="FrankRuehl"/>
        <w:color w:val="000000"/>
      </w:rPr>
      <w:pict w14:anchorId="44C3B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AF2DE" w14:textId="77777777" w:rsidR="00C860DD" w:rsidRPr="00B81830" w:rsidRDefault="00C860DD">
      <w:pPr>
        <w:rPr>
          <w:rFonts w:cs="Arial"/>
          <w:szCs w:val="20"/>
        </w:rPr>
      </w:pPr>
      <w:r>
        <w:separator/>
      </w:r>
    </w:p>
  </w:footnote>
  <w:footnote w:type="continuationSeparator" w:id="0">
    <w:p w14:paraId="5E097C36" w14:textId="77777777" w:rsidR="00C860DD" w:rsidRPr="00B81830" w:rsidRDefault="00C860D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5EEF5" w14:textId="77777777" w:rsidR="00C860DD" w:rsidRPr="00446A87" w:rsidRDefault="00C860DD" w:rsidP="00446A8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416-10-14</w:t>
    </w:r>
    <w:r>
      <w:rPr>
        <w:color w:val="000000"/>
        <w:sz w:val="22"/>
        <w:szCs w:val="22"/>
        <w:rtl/>
      </w:rPr>
      <w:tab/>
      <w:t xml:space="preserve"> מדינת ישראל נ' ליאור גבאי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6643C" w14:textId="77777777" w:rsidR="00C860DD" w:rsidRPr="00446A87" w:rsidRDefault="00C860DD" w:rsidP="00446A8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416-10-14</w:t>
    </w:r>
    <w:r>
      <w:rPr>
        <w:color w:val="000000"/>
        <w:sz w:val="22"/>
        <w:szCs w:val="22"/>
        <w:rtl/>
      </w:rPr>
      <w:tab/>
      <w:t xml:space="preserve"> מדינת ישראל נ' ליאור גבאי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59A0"/>
    <w:rsid w:val="000D5AEF"/>
    <w:rsid w:val="00446A87"/>
    <w:rsid w:val="004659A0"/>
    <w:rsid w:val="005A1F40"/>
    <w:rsid w:val="008C1DB0"/>
    <w:rsid w:val="009A71D2"/>
    <w:rsid w:val="00A72F11"/>
    <w:rsid w:val="00A8635B"/>
    <w:rsid w:val="00BC7A45"/>
    <w:rsid w:val="00C860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02765B"/>
  <w15:chartTrackingRefBased/>
  <w15:docId w15:val="{38BF3546-B8F5-44E3-8727-E00BD48D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59A0"/>
    <w:pPr>
      <w:bidi/>
    </w:pPr>
    <w:rPr>
      <w:rFonts w:ascii="David" w:eastAsia="David" w:hAnsi="David" w:cs="David"/>
      <w:sz w:val="24"/>
      <w:szCs w:val="24"/>
    </w:rPr>
  </w:style>
  <w:style w:type="paragraph" w:styleId="1">
    <w:name w:val="heading 1"/>
    <w:basedOn w:val="a"/>
    <w:next w:val="a"/>
    <w:link w:val="10"/>
    <w:qFormat/>
    <w:rsid w:val="004659A0"/>
    <w:pPr>
      <w:keepNext/>
      <w:spacing w:before="240" w:after="60"/>
      <w:outlineLvl w:val="0"/>
    </w:pPr>
    <w:rPr>
      <w:rFonts w:ascii="Arial" w:hAnsi="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659A0"/>
  </w:style>
  <w:style w:type="paragraph" w:styleId="a4">
    <w:name w:val="header"/>
    <w:basedOn w:val="a"/>
    <w:rsid w:val="004659A0"/>
    <w:pPr>
      <w:tabs>
        <w:tab w:val="center" w:pos="4153"/>
        <w:tab w:val="right" w:pos="8306"/>
      </w:tabs>
    </w:pPr>
  </w:style>
  <w:style w:type="paragraph" w:styleId="a5">
    <w:name w:val="footer"/>
    <w:basedOn w:val="a"/>
    <w:rsid w:val="004659A0"/>
    <w:pPr>
      <w:tabs>
        <w:tab w:val="center" w:pos="4153"/>
        <w:tab w:val="right" w:pos="8306"/>
      </w:tabs>
    </w:pPr>
  </w:style>
  <w:style w:type="character" w:styleId="a6">
    <w:name w:val="page number"/>
    <w:basedOn w:val="a0"/>
    <w:rsid w:val="004659A0"/>
  </w:style>
  <w:style w:type="character" w:customStyle="1" w:styleId="TimesNewRomanTimesNewRoman">
    <w:name w:val="סגנון (לטיני) Times New Roman (עברית ושפות אחרות) Times New Roman..."/>
    <w:basedOn w:val="a0"/>
    <w:rsid w:val="004659A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659A0"/>
    <w:rPr>
      <w:rFonts w:ascii="Times New Roman" w:eastAsia="Times New Roman" w:hAnsi="Times New Roman"/>
      <w:b/>
      <w:bCs/>
      <w:u w:val="single"/>
    </w:rPr>
  </w:style>
  <w:style w:type="character" w:customStyle="1" w:styleId="10">
    <w:name w:val="כותרת 1 תו"/>
    <w:basedOn w:val="a0"/>
    <w:link w:val="1"/>
    <w:rsid w:val="004659A0"/>
    <w:rPr>
      <w:rFonts w:ascii="Arial" w:eastAsia="David" w:hAnsi="Arial" w:cs="David"/>
      <w:b/>
      <w:bCs/>
      <w:kern w:val="32"/>
      <w:sz w:val="32"/>
      <w:szCs w:val="32"/>
      <w:lang w:val="en-US" w:eastAsia="en-US" w:bidi="he-IL"/>
    </w:rPr>
  </w:style>
  <w:style w:type="paragraph" w:styleId="a7">
    <w:name w:val="Body Text"/>
    <w:basedOn w:val="a"/>
    <w:link w:val="a8"/>
    <w:rsid w:val="004659A0"/>
    <w:pPr>
      <w:snapToGrid w:val="0"/>
      <w:spacing w:line="360" w:lineRule="auto"/>
      <w:ind w:right="720"/>
    </w:pPr>
    <w:rPr>
      <w:rFonts w:ascii="Times New Roman" w:eastAsia="Times New Roman" w:hAnsi="Times New Roman" w:cs="Times New Roman"/>
      <w:sz w:val="22"/>
      <w:lang w:eastAsia="he-IL"/>
    </w:rPr>
  </w:style>
  <w:style w:type="character" w:customStyle="1" w:styleId="a8">
    <w:name w:val="גוף טקסט תו"/>
    <w:basedOn w:val="a0"/>
    <w:link w:val="a7"/>
    <w:rsid w:val="004659A0"/>
    <w:rPr>
      <w:sz w:val="22"/>
      <w:szCs w:val="24"/>
      <w:lang w:val="en-US" w:eastAsia="he-IL" w:bidi="he-IL"/>
    </w:rPr>
  </w:style>
  <w:style w:type="paragraph" w:styleId="a9">
    <w:name w:val="Body Text Indent"/>
    <w:basedOn w:val="a"/>
    <w:link w:val="aa"/>
    <w:rsid w:val="004659A0"/>
    <w:pPr>
      <w:snapToGrid w:val="0"/>
      <w:spacing w:after="120"/>
      <w:ind w:left="283"/>
    </w:pPr>
    <w:rPr>
      <w:rFonts w:ascii="Times New Roman" w:eastAsia="Times New Roman" w:hAnsi="Times New Roman"/>
      <w:sz w:val="20"/>
      <w:lang w:eastAsia="he-IL"/>
    </w:rPr>
  </w:style>
  <w:style w:type="character" w:customStyle="1" w:styleId="aa">
    <w:name w:val="כניסה בגוף טקסט תו"/>
    <w:basedOn w:val="a0"/>
    <w:link w:val="a9"/>
    <w:rsid w:val="004659A0"/>
    <w:rPr>
      <w:rFonts w:cs="David"/>
      <w:szCs w:val="24"/>
      <w:lang w:val="en-US" w:eastAsia="he-IL" w:bidi="he-IL"/>
    </w:rPr>
  </w:style>
  <w:style w:type="character" w:styleId="Hyperlink">
    <w:name w:val="Hyperlink"/>
    <w:basedOn w:val="a0"/>
    <w:rsid w:val="00446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4"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18144103"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273" TargetMode="External"/><Relationship Id="rId47" Type="http://schemas.openxmlformats.org/officeDocument/2006/relationships/hyperlink" Target="http://www.nevo.co.il/case/18144103"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186.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law/70301/275"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7.a" TargetMode="External"/><Relationship Id="rId40" Type="http://schemas.openxmlformats.org/officeDocument/2006/relationships/hyperlink" Target="http://www.nevo.co.il/law/70301/192"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273" TargetMode="External"/><Relationship Id="rId19" Type="http://schemas.openxmlformats.org/officeDocument/2006/relationships/hyperlink" Target="http://www.nevo.co.il/law/70301/334" TargetMode="External"/><Relationship Id="rId31" Type="http://schemas.openxmlformats.org/officeDocument/2006/relationships/hyperlink" Target="http://www.nevo.co.il/law/70301/288" TargetMode="External"/><Relationship Id="rId44" Type="http://schemas.openxmlformats.org/officeDocument/2006/relationships/hyperlink" Target="http://www.nevo.co.il/law/70301/288"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70301/186.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44" TargetMode="External"/><Relationship Id="rId43" Type="http://schemas.openxmlformats.org/officeDocument/2006/relationships/hyperlink" Target="http://www.nevo.co.il/law/70301" TargetMode="External"/><Relationship Id="rId48" Type="http://schemas.openxmlformats.org/officeDocument/2006/relationships/hyperlink" Target="http://www.nevo.co.il/law/4216" TargetMode="External"/><Relationship Id="rId8" Type="http://schemas.openxmlformats.org/officeDocument/2006/relationships/hyperlink" Target="http://www.nevo.co.il/law/70301/192"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288"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4216/7.c" TargetMode="External"/><Relationship Id="rId46" Type="http://schemas.openxmlformats.org/officeDocument/2006/relationships/hyperlink" Target="http://www.nevo.co.il/case/18144103" TargetMode="External"/><Relationship Id="rId20" Type="http://schemas.openxmlformats.org/officeDocument/2006/relationships/hyperlink" Target="http://www.nevo.co.il/law/70301/335.a.1" TargetMode="External"/><Relationship Id="rId41" Type="http://schemas.openxmlformats.org/officeDocument/2006/relationships/hyperlink" Target="http://www.nevo.co.il/law/70301"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79"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8796</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3407993</vt:i4>
      </vt:variant>
      <vt:variant>
        <vt:i4>123</vt:i4>
      </vt:variant>
      <vt:variant>
        <vt:i4>0</vt:i4>
      </vt:variant>
      <vt:variant>
        <vt:i4>5</vt:i4>
      </vt:variant>
      <vt:variant>
        <vt:lpwstr>http://www.nevo.co.il/case/18144103</vt:lpwstr>
      </vt:variant>
      <vt:variant>
        <vt:lpwstr/>
      </vt:variant>
      <vt:variant>
        <vt:i4>3407993</vt:i4>
      </vt:variant>
      <vt:variant>
        <vt:i4>120</vt:i4>
      </vt:variant>
      <vt:variant>
        <vt:i4>0</vt:i4>
      </vt:variant>
      <vt:variant>
        <vt:i4>5</vt:i4>
      </vt:variant>
      <vt:variant>
        <vt:lpwstr>http://www.nevo.co.il/case/18144103</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7143527</vt:i4>
      </vt:variant>
      <vt:variant>
        <vt:i4>114</vt:i4>
      </vt:variant>
      <vt:variant>
        <vt:i4>0</vt:i4>
      </vt:variant>
      <vt:variant>
        <vt:i4>5</vt:i4>
      </vt:variant>
      <vt:variant>
        <vt:lpwstr>http://www.nevo.co.il/law/70301/288</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6422631</vt:i4>
      </vt:variant>
      <vt:variant>
        <vt:i4>108</vt:i4>
      </vt:variant>
      <vt:variant>
        <vt:i4>0</vt:i4>
      </vt:variant>
      <vt:variant>
        <vt:i4>5</vt:i4>
      </vt:variant>
      <vt:variant>
        <vt:lpwstr>http://www.nevo.co.il/law/70301/273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8257637</vt:i4>
      </vt:variant>
      <vt:variant>
        <vt:i4>99</vt:i4>
      </vt:variant>
      <vt:variant>
        <vt:i4>0</vt:i4>
      </vt:variant>
      <vt:variant>
        <vt:i4>5</vt:i4>
      </vt:variant>
      <vt:variant>
        <vt:lpwstr>http://www.nevo.co.il/law/4216</vt:lpwstr>
      </vt:variant>
      <vt:variant>
        <vt:lpwstr/>
      </vt:variant>
      <vt:variant>
        <vt:i4>2752612</vt:i4>
      </vt:variant>
      <vt:variant>
        <vt:i4>96</vt:i4>
      </vt:variant>
      <vt:variant>
        <vt:i4>0</vt:i4>
      </vt:variant>
      <vt:variant>
        <vt:i4>5</vt:i4>
      </vt:variant>
      <vt:variant>
        <vt:lpwstr>http://www.nevo.co.il/law/4216/7.c</vt:lpwstr>
      </vt:variant>
      <vt:variant>
        <vt:lpwstr/>
      </vt:variant>
      <vt:variant>
        <vt:i4>2621540</vt:i4>
      </vt:variant>
      <vt:variant>
        <vt:i4>93</vt:i4>
      </vt:variant>
      <vt:variant>
        <vt:i4>0</vt:i4>
      </vt:variant>
      <vt:variant>
        <vt:i4>5</vt:i4>
      </vt:variant>
      <vt:variant>
        <vt:lpwstr>http://www.nevo.co.il/law/4216/7.a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6357095</vt:i4>
      </vt:variant>
      <vt:variant>
        <vt:i4>87</vt:i4>
      </vt:variant>
      <vt:variant>
        <vt:i4>0</vt:i4>
      </vt:variant>
      <vt:variant>
        <vt:i4>5</vt:i4>
      </vt:variant>
      <vt:variant>
        <vt:lpwstr>http://www.nevo.co.il/law/70301/244</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7077988</vt:i4>
      </vt:variant>
      <vt:variant>
        <vt:i4>81</vt:i4>
      </vt:variant>
      <vt:variant>
        <vt:i4>0</vt:i4>
      </vt:variant>
      <vt:variant>
        <vt:i4>5</vt:i4>
      </vt:variant>
      <vt:variant>
        <vt:lpwstr>http://www.nevo.co.il/law/70301/192</vt:lpwstr>
      </vt:variant>
      <vt:variant>
        <vt:lpwstr/>
      </vt:variant>
      <vt:variant>
        <vt:i4>7995492</vt:i4>
      </vt:variant>
      <vt:variant>
        <vt:i4>78</vt:i4>
      </vt:variant>
      <vt:variant>
        <vt:i4>0</vt:i4>
      </vt:variant>
      <vt:variant>
        <vt:i4>5</vt:i4>
      </vt:variant>
      <vt:variant>
        <vt:lpwstr>http://www.nevo.co.il/law/70301</vt:lpwstr>
      </vt:variant>
      <vt:variant>
        <vt:lpwstr/>
      </vt:variant>
      <vt:variant>
        <vt:i4>7143527</vt:i4>
      </vt:variant>
      <vt:variant>
        <vt:i4>75</vt:i4>
      </vt:variant>
      <vt:variant>
        <vt:i4>0</vt:i4>
      </vt:variant>
      <vt:variant>
        <vt:i4>5</vt:i4>
      </vt:variant>
      <vt:variant>
        <vt:lpwstr>http://www.nevo.co.il/law/70301/288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4390994</vt:i4>
      </vt:variant>
      <vt:variant>
        <vt:i4>63</vt:i4>
      </vt:variant>
      <vt:variant>
        <vt:i4>0</vt:i4>
      </vt:variant>
      <vt:variant>
        <vt:i4>5</vt:i4>
      </vt:variant>
      <vt:variant>
        <vt:lpwstr>http://www.nevo.co.il/law/70301/186.a</vt:lpwstr>
      </vt:variant>
      <vt:variant>
        <vt:lpwstr/>
      </vt:variant>
      <vt:variant>
        <vt:i4>3407993</vt:i4>
      </vt:variant>
      <vt:variant>
        <vt:i4>60</vt:i4>
      </vt:variant>
      <vt:variant>
        <vt:i4>0</vt:i4>
      </vt:variant>
      <vt:variant>
        <vt:i4>5</vt:i4>
      </vt:variant>
      <vt:variant>
        <vt:lpwstr>http://www.nevo.co.il/case/18144103</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http://www.nevo.co.il/law/70301/334</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http://www.nevo.co.il/law/70301/334</vt:lpwstr>
      </vt:variant>
      <vt:variant>
        <vt:lpwstr/>
      </vt:variant>
      <vt:variant>
        <vt:i4>7143527</vt:i4>
      </vt:variant>
      <vt:variant>
        <vt:i4>18</vt:i4>
      </vt:variant>
      <vt:variant>
        <vt:i4>0</vt:i4>
      </vt:variant>
      <vt:variant>
        <vt:i4>5</vt:i4>
      </vt:variant>
      <vt:variant>
        <vt:lpwstr>http://www.nevo.co.il/law/70301/288</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6422631</vt:i4>
      </vt:variant>
      <vt:variant>
        <vt:i4>12</vt:i4>
      </vt:variant>
      <vt:variant>
        <vt:i4>0</vt:i4>
      </vt:variant>
      <vt:variant>
        <vt:i4>5</vt:i4>
      </vt:variant>
      <vt:variant>
        <vt:lpwstr>http://www.nevo.co.il/law/70301/273</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ליאור גבאי</vt:lpwstr>
  </property>
  <property fmtid="{D5CDD505-2E9C-101B-9397-08002B2CF9AE}" pid="10" name="LAWYER">
    <vt:lpwstr>טל שילוני;ארז צברי</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20150114</vt:lpwstr>
  </property>
  <property fmtid="{D5CDD505-2E9C-101B-9397-08002B2CF9AE}" pid="14" name="TYPE_N_DATE">
    <vt:lpwstr>38020150114</vt:lpwstr>
  </property>
  <property fmtid="{D5CDD505-2E9C-101B-9397-08002B2CF9AE}" pid="15" name="CASESLISTTMP1">
    <vt:lpwstr>18144103:4</vt:lpwstr>
  </property>
  <property fmtid="{D5CDD505-2E9C-101B-9397-08002B2CF9AE}" pid="16" name="WORDNUMPAGES">
    <vt:lpwstr>5</vt:lpwstr>
  </property>
  <property fmtid="{D5CDD505-2E9C-101B-9397-08002B2CF9AE}" pid="17" name="TYPE_ABS_DATE">
    <vt:lpwstr>380020150114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70301/334;335.a.1;379;192;186.a;275;288;244;273</vt:lpwstr>
  </property>
  <property fmtid="{D5CDD505-2E9C-101B-9397-08002B2CF9AE}" pid="36" name="LAWLISTTMP2">
    <vt:lpwstr>4216/007.a;007.c</vt:lpwstr>
  </property>
  <property fmtid="{D5CDD505-2E9C-101B-9397-08002B2CF9AE}" pid="37" name="ISABSTRACT">
    <vt:lpwstr>Y</vt:lpwstr>
  </property>
</Properties>
</file>