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D66D9" w:rsidRPr="00F2792F" w14:paraId="1E145669" w14:textId="77777777">
        <w:trPr>
          <w:trHeight w:hRule="exact" w:val="418"/>
          <w:jc w:val="center"/>
        </w:trPr>
        <w:tc>
          <w:tcPr>
            <w:tcW w:w="8720" w:type="dxa"/>
            <w:gridSpan w:val="3"/>
          </w:tcPr>
          <w:p w14:paraId="6E7BCA7F" w14:textId="77777777" w:rsidR="000D66D9" w:rsidRPr="00F2792F" w:rsidRDefault="000D66D9" w:rsidP="00F2792F">
            <w:pPr>
              <w:pStyle w:val="a4"/>
              <w:tabs>
                <w:tab w:val="clear" w:pos="8306"/>
              </w:tabs>
              <w:jc w:val="center"/>
              <w:rPr>
                <w:rFonts w:ascii="Tahoma" w:hAnsi="Tahoma" w:cs="Tahoma"/>
                <w:b/>
                <w:bCs/>
                <w:color w:val="000080"/>
                <w:sz w:val="20"/>
                <w:szCs w:val="20"/>
                <w:rtl/>
              </w:rPr>
            </w:pPr>
            <w:bookmarkStart w:id="0" w:name="LastJudge"/>
            <w:r w:rsidRPr="00F2792F">
              <w:rPr>
                <w:rFonts w:ascii="Tahoma" w:hAnsi="Tahoma" w:cs="Tahoma"/>
                <w:b/>
                <w:bCs/>
                <w:color w:val="000080"/>
                <w:sz w:val="20"/>
                <w:szCs w:val="20"/>
                <w:rtl/>
              </w:rPr>
              <w:t>בית משפט השלום בכפר סבא</w:t>
            </w:r>
          </w:p>
        </w:tc>
      </w:tr>
      <w:tr w:rsidR="000D66D9" w:rsidRPr="00F2792F" w14:paraId="5EDE7DAC" w14:textId="77777777">
        <w:trPr>
          <w:trHeight w:val="337"/>
          <w:jc w:val="center"/>
        </w:trPr>
        <w:tc>
          <w:tcPr>
            <w:tcW w:w="6396" w:type="dxa"/>
          </w:tcPr>
          <w:p w14:paraId="0D43BFC2" w14:textId="77777777" w:rsidR="000D66D9" w:rsidRPr="00F2792F" w:rsidRDefault="000D66D9" w:rsidP="00F2792F">
            <w:pPr>
              <w:rPr>
                <w:b/>
                <w:bCs/>
                <w:sz w:val="26"/>
                <w:szCs w:val="26"/>
                <w:rtl/>
              </w:rPr>
            </w:pPr>
            <w:r w:rsidRPr="00F2792F">
              <w:rPr>
                <w:b/>
                <w:bCs/>
                <w:sz w:val="26"/>
                <w:szCs w:val="26"/>
                <w:rtl/>
              </w:rPr>
              <w:t>ת"פ</w:t>
            </w:r>
            <w:r w:rsidRPr="00F2792F">
              <w:rPr>
                <w:rFonts w:hint="cs"/>
                <w:b/>
                <w:bCs/>
                <w:sz w:val="26"/>
                <w:szCs w:val="26"/>
                <w:rtl/>
              </w:rPr>
              <w:t xml:space="preserve"> </w:t>
            </w:r>
            <w:r w:rsidRPr="00F2792F">
              <w:rPr>
                <w:b/>
                <w:bCs/>
                <w:sz w:val="26"/>
                <w:szCs w:val="26"/>
                <w:rtl/>
              </w:rPr>
              <w:t>43941-10-14</w:t>
            </w:r>
            <w:r w:rsidRPr="00F2792F">
              <w:rPr>
                <w:rFonts w:hint="cs"/>
                <w:b/>
                <w:bCs/>
                <w:sz w:val="26"/>
                <w:szCs w:val="26"/>
                <w:rtl/>
              </w:rPr>
              <w:t xml:space="preserve"> </w:t>
            </w:r>
            <w:r w:rsidRPr="00F2792F">
              <w:rPr>
                <w:b/>
                <w:bCs/>
                <w:sz w:val="26"/>
                <w:szCs w:val="26"/>
                <w:rtl/>
              </w:rPr>
              <w:t>מדינת ישראל נ' גאבר</w:t>
            </w:r>
          </w:p>
          <w:p w14:paraId="7B201F22" w14:textId="77777777" w:rsidR="000D66D9" w:rsidRPr="00F2792F" w:rsidRDefault="000D66D9" w:rsidP="00F2792F">
            <w:pPr>
              <w:rPr>
                <w:b/>
                <w:bCs/>
                <w:sz w:val="26"/>
                <w:szCs w:val="26"/>
                <w:rtl/>
              </w:rPr>
            </w:pPr>
          </w:p>
        </w:tc>
        <w:tc>
          <w:tcPr>
            <w:tcW w:w="236" w:type="dxa"/>
          </w:tcPr>
          <w:p w14:paraId="1A575B42" w14:textId="77777777" w:rsidR="000D66D9" w:rsidRPr="00F2792F" w:rsidRDefault="000D66D9" w:rsidP="00F2792F">
            <w:pPr>
              <w:pStyle w:val="a4"/>
              <w:jc w:val="right"/>
              <w:rPr>
                <w:b/>
                <w:bCs/>
                <w:sz w:val="26"/>
                <w:szCs w:val="26"/>
                <w:rtl/>
              </w:rPr>
            </w:pPr>
          </w:p>
        </w:tc>
        <w:tc>
          <w:tcPr>
            <w:tcW w:w="2088" w:type="dxa"/>
          </w:tcPr>
          <w:p w14:paraId="2454A8DA" w14:textId="77777777" w:rsidR="000D66D9" w:rsidRPr="00F2792F" w:rsidRDefault="000D66D9" w:rsidP="00F2792F">
            <w:pPr>
              <w:pStyle w:val="a4"/>
              <w:tabs>
                <w:tab w:val="clear" w:pos="4153"/>
              </w:tabs>
              <w:jc w:val="right"/>
              <w:rPr>
                <w:b/>
                <w:bCs/>
                <w:sz w:val="26"/>
                <w:szCs w:val="26"/>
                <w:rtl/>
              </w:rPr>
            </w:pPr>
            <w:r w:rsidRPr="00F2792F">
              <w:rPr>
                <w:b/>
                <w:bCs/>
                <w:sz w:val="26"/>
                <w:szCs w:val="26"/>
                <w:rtl/>
              </w:rPr>
              <w:t>03 יולי 2016</w:t>
            </w:r>
          </w:p>
        </w:tc>
      </w:tr>
    </w:tbl>
    <w:p w14:paraId="18881E75" w14:textId="77777777" w:rsidR="000D66D9" w:rsidRPr="00F2792F" w:rsidRDefault="000D66D9" w:rsidP="000D66D9">
      <w:pPr>
        <w:pStyle w:val="a4"/>
        <w:jc w:val="center"/>
        <w:rPr>
          <w:rFonts w:ascii="Tahoma" w:hAnsi="Tahoma" w:cs="Tahoma"/>
          <w:b/>
          <w:bCs/>
          <w:color w:val="000080"/>
          <w:sz w:val="20"/>
          <w:szCs w:val="20"/>
          <w:rtl/>
        </w:rPr>
      </w:pPr>
    </w:p>
    <w:p w14:paraId="3905225B" w14:textId="77777777" w:rsidR="000D66D9" w:rsidRPr="00F2792F" w:rsidRDefault="000D66D9" w:rsidP="000D66D9">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0D66D9" w:rsidRPr="00F2792F" w14:paraId="4C318E84" w14:textId="77777777">
        <w:trPr>
          <w:trHeight w:val="337"/>
          <w:jc w:val="center"/>
        </w:trPr>
        <w:tc>
          <w:tcPr>
            <w:tcW w:w="1592" w:type="dxa"/>
          </w:tcPr>
          <w:p w14:paraId="1503CB36" w14:textId="77777777" w:rsidR="000D66D9" w:rsidRPr="00F2792F" w:rsidRDefault="000D66D9" w:rsidP="00F2792F">
            <w:pPr>
              <w:pStyle w:val="a4"/>
              <w:bidi w:val="0"/>
              <w:spacing w:line="360" w:lineRule="auto"/>
              <w:jc w:val="both"/>
              <w:rPr>
                <w:rFonts w:ascii="Times New Roman" w:hAnsi="Times New Roman"/>
              </w:rPr>
            </w:pPr>
            <w:r w:rsidRPr="00F2792F">
              <w:rPr>
                <w:rFonts w:ascii="Times New Roman" w:hAnsi="Times New Roman"/>
              </w:rPr>
              <w:t xml:space="preserve">  </w:t>
            </w:r>
          </w:p>
        </w:tc>
        <w:tc>
          <w:tcPr>
            <w:tcW w:w="7128" w:type="dxa"/>
          </w:tcPr>
          <w:p w14:paraId="4D979B67" w14:textId="77777777" w:rsidR="000D66D9" w:rsidRPr="00F2792F" w:rsidRDefault="000D66D9" w:rsidP="00F2792F">
            <w:pPr>
              <w:pStyle w:val="a4"/>
              <w:jc w:val="right"/>
              <w:rPr>
                <w:b/>
                <w:bCs/>
                <w:sz w:val="26"/>
                <w:szCs w:val="26"/>
                <w:rtl/>
              </w:rPr>
            </w:pPr>
            <w:r w:rsidRPr="00F2792F">
              <w:rPr>
                <w:rFonts w:hint="cs"/>
                <w:rtl/>
              </w:rPr>
              <w:t xml:space="preserve"> </w:t>
            </w:r>
          </w:p>
        </w:tc>
      </w:tr>
    </w:tbl>
    <w:p w14:paraId="24353E76" w14:textId="77777777" w:rsidR="000D66D9" w:rsidRPr="00F2792F" w:rsidRDefault="000D66D9" w:rsidP="000D66D9">
      <w:pPr>
        <w:suppressLineNumbers/>
        <w:rPr>
          <w:rFonts w:ascii="Arial" w:hAnsi="Arial"/>
          <w:rtl/>
        </w:rPr>
      </w:pPr>
    </w:p>
    <w:p w14:paraId="29AA0CE9" w14:textId="77777777" w:rsidR="000D66D9" w:rsidRPr="00F2792F" w:rsidRDefault="000D66D9" w:rsidP="000D66D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0D66D9" w:rsidRPr="00F2792F" w14:paraId="44A6CC9C" w14:textId="77777777">
        <w:trPr>
          <w:gridAfter w:val="1"/>
          <w:wAfter w:w="56" w:type="dxa"/>
        </w:trPr>
        <w:tc>
          <w:tcPr>
            <w:tcW w:w="8718" w:type="dxa"/>
            <w:gridSpan w:val="2"/>
            <w:shd w:val="clear" w:color="auto" w:fill="auto"/>
          </w:tcPr>
          <w:p w14:paraId="7BBE0A87" w14:textId="77777777" w:rsidR="000D66D9" w:rsidRPr="00F2792F" w:rsidRDefault="000D66D9" w:rsidP="00F2792F">
            <w:pPr>
              <w:rPr>
                <w:rFonts w:ascii="Times New Roman" w:eastAsia="Times New Roman" w:hAnsi="Times New Roman"/>
                <w:b/>
                <w:bCs/>
                <w:sz w:val="26"/>
                <w:szCs w:val="26"/>
                <w:rtl/>
              </w:rPr>
            </w:pPr>
            <w:r w:rsidRPr="00F2792F">
              <w:rPr>
                <w:rFonts w:ascii="Times New Roman" w:eastAsia="Times New Roman" w:hAnsi="Times New Roman" w:hint="cs"/>
                <w:b/>
                <w:bCs/>
                <w:sz w:val="26"/>
                <w:szCs w:val="26"/>
                <w:rtl/>
              </w:rPr>
              <w:t>לפני כבוד ה</w:t>
            </w:r>
            <w:r w:rsidRPr="00F2792F">
              <w:rPr>
                <w:rFonts w:ascii="Times New Roman" w:eastAsia="Times New Roman" w:hAnsi="Times New Roman" w:hint="cs"/>
                <w:rtl/>
              </w:rPr>
              <w:t>שופטת מרב גרינברג</w:t>
            </w:r>
            <w:r w:rsidRPr="00F2792F">
              <w:rPr>
                <w:rStyle w:val="TimesNewRomanTimesNewRoman"/>
                <w:rFonts w:eastAsia="Times New Roman"/>
                <w:rtl/>
              </w:rPr>
              <w:t xml:space="preserve"> </w:t>
            </w:r>
          </w:p>
        </w:tc>
      </w:tr>
      <w:tr w:rsidR="000D66D9" w:rsidRPr="00F2792F" w14:paraId="260A33C2" w14:textId="77777777">
        <w:trPr>
          <w:cantSplit/>
          <w:trHeight w:val="724"/>
        </w:trPr>
        <w:tc>
          <w:tcPr>
            <w:tcW w:w="2880" w:type="dxa"/>
            <w:shd w:val="clear" w:color="auto" w:fill="auto"/>
          </w:tcPr>
          <w:p w14:paraId="4E046858" w14:textId="77777777" w:rsidR="000D66D9" w:rsidRPr="00F2792F" w:rsidRDefault="000D66D9" w:rsidP="00F2792F">
            <w:pPr>
              <w:ind w:left="26"/>
              <w:rPr>
                <w:rFonts w:ascii="Times New Roman" w:eastAsia="Times New Roman" w:hAnsi="Times New Roman"/>
                <w:b/>
                <w:bCs/>
                <w:sz w:val="26"/>
                <w:szCs w:val="26"/>
                <w:rtl/>
              </w:rPr>
            </w:pPr>
            <w:bookmarkStart w:id="1" w:name="FirstAppellant"/>
          </w:p>
          <w:p w14:paraId="1A23D27C" w14:textId="77777777" w:rsidR="000D66D9" w:rsidRPr="00F2792F" w:rsidRDefault="000D66D9" w:rsidP="00F2792F">
            <w:pPr>
              <w:ind w:left="26"/>
              <w:rPr>
                <w:rFonts w:ascii="Times New Roman" w:eastAsia="Times New Roman" w:hAnsi="Times New Roman"/>
                <w:b/>
                <w:bCs/>
                <w:sz w:val="26"/>
                <w:szCs w:val="26"/>
                <w:rtl/>
              </w:rPr>
            </w:pPr>
            <w:r w:rsidRPr="00F2792F">
              <w:rPr>
                <w:rFonts w:ascii="Times New Roman" w:eastAsia="Times New Roman" w:hAnsi="Times New Roman" w:hint="cs"/>
                <w:b/>
                <w:bCs/>
                <w:sz w:val="26"/>
                <w:szCs w:val="26"/>
                <w:rtl/>
              </w:rPr>
              <w:t>המאשימה</w:t>
            </w:r>
          </w:p>
        </w:tc>
        <w:tc>
          <w:tcPr>
            <w:tcW w:w="5922" w:type="dxa"/>
            <w:gridSpan w:val="2"/>
            <w:shd w:val="clear" w:color="auto" w:fill="auto"/>
          </w:tcPr>
          <w:p w14:paraId="6B4EA2B4" w14:textId="77777777" w:rsidR="000D66D9" w:rsidRPr="00F2792F" w:rsidRDefault="000D66D9" w:rsidP="00F2792F">
            <w:pPr>
              <w:rPr>
                <w:rFonts w:ascii="Times New Roman" w:eastAsia="Times New Roman" w:hAnsi="Times New Roman" w:cs="Times New Roman"/>
                <w:rtl/>
              </w:rPr>
            </w:pPr>
          </w:p>
          <w:p w14:paraId="42C4D46B" w14:textId="77777777" w:rsidR="000D66D9" w:rsidRPr="00F2792F" w:rsidRDefault="000D66D9" w:rsidP="00F2792F">
            <w:pPr>
              <w:rPr>
                <w:rFonts w:ascii="Times New Roman" w:eastAsia="Times New Roman" w:hAnsi="Times New Roman"/>
                <w:b/>
                <w:bCs/>
                <w:sz w:val="26"/>
                <w:szCs w:val="26"/>
                <w:rtl/>
              </w:rPr>
            </w:pPr>
            <w:r w:rsidRPr="00F2792F">
              <w:rPr>
                <w:rFonts w:ascii="Times New Roman" w:eastAsia="Times New Roman" w:hAnsi="Times New Roman" w:cs="Times New Roman" w:hint="cs"/>
                <w:rtl/>
              </w:rPr>
              <w:t xml:space="preserve"> </w:t>
            </w:r>
            <w:r w:rsidRPr="00F2792F">
              <w:rPr>
                <w:rFonts w:ascii="Times New Roman" w:eastAsia="Times New Roman" w:hAnsi="Times New Roman" w:hint="cs"/>
                <w:rtl/>
              </w:rPr>
              <w:t>מדינת ישראל</w:t>
            </w:r>
          </w:p>
          <w:p w14:paraId="1415DE9F" w14:textId="77777777" w:rsidR="000D66D9" w:rsidRPr="00F2792F" w:rsidRDefault="000D66D9" w:rsidP="00F2792F">
            <w:pPr>
              <w:rPr>
                <w:rFonts w:ascii="Times New Roman" w:eastAsia="Times New Roman" w:hAnsi="Times New Roman"/>
                <w:b/>
                <w:bCs/>
                <w:sz w:val="26"/>
                <w:szCs w:val="26"/>
                <w:rtl/>
              </w:rPr>
            </w:pPr>
          </w:p>
        </w:tc>
      </w:tr>
      <w:bookmarkEnd w:id="1"/>
      <w:tr w:rsidR="000D66D9" w:rsidRPr="00F2792F" w14:paraId="059FF99B" w14:textId="77777777">
        <w:tc>
          <w:tcPr>
            <w:tcW w:w="8802" w:type="dxa"/>
            <w:gridSpan w:val="3"/>
            <w:shd w:val="clear" w:color="auto" w:fill="auto"/>
            <w:vAlign w:val="center"/>
          </w:tcPr>
          <w:p w14:paraId="70706394" w14:textId="77777777" w:rsidR="000D66D9" w:rsidRPr="00F2792F" w:rsidRDefault="000D66D9" w:rsidP="00F2792F">
            <w:pPr>
              <w:jc w:val="center"/>
              <w:rPr>
                <w:rFonts w:ascii="Arial" w:eastAsia="Times New Roman" w:hAnsi="Arial"/>
                <w:b/>
                <w:bCs/>
                <w:sz w:val="26"/>
                <w:szCs w:val="26"/>
                <w:rtl/>
              </w:rPr>
            </w:pPr>
          </w:p>
          <w:p w14:paraId="22A91742" w14:textId="77777777" w:rsidR="000D66D9" w:rsidRPr="00F2792F" w:rsidRDefault="000D66D9" w:rsidP="00F2792F">
            <w:pPr>
              <w:jc w:val="center"/>
              <w:rPr>
                <w:rFonts w:ascii="Arial" w:eastAsia="Times New Roman" w:hAnsi="Arial"/>
                <w:b/>
                <w:bCs/>
                <w:sz w:val="26"/>
                <w:szCs w:val="26"/>
                <w:rtl/>
              </w:rPr>
            </w:pPr>
            <w:r w:rsidRPr="00F2792F">
              <w:rPr>
                <w:rFonts w:ascii="Arial" w:eastAsia="Times New Roman" w:hAnsi="Arial"/>
                <w:b/>
                <w:bCs/>
                <w:sz w:val="26"/>
                <w:szCs w:val="26"/>
                <w:rtl/>
              </w:rPr>
              <w:t>נגד</w:t>
            </w:r>
          </w:p>
          <w:p w14:paraId="4BEE076F" w14:textId="77777777" w:rsidR="000D66D9" w:rsidRPr="00F2792F" w:rsidRDefault="000D66D9" w:rsidP="00F2792F">
            <w:pPr>
              <w:rPr>
                <w:rFonts w:ascii="Arial" w:eastAsia="Times New Roman" w:hAnsi="Arial"/>
                <w:b/>
                <w:bCs/>
                <w:sz w:val="26"/>
                <w:szCs w:val="26"/>
              </w:rPr>
            </w:pPr>
          </w:p>
        </w:tc>
      </w:tr>
      <w:tr w:rsidR="000D66D9" w:rsidRPr="00F2792F" w14:paraId="5563C833" w14:textId="77777777">
        <w:tc>
          <w:tcPr>
            <w:tcW w:w="2880" w:type="dxa"/>
            <w:shd w:val="clear" w:color="auto" w:fill="auto"/>
          </w:tcPr>
          <w:p w14:paraId="65375F56" w14:textId="77777777" w:rsidR="000D66D9" w:rsidRPr="00F2792F" w:rsidRDefault="000D66D9" w:rsidP="00F2792F">
            <w:pPr>
              <w:ind w:left="26"/>
              <w:rPr>
                <w:rFonts w:ascii="Times New Roman" w:eastAsia="Times New Roman" w:hAnsi="Times New Roman"/>
                <w:b/>
                <w:bCs/>
                <w:sz w:val="26"/>
                <w:szCs w:val="26"/>
                <w:rtl/>
              </w:rPr>
            </w:pPr>
            <w:r w:rsidRPr="00F2792F">
              <w:rPr>
                <w:rFonts w:ascii="Times New Roman" w:eastAsia="Times New Roman" w:hAnsi="Times New Roman" w:hint="cs"/>
                <w:b/>
                <w:bCs/>
                <w:sz w:val="26"/>
                <w:szCs w:val="26"/>
                <w:rtl/>
              </w:rPr>
              <w:t>הנאשם</w:t>
            </w:r>
          </w:p>
        </w:tc>
        <w:tc>
          <w:tcPr>
            <w:tcW w:w="5922" w:type="dxa"/>
            <w:gridSpan w:val="2"/>
            <w:shd w:val="clear" w:color="auto" w:fill="auto"/>
          </w:tcPr>
          <w:p w14:paraId="185150A5" w14:textId="77777777" w:rsidR="000D66D9" w:rsidRPr="00F2792F" w:rsidRDefault="000D66D9" w:rsidP="00F2792F">
            <w:pPr>
              <w:rPr>
                <w:rFonts w:ascii="Times New Roman" w:eastAsia="Times New Roman" w:hAnsi="Times New Roman"/>
                <w:b/>
                <w:bCs/>
                <w:sz w:val="26"/>
                <w:szCs w:val="26"/>
                <w:rtl/>
              </w:rPr>
            </w:pPr>
            <w:r w:rsidRPr="00F2792F">
              <w:rPr>
                <w:rFonts w:ascii="Times New Roman" w:eastAsia="Times New Roman" w:hAnsi="Times New Roman" w:cs="Times New Roman" w:hint="cs"/>
                <w:rtl/>
              </w:rPr>
              <w:t xml:space="preserve"> </w:t>
            </w:r>
            <w:r w:rsidRPr="00F2792F">
              <w:rPr>
                <w:rFonts w:ascii="Times New Roman" w:eastAsia="Times New Roman" w:hAnsi="Times New Roman" w:hint="cs"/>
                <w:rtl/>
              </w:rPr>
              <w:t>אנואר גאבר</w:t>
            </w:r>
          </w:p>
          <w:p w14:paraId="028F7AB9" w14:textId="77777777" w:rsidR="000D66D9" w:rsidRPr="00F2792F" w:rsidRDefault="000D66D9" w:rsidP="00F2792F">
            <w:pPr>
              <w:rPr>
                <w:rFonts w:ascii="Times New Roman" w:eastAsia="Times New Roman" w:hAnsi="Times New Roman"/>
                <w:b/>
                <w:bCs/>
                <w:sz w:val="26"/>
                <w:szCs w:val="26"/>
                <w:rtl/>
              </w:rPr>
            </w:pPr>
          </w:p>
        </w:tc>
      </w:tr>
    </w:tbl>
    <w:p w14:paraId="700420D2" w14:textId="77777777" w:rsidR="000D66D9" w:rsidRPr="00F2792F" w:rsidRDefault="000D66D9" w:rsidP="000D66D9">
      <w:pPr>
        <w:spacing w:line="360" w:lineRule="auto"/>
        <w:jc w:val="both"/>
        <w:rPr>
          <w:sz w:val="6"/>
          <w:szCs w:val="6"/>
          <w:rtl/>
        </w:rPr>
      </w:pPr>
      <w:r w:rsidRPr="00F2792F">
        <w:rPr>
          <w:sz w:val="6"/>
          <w:szCs w:val="6"/>
          <w:rtl/>
        </w:rPr>
        <w:t>&lt;#1#&gt;</w:t>
      </w:r>
    </w:p>
    <w:p w14:paraId="696C1664" w14:textId="77777777" w:rsidR="000D66D9" w:rsidRPr="00F2792F" w:rsidRDefault="000D66D9" w:rsidP="000D66D9">
      <w:pPr>
        <w:pStyle w:val="12"/>
        <w:rPr>
          <w:u w:val="none"/>
          <w:rtl/>
        </w:rPr>
      </w:pPr>
      <w:r w:rsidRPr="00F2792F">
        <w:rPr>
          <w:rFonts w:hint="cs"/>
          <w:u w:val="none"/>
          <w:rtl/>
        </w:rPr>
        <w:t>נוכחים:</w:t>
      </w:r>
    </w:p>
    <w:p w14:paraId="72A3EF23" w14:textId="77777777" w:rsidR="000D66D9" w:rsidRPr="00F2792F" w:rsidRDefault="000D66D9" w:rsidP="000D66D9">
      <w:pPr>
        <w:pStyle w:val="12"/>
        <w:rPr>
          <w:u w:val="none"/>
          <w:rtl/>
        </w:rPr>
      </w:pPr>
      <w:bookmarkStart w:id="2" w:name="FirstLawyer"/>
      <w:r w:rsidRPr="00F2792F">
        <w:rPr>
          <w:rFonts w:hint="cs"/>
          <w:u w:val="none"/>
          <w:rtl/>
        </w:rPr>
        <w:t>ב"כ</w:t>
      </w:r>
      <w:bookmarkEnd w:id="2"/>
      <w:r w:rsidRPr="00F2792F">
        <w:rPr>
          <w:rFonts w:hint="cs"/>
          <w:u w:val="none"/>
          <w:rtl/>
        </w:rPr>
        <w:t xml:space="preserve"> המאשימה עו"ד צליל משיח</w:t>
      </w:r>
    </w:p>
    <w:p w14:paraId="161A18BD" w14:textId="77777777" w:rsidR="000D66D9" w:rsidRPr="00F2792F" w:rsidRDefault="000D66D9" w:rsidP="000D66D9">
      <w:pPr>
        <w:pStyle w:val="12"/>
        <w:rPr>
          <w:u w:val="none"/>
          <w:rtl/>
        </w:rPr>
      </w:pPr>
      <w:r w:rsidRPr="00F2792F">
        <w:rPr>
          <w:rFonts w:hint="cs"/>
          <w:u w:val="none"/>
          <w:rtl/>
        </w:rPr>
        <w:t xml:space="preserve">הנאשם וב"כ עו"ד צפריר יגור </w:t>
      </w:r>
    </w:p>
    <w:p w14:paraId="0233CA6E" w14:textId="77777777" w:rsidR="00732A81" w:rsidRDefault="000D66D9" w:rsidP="000D66D9">
      <w:pPr>
        <w:tabs>
          <w:tab w:val="left" w:pos="566"/>
        </w:tabs>
        <w:spacing w:line="360" w:lineRule="auto"/>
        <w:jc w:val="center"/>
        <w:rPr>
          <w:rFonts w:ascii="Arial" w:hAnsi="Arial"/>
          <w:sz w:val="28"/>
          <w:szCs w:val="28"/>
          <w:rtl/>
        </w:rPr>
      </w:pPr>
      <w:r w:rsidRPr="00F2792F">
        <w:rPr>
          <w:rFonts w:ascii="Arial" w:hAnsi="Arial"/>
          <w:b/>
          <w:color w:val="FF0000"/>
          <w:sz w:val="28"/>
          <w:rtl/>
        </w:rPr>
        <w:t>במסמך זה הושמטו פרוטוקולים</w:t>
      </w:r>
      <w:bookmarkStart w:id="3" w:name="LawTable"/>
      <w:bookmarkEnd w:id="3"/>
    </w:p>
    <w:p w14:paraId="17E9812E" w14:textId="77777777" w:rsidR="00732A81" w:rsidRPr="00732A81" w:rsidRDefault="00732A81" w:rsidP="00732A81">
      <w:pPr>
        <w:tabs>
          <w:tab w:val="left" w:pos="566"/>
        </w:tabs>
        <w:spacing w:after="120" w:line="240" w:lineRule="exact"/>
        <w:ind w:left="283" w:hanging="283"/>
        <w:jc w:val="both"/>
        <w:rPr>
          <w:rFonts w:ascii="FrankRuehl" w:hAnsi="FrankRuehl" w:cs="FrankRuehl"/>
          <w:rtl/>
        </w:rPr>
      </w:pPr>
    </w:p>
    <w:p w14:paraId="740D836C" w14:textId="77777777" w:rsidR="00732A81" w:rsidRPr="00732A81" w:rsidRDefault="00732A81" w:rsidP="00732A81">
      <w:pPr>
        <w:tabs>
          <w:tab w:val="left" w:pos="566"/>
        </w:tabs>
        <w:spacing w:after="120" w:line="240" w:lineRule="exact"/>
        <w:ind w:left="283" w:hanging="283"/>
        <w:jc w:val="both"/>
        <w:rPr>
          <w:rFonts w:ascii="FrankRuehl" w:hAnsi="FrankRuehl" w:cs="FrankRuehl"/>
          <w:rtl/>
        </w:rPr>
      </w:pPr>
      <w:r w:rsidRPr="00732A81">
        <w:rPr>
          <w:rFonts w:ascii="FrankRuehl" w:hAnsi="FrankRuehl" w:cs="FrankRuehl"/>
          <w:rtl/>
        </w:rPr>
        <w:t xml:space="preserve">חקיקה שאוזכרה: </w:t>
      </w:r>
    </w:p>
    <w:p w14:paraId="4577C28A" w14:textId="77777777" w:rsidR="00732A81" w:rsidRPr="00732A81" w:rsidRDefault="00732A81" w:rsidP="00732A81">
      <w:pPr>
        <w:tabs>
          <w:tab w:val="left" w:pos="566"/>
        </w:tabs>
        <w:spacing w:after="120" w:line="240" w:lineRule="exact"/>
        <w:ind w:left="283" w:hanging="283"/>
        <w:jc w:val="both"/>
        <w:rPr>
          <w:rFonts w:ascii="FrankRuehl" w:hAnsi="FrankRuehl" w:cs="FrankRuehl"/>
          <w:rtl/>
        </w:rPr>
      </w:pPr>
      <w:hyperlink r:id="rId6" w:history="1">
        <w:r w:rsidRPr="00732A81">
          <w:rPr>
            <w:rFonts w:ascii="FrankRuehl" w:hAnsi="FrankRuehl" w:cs="FrankRuehl"/>
            <w:color w:val="0000FF"/>
            <w:u w:val="single"/>
            <w:rtl/>
          </w:rPr>
          <w:t>פקודת הסמים המסוכנים [נוסח חדש], תשל"ג-1973</w:t>
        </w:r>
      </w:hyperlink>
      <w:r w:rsidRPr="00732A81">
        <w:rPr>
          <w:rFonts w:ascii="FrankRuehl" w:hAnsi="FrankRuehl" w:cs="FrankRuehl"/>
          <w:rtl/>
        </w:rPr>
        <w:t xml:space="preserve">: סע'  </w:t>
      </w:r>
      <w:hyperlink r:id="rId7" w:history="1">
        <w:r w:rsidRPr="00732A81">
          <w:rPr>
            <w:rFonts w:ascii="FrankRuehl" w:hAnsi="FrankRuehl" w:cs="FrankRuehl"/>
            <w:color w:val="0000FF"/>
            <w:u w:val="single"/>
            <w:rtl/>
          </w:rPr>
          <w:t>7(א)</w:t>
        </w:r>
      </w:hyperlink>
      <w:r w:rsidRPr="00732A81">
        <w:rPr>
          <w:rFonts w:ascii="FrankRuehl" w:hAnsi="FrankRuehl" w:cs="FrankRuehl"/>
          <w:rtl/>
        </w:rPr>
        <w:t xml:space="preserve">, </w:t>
      </w:r>
      <w:hyperlink r:id="rId8" w:history="1">
        <w:r w:rsidRPr="00732A81">
          <w:rPr>
            <w:rFonts w:ascii="FrankRuehl" w:hAnsi="FrankRuehl" w:cs="FrankRuehl"/>
            <w:color w:val="0000FF"/>
            <w:u w:val="single"/>
            <w:rtl/>
          </w:rPr>
          <w:t>(ג)</w:t>
        </w:r>
      </w:hyperlink>
    </w:p>
    <w:p w14:paraId="1E6F0F29" w14:textId="77777777" w:rsidR="00732A81" w:rsidRPr="00732A81" w:rsidRDefault="00732A81" w:rsidP="00732A81">
      <w:pPr>
        <w:tabs>
          <w:tab w:val="left" w:pos="566"/>
        </w:tabs>
        <w:spacing w:after="120" w:line="240" w:lineRule="exact"/>
        <w:ind w:left="283" w:hanging="283"/>
        <w:jc w:val="both"/>
        <w:rPr>
          <w:rFonts w:ascii="FrankRuehl" w:hAnsi="FrankRuehl" w:cs="FrankRuehl"/>
          <w:rtl/>
        </w:rPr>
      </w:pPr>
      <w:hyperlink r:id="rId9" w:history="1">
        <w:r w:rsidRPr="00732A81">
          <w:rPr>
            <w:rFonts w:ascii="FrankRuehl" w:hAnsi="FrankRuehl" w:cs="FrankRuehl"/>
            <w:color w:val="0000FF"/>
            <w:u w:val="single"/>
            <w:rtl/>
          </w:rPr>
          <w:t>חוק העונשין, תשל"ז-1977</w:t>
        </w:r>
      </w:hyperlink>
      <w:r w:rsidRPr="00732A81">
        <w:rPr>
          <w:rFonts w:ascii="FrankRuehl" w:hAnsi="FrankRuehl" w:cs="FrankRuehl"/>
          <w:rtl/>
        </w:rPr>
        <w:t xml:space="preserve">: סע'  </w:t>
      </w:r>
      <w:hyperlink r:id="rId10" w:history="1">
        <w:r w:rsidRPr="00732A81">
          <w:rPr>
            <w:rFonts w:ascii="FrankRuehl" w:hAnsi="FrankRuehl" w:cs="FrankRuehl"/>
            <w:color w:val="0000FF"/>
            <w:u w:val="single"/>
            <w:rtl/>
          </w:rPr>
          <w:t>40ב'</w:t>
        </w:r>
      </w:hyperlink>
      <w:r w:rsidRPr="00732A81">
        <w:rPr>
          <w:rFonts w:ascii="FrankRuehl" w:hAnsi="FrankRuehl" w:cs="FrankRuehl"/>
          <w:rtl/>
        </w:rPr>
        <w:t xml:space="preserve">, </w:t>
      </w:r>
      <w:hyperlink r:id="rId11" w:history="1">
        <w:r w:rsidRPr="00732A81">
          <w:rPr>
            <w:rFonts w:ascii="FrankRuehl" w:hAnsi="FrankRuehl" w:cs="FrankRuehl"/>
            <w:color w:val="0000FF"/>
            <w:u w:val="single"/>
            <w:rtl/>
          </w:rPr>
          <w:t>40ד'</w:t>
        </w:r>
      </w:hyperlink>
    </w:p>
    <w:p w14:paraId="25A5685F" w14:textId="77777777" w:rsidR="00732A81" w:rsidRPr="00732A81" w:rsidRDefault="00732A81" w:rsidP="00732A81">
      <w:pPr>
        <w:tabs>
          <w:tab w:val="left" w:pos="566"/>
        </w:tabs>
        <w:spacing w:after="120" w:line="240" w:lineRule="exact"/>
        <w:ind w:left="283" w:hanging="283"/>
        <w:jc w:val="both"/>
        <w:rPr>
          <w:rFonts w:ascii="FrankRuehl" w:hAnsi="FrankRuehl" w:cs="FrankRuehl"/>
          <w:rtl/>
        </w:rPr>
      </w:pPr>
    </w:p>
    <w:p w14:paraId="55A1BB22" w14:textId="77777777" w:rsidR="00F2792F" w:rsidRPr="00F2792F" w:rsidRDefault="00F2792F" w:rsidP="00F2792F">
      <w:pPr>
        <w:tabs>
          <w:tab w:val="left" w:pos="566"/>
        </w:tabs>
        <w:spacing w:line="360" w:lineRule="auto"/>
        <w:jc w:val="center"/>
        <w:rPr>
          <w:rFonts w:ascii="Arial" w:hAnsi="Arial"/>
          <w:b/>
          <w:bCs/>
          <w:sz w:val="28"/>
          <w:szCs w:val="28"/>
          <w:u w:val="single"/>
          <w:rtl/>
        </w:rPr>
      </w:pPr>
      <w:bookmarkStart w:id="4" w:name="LawTable_End"/>
      <w:bookmarkStart w:id="5" w:name="PsakDin"/>
      <w:bookmarkEnd w:id="0"/>
      <w:bookmarkEnd w:id="4"/>
      <w:r w:rsidRPr="00F2792F">
        <w:rPr>
          <w:rFonts w:ascii="Arial" w:hAnsi="Arial"/>
          <w:b/>
          <w:bCs/>
          <w:sz w:val="28"/>
          <w:szCs w:val="28"/>
          <w:u w:val="single"/>
          <w:rtl/>
        </w:rPr>
        <w:t>גזר דין</w:t>
      </w:r>
    </w:p>
    <w:bookmarkEnd w:id="5"/>
    <w:p w14:paraId="3894F127" w14:textId="77777777" w:rsidR="000D66D9" w:rsidRDefault="000D66D9" w:rsidP="000D66D9">
      <w:pPr>
        <w:tabs>
          <w:tab w:val="left" w:pos="566"/>
        </w:tabs>
        <w:spacing w:line="360" w:lineRule="auto"/>
        <w:jc w:val="both"/>
        <w:rPr>
          <w:rtl/>
        </w:rPr>
      </w:pPr>
    </w:p>
    <w:p w14:paraId="44F42AED" w14:textId="77777777" w:rsidR="000D66D9" w:rsidRDefault="000D66D9" w:rsidP="000D66D9">
      <w:pPr>
        <w:spacing w:line="360" w:lineRule="auto"/>
        <w:ind w:left="720" w:hanging="720"/>
        <w:jc w:val="both"/>
        <w:rPr>
          <w:rFonts w:cs="Calibri"/>
          <w:rtl/>
        </w:rPr>
      </w:pPr>
      <w:r>
        <w:rPr>
          <w:rFonts w:hint="cs"/>
          <w:rtl/>
        </w:rPr>
        <w:t>1.</w:t>
      </w:r>
      <w:r>
        <w:rPr>
          <w:rFonts w:hint="cs"/>
          <w:rtl/>
        </w:rPr>
        <w:tab/>
        <w:t xml:space="preserve">הנאשם הורשע על פי הודאתו במסגרת הסדר טיעון בכתב אישום מתוקן, המייחס לו </w:t>
      </w:r>
      <w:bookmarkStart w:id="6" w:name="ABSTRACT_START"/>
      <w:bookmarkEnd w:id="6"/>
      <w:r>
        <w:rPr>
          <w:rFonts w:hint="cs"/>
          <w:rtl/>
        </w:rPr>
        <w:t>עבירה של החזקת סם שלא לצריכה עצמית</w:t>
      </w:r>
      <w:bookmarkStart w:id="7" w:name="ABSTRACT_END"/>
      <w:bookmarkEnd w:id="7"/>
      <w:r>
        <w:rPr>
          <w:rFonts w:hint="cs"/>
          <w:rtl/>
        </w:rPr>
        <w:t xml:space="preserve">, לפי סע' </w:t>
      </w:r>
      <w:hyperlink r:id="rId12" w:history="1">
        <w:r w:rsidR="00732A81" w:rsidRPr="00732A81">
          <w:rPr>
            <w:color w:val="0000FF"/>
            <w:u w:val="single"/>
            <w:rtl/>
          </w:rPr>
          <w:t>7(א)</w:t>
        </w:r>
      </w:hyperlink>
      <w:r w:rsidR="00060A65">
        <w:rPr>
          <w:rFonts w:hint="cs"/>
          <w:rtl/>
        </w:rPr>
        <w:t xml:space="preserve"> </w:t>
      </w:r>
      <w:r>
        <w:rPr>
          <w:rFonts w:hint="cs"/>
          <w:rtl/>
        </w:rPr>
        <w:t>+</w:t>
      </w:r>
      <w:r w:rsidR="00060A65">
        <w:rPr>
          <w:rFonts w:hint="cs"/>
          <w:rtl/>
        </w:rPr>
        <w:t xml:space="preserve"> </w:t>
      </w:r>
      <w:hyperlink r:id="rId13" w:history="1">
        <w:r w:rsidR="00732A81" w:rsidRPr="00732A81">
          <w:rPr>
            <w:rStyle w:val="Hyperlink"/>
            <w:rtl/>
          </w:rPr>
          <w:t>(ג)</w:t>
        </w:r>
      </w:hyperlink>
      <w:r>
        <w:rPr>
          <w:rFonts w:hint="cs"/>
          <w:rtl/>
        </w:rPr>
        <w:t xml:space="preserve"> רישא ל</w:t>
      </w:r>
      <w:hyperlink r:id="rId14" w:history="1">
        <w:r w:rsidR="00F2792F" w:rsidRPr="00F2792F">
          <w:rPr>
            <w:color w:val="0000FF"/>
            <w:u w:val="single"/>
            <w:rtl/>
          </w:rPr>
          <w:t>פקודת הסמים המסוכנים</w:t>
        </w:r>
      </w:hyperlink>
      <w:r>
        <w:rPr>
          <w:rFonts w:hint="cs"/>
          <w:rtl/>
        </w:rPr>
        <w:t xml:space="preserve"> [נוסח חדש], התשל"ג – 1973.  </w:t>
      </w:r>
    </w:p>
    <w:p w14:paraId="661FA40E" w14:textId="77777777" w:rsidR="000D66D9" w:rsidRPr="00FD519A" w:rsidRDefault="000D66D9" w:rsidP="000D66D9">
      <w:pPr>
        <w:spacing w:line="360" w:lineRule="auto"/>
        <w:ind w:left="720"/>
        <w:jc w:val="both"/>
        <w:rPr>
          <w:rFonts w:eastAsia="Calibri"/>
          <w:rtl/>
        </w:rPr>
      </w:pPr>
    </w:p>
    <w:p w14:paraId="66E5A4BF" w14:textId="77777777" w:rsidR="000D66D9" w:rsidRDefault="000D66D9" w:rsidP="000D66D9">
      <w:pPr>
        <w:spacing w:line="360" w:lineRule="auto"/>
        <w:ind w:left="720" w:hanging="720"/>
        <w:jc w:val="both"/>
      </w:pPr>
      <w:r>
        <w:rPr>
          <w:rFonts w:hint="cs"/>
          <w:rtl/>
        </w:rPr>
        <w:t>2.</w:t>
      </w:r>
      <w:r>
        <w:rPr>
          <w:rFonts w:hint="cs"/>
          <w:rtl/>
        </w:rPr>
        <w:tab/>
        <w:t xml:space="preserve">כמפורט בכתב האישום, ביום 21.10.14, נערך חיפוש בעסק שבו עבד הנאשם, ונמצאו במקום סמים שהוחזקו במקומות שונים מסוג קנאביס במשקל 1.190 ק"ג נטו. </w:t>
      </w:r>
    </w:p>
    <w:p w14:paraId="12EE104D" w14:textId="77777777" w:rsidR="000D66D9" w:rsidRPr="00FD519A" w:rsidRDefault="000D66D9" w:rsidP="000D66D9">
      <w:pPr>
        <w:spacing w:line="360" w:lineRule="auto"/>
        <w:ind w:left="720"/>
        <w:jc w:val="both"/>
        <w:rPr>
          <w:rFonts w:eastAsia="Calibri"/>
        </w:rPr>
      </w:pPr>
    </w:p>
    <w:p w14:paraId="51F41670" w14:textId="77777777" w:rsidR="000D66D9" w:rsidRDefault="000D66D9" w:rsidP="000D66D9">
      <w:pPr>
        <w:jc w:val="both"/>
        <w:rPr>
          <w:rtl/>
        </w:rPr>
      </w:pPr>
      <w:r>
        <w:rPr>
          <w:rFonts w:hint="cs"/>
          <w:rtl/>
        </w:rPr>
        <w:t>3.</w:t>
      </w:r>
      <w:r>
        <w:rPr>
          <w:rFonts w:hint="cs"/>
          <w:rtl/>
        </w:rPr>
        <w:tab/>
        <w:t xml:space="preserve">במסגרת ההסדר תוקן כתב האישום לקולא, והנאשם הופנה לשירות המבחן.  </w:t>
      </w:r>
    </w:p>
    <w:p w14:paraId="1C0DB6EF" w14:textId="77777777" w:rsidR="000D66D9" w:rsidRDefault="000D66D9" w:rsidP="000D66D9">
      <w:pPr>
        <w:jc w:val="both"/>
        <w:rPr>
          <w:rtl/>
        </w:rPr>
      </w:pPr>
      <w:r>
        <w:rPr>
          <w:rtl/>
        </w:rPr>
        <w:tab/>
      </w:r>
    </w:p>
    <w:p w14:paraId="552FA60C" w14:textId="77777777" w:rsidR="000D66D9" w:rsidRDefault="000D66D9" w:rsidP="000D66D9">
      <w:pPr>
        <w:jc w:val="both"/>
        <w:rPr>
          <w:b/>
          <w:bCs/>
          <w:u w:val="single"/>
          <w:rtl/>
        </w:rPr>
      </w:pPr>
    </w:p>
    <w:p w14:paraId="2001EF2E" w14:textId="77777777" w:rsidR="000D66D9" w:rsidRDefault="000D66D9" w:rsidP="000D66D9">
      <w:pPr>
        <w:spacing w:line="360" w:lineRule="auto"/>
        <w:ind w:left="720" w:hanging="720"/>
        <w:jc w:val="both"/>
        <w:rPr>
          <w:rtl/>
        </w:rPr>
      </w:pPr>
      <w:r w:rsidRPr="00023AE3">
        <w:rPr>
          <w:rFonts w:hint="cs"/>
          <w:rtl/>
        </w:rPr>
        <w:t>4.</w:t>
      </w:r>
      <w:r w:rsidRPr="00023AE3">
        <w:rPr>
          <w:rFonts w:hint="cs"/>
          <w:rtl/>
        </w:rPr>
        <w:tab/>
      </w:r>
      <w:r>
        <w:rPr>
          <w:rFonts w:hint="cs"/>
          <w:rtl/>
        </w:rPr>
        <w:t xml:space="preserve">מתסקיר שירות המבחן עולה כי מדובר בנאשם בן 50, נשוי ואב ל- 4 ילדים, המוכר היטב לשירות המבחן, מהליך טיפולי שאליו הופנה במסגרת הליך המעצר בתיק זה.  עוד עולה שמדובר בנאשם בעל עבר פלילי אך הרשעותיו בעבירות סמים ישנות. מאז שחרורו ממעצר, הפסיק את השימוש בסמים ומשולב בקבוצה טיפולית ביחידה להתמכרויות בעיר כפר סבא החל ממרץ 2015. </w:t>
      </w:r>
    </w:p>
    <w:p w14:paraId="054182DE" w14:textId="77777777" w:rsidR="000D66D9" w:rsidRDefault="000D66D9" w:rsidP="000D66D9">
      <w:pPr>
        <w:spacing w:line="360" w:lineRule="auto"/>
        <w:ind w:left="720" w:hanging="720"/>
        <w:jc w:val="both"/>
        <w:rPr>
          <w:rtl/>
        </w:rPr>
      </w:pPr>
    </w:p>
    <w:p w14:paraId="3D46393E" w14:textId="77777777" w:rsidR="000D66D9" w:rsidRDefault="000D66D9" w:rsidP="000D66D9">
      <w:pPr>
        <w:spacing w:line="360" w:lineRule="auto"/>
        <w:ind w:left="720" w:hanging="720"/>
        <w:jc w:val="both"/>
        <w:rPr>
          <w:rtl/>
        </w:rPr>
      </w:pPr>
      <w:r>
        <w:rPr>
          <w:rFonts w:hint="cs"/>
          <w:rtl/>
        </w:rPr>
        <w:t>5.</w:t>
      </w:r>
      <w:r>
        <w:rPr>
          <w:rFonts w:hint="cs"/>
          <w:rtl/>
        </w:rPr>
        <w:tab/>
        <w:t xml:space="preserve">שירות המבחן מתרשם כי מדובר בנאשם אשר ניהל במשך שנים רבות אורח חיים התמכרותי, שלא הפריע לתפקודו ברמה תקינה מבחינה תעסוקתית ומשפחתית. כמו כן, נראה כי מעצרו האחרון היווה עבורו גורם מרתיע, ומאז נמנע משימוש בסם, נעזר במסגרת טיפולית ונתמך באשתו. שירות המבחן מתייחס גם לבעיות רפואיות והידרדרות קוגניטיבית שהתגלתה אצל הנאשם בתקופה האחרונה  וגורמת לו לבעיות זיכרון קשות. לאחר טיפול ממושך בנאשם, שיחה עם העובדת הסוציאלית המטפלת בנאשם במסגרת יחידת ההתמכרויות ועם אשתו, מעריך שירות המבחן כי חלה הפחתה ניכרת בסיכון להישנות ביצוע עבירות דומות על ידי הנאשם. עם זאת, מציין כי מתקשה בהצבת גבולות פנימיות בהתנהגותו. בין הגורמים המסייעים בצמצום הסיכון במצבו מונה שירות המבחן מערכת משפחתית תומכת, שיתוף פעולה מלא עם גורמים טיפוליים והעדר שימוש בסמים. מאחר שסבור כי הנאשם, נוכח מצבו הבריאותי, אינו יכול לבצע עבודות שירות או של"צ, ממליץ על העמדתו בפיקוח, ובכך לסייע בהפחתת הסיכון במצבו לצד ענישה צופה פני עתיד. </w:t>
      </w:r>
    </w:p>
    <w:p w14:paraId="4A0EDB03" w14:textId="77777777" w:rsidR="000D66D9" w:rsidRDefault="000D66D9" w:rsidP="000D66D9">
      <w:pPr>
        <w:spacing w:line="360" w:lineRule="auto"/>
        <w:ind w:left="720" w:hanging="720"/>
        <w:jc w:val="both"/>
        <w:rPr>
          <w:rtl/>
        </w:rPr>
      </w:pPr>
    </w:p>
    <w:p w14:paraId="36F4D39D" w14:textId="77777777" w:rsidR="000D66D9" w:rsidRDefault="000D66D9" w:rsidP="000D66D9">
      <w:pPr>
        <w:spacing w:line="360" w:lineRule="auto"/>
        <w:ind w:left="720" w:hanging="720"/>
        <w:jc w:val="both"/>
        <w:rPr>
          <w:rtl/>
        </w:rPr>
      </w:pPr>
      <w:r>
        <w:rPr>
          <w:rFonts w:hint="cs"/>
          <w:rtl/>
        </w:rPr>
        <w:t>6.</w:t>
      </w:r>
      <w:r>
        <w:rPr>
          <w:rFonts w:hint="cs"/>
          <w:rtl/>
        </w:rPr>
        <w:tab/>
        <w:t xml:space="preserve">ב"כ המאשימה עמדה על חומרת העבירה שבה הורשע הנאשם ועל כמות הסמים הגדולה שנמצאה אצלו. עוד עמדה על הפגיעה המשמעותית בערכים המוגנים, ובין היתר, בריאות הציבור וכן פוטנציאל הנזק בגין עבירות אלו. ב"כ המאשימה לא התעלמה מכך שהנאשם  משולב בהליך טיפולי ואינו משתמש בסמים, אך סבורה כי אין לחרוג בעניינו לקולא ממידת העונש המקובלת במקרים אלו,  ועל כן עותרת להטיל על הנאשם מאסר בפועל, מאסר על תנאי, פסילה וקנס. </w:t>
      </w:r>
    </w:p>
    <w:p w14:paraId="6966F97C" w14:textId="77777777" w:rsidR="000D66D9" w:rsidRDefault="000D66D9" w:rsidP="000D66D9">
      <w:pPr>
        <w:spacing w:line="360" w:lineRule="auto"/>
        <w:ind w:left="720" w:hanging="720"/>
        <w:jc w:val="both"/>
        <w:rPr>
          <w:rtl/>
        </w:rPr>
      </w:pPr>
    </w:p>
    <w:p w14:paraId="2E7E06E1" w14:textId="77777777" w:rsidR="000D66D9" w:rsidRDefault="000D66D9" w:rsidP="000D66D9">
      <w:pPr>
        <w:spacing w:line="360" w:lineRule="auto"/>
        <w:ind w:left="720" w:hanging="720"/>
        <w:jc w:val="both"/>
        <w:rPr>
          <w:rtl/>
        </w:rPr>
      </w:pPr>
      <w:r>
        <w:rPr>
          <w:rFonts w:hint="cs"/>
          <w:rtl/>
        </w:rPr>
        <w:t>7.</w:t>
      </w:r>
      <w:r>
        <w:rPr>
          <w:rFonts w:hint="cs"/>
          <w:rtl/>
        </w:rPr>
        <w:tab/>
        <w:t>ב"כ הנאשם סבור אחרת. לשיטתו, המאשימה חטאה בהתייחסותה אל עניינו של הנאשם, תוך התעלמות מנסיבותיו הקונקרטיות. ב"כ הנאשם עמד על ההליך הטיפולי הממושך שעובר הנאשם, על תוצאותיו החיוביות, על נסיבותיו המיוחדות, מצבו הרפואי, עברו הפלילי הלא מכביד, והגם שאינו מקל בחומרת העבירה בה הורשע הנאשם, ומקבל טיעוני המאשימה כי ברגיל יש להטיל על נאשמים המחזיקים סמים בהיקפים אלו עונשי מאסר, ולו לריצוי בדרך של עבודות שירות, סבור כי נוכח הליך השיקום שעבר הנאשם ונסיבותיו החריגות, יש מקום לאמץ את המלצת שירות המבחן. עוד הדגיש כי הנאשם מוכן שיוטל עליו צו פיקוח לתקופה ממושכת יותר וכן שתלוי ועומד כחרב מתהפכת מעל ראשו, הסיכון כי אם לא ישתף פעולה עם שירות המבחן או יחזור לשימוש בסם, ניתן יהיה לגזור את עונשו מחדש.</w:t>
      </w:r>
    </w:p>
    <w:p w14:paraId="33DAB0BE" w14:textId="77777777" w:rsidR="000D66D9" w:rsidRDefault="000D66D9" w:rsidP="000D66D9">
      <w:pPr>
        <w:spacing w:line="360" w:lineRule="auto"/>
        <w:ind w:left="720" w:hanging="720"/>
        <w:jc w:val="both"/>
        <w:rPr>
          <w:rtl/>
        </w:rPr>
      </w:pPr>
    </w:p>
    <w:p w14:paraId="67BB3C0B" w14:textId="77777777" w:rsidR="000D66D9" w:rsidRDefault="000D66D9" w:rsidP="000D66D9">
      <w:pPr>
        <w:spacing w:line="360" w:lineRule="auto"/>
        <w:ind w:left="720" w:hanging="720"/>
        <w:jc w:val="both"/>
        <w:rPr>
          <w:rtl/>
        </w:rPr>
      </w:pPr>
      <w:r>
        <w:rPr>
          <w:rFonts w:hint="cs"/>
          <w:rtl/>
        </w:rPr>
        <w:t>8.</w:t>
      </w:r>
      <w:r>
        <w:rPr>
          <w:rFonts w:hint="cs"/>
          <w:rtl/>
        </w:rPr>
        <w:tab/>
        <w:t xml:space="preserve">אין חולק כי העבירה בה הורשע הנאשם, נוכח כמות הסם, חמורה, ואין בדעתי להתייחס לשאלה האם מדובר בסם קל או חמור, כי הרי המאבק בנגע בסמים צריך להיות מכוון גם כנגד שימוש בסמים קלים שפגיעתם בחוסנה של החברה קשה. העבירה אותה ביצע הנאשם פגעה בערך חברתי מוגן, ובין היתר בפגיעה בבריאות הגוף והנפש של הציבור, לצד הגנה על שלום הציבור והסיכון מפני ביצוע עבירות פליליות וגרימת נזקים חברתיים ישירים </w:t>
      </w:r>
      <w:r>
        <w:rPr>
          <w:rFonts w:hint="cs"/>
          <w:rtl/>
        </w:rPr>
        <w:lastRenderedPageBreak/>
        <w:t xml:space="preserve">ועקיפים, כתוצאה משימוש בסמים מסוכנים. כמות הסם שהחזיק הנאשם עולה בעשרות אם לא במאות מונים על הכמות המותרת לשימוש עצמי. </w:t>
      </w:r>
    </w:p>
    <w:p w14:paraId="14FB55BB" w14:textId="77777777" w:rsidR="000D66D9" w:rsidRDefault="000D66D9" w:rsidP="000D66D9">
      <w:pPr>
        <w:spacing w:line="360" w:lineRule="auto"/>
        <w:ind w:left="720" w:hanging="720"/>
        <w:jc w:val="both"/>
        <w:rPr>
          <w:rtl/>
        </w:rPr>
      </w:pPr>
    </w:p>
    <w:p w14:paraId="09149159" w14:textId="77777777" w:rsidR="000D66D9" w:rsidRDefault="000D66D9" w:rsidP="000D66D9">
      <w:pPr>
        <w:spacing w:line="360" w:lineRule="auto"/>
        <w:ind w:left="720" w:hanging="720"/>
        <w:jc w:val="both"/>
        <w:rPr>
          <w:rtl/>
        </w:rPr>
      </w:pPr>
      <w:r>
        <w:rPr>
          <w:rFonts w:hint="cs"/>
          <w:rtl/>
        </w:rPr>
        <w:t>9.</w:t>
      </w:r>
      <w:r>
        <w:rPr>
          <w:rFonts w:hint="cs"/>
          <w:rtl/>
        </w:rPr>
        <w:tab/>
        <w:t xml:space="preserve">ביחס למדיניות הענישה הראויה בגין עבירות אלו </w:t>
      </w:r>
      <w:r>
        <w:rPr>
          <w:rtl/>
        </w:rPr>
        <w:t>–</w:t>
      </w:r>
      <w:r>
        <w:rPr>
          <w:rFonts w:hint="cs"/>
          <w:rtl/>
        </w:rPr>
        <w:t xml:space="preserve"> לאחר ששמעתי את טיעוני הצדדים בענין זה, ועיינתי באסמכתאות הפסיקה שהוגשו לי, אני סבורה כי מתחם העונש ההולם את העבירות בהן הורשע הנאשם נע בין מאסר בפועל שניתן לריצוי בדרך של עבודות שירות ועד לשנת מאסר בפועל. </w:t>
      </w:r>
    </w:p>
    <w:p w14:paraId="7518AF76" w14:textId="77777777" w:rsidR="000D66D9" w:rsidRDefault="000D66D9" w:rsidP="000D66D9">
      <w:pPr>
        <w:spacing w:line="360" w:lineRule="auto"/>
        <w:ind w:left="720" w:hanging="720"/>
        <w:jc w:val="both"/>
        <w:rPr>
          <w:rtl/>
        </w:rPr>
      </w:pPr>
    </w:p>
    <w:p w14:paraId="4F10418B" w14:textId="77777777" w:rsidR="000D66D9" w:rsidRDefault="000D66D9" w:rsidP="000D66D9">
      <w:pPr>
        <w:spacing w:line="360" w:lineRule="auto"/>
        <w:ind w:left="720" w:hanging="720"/>
        <w:jc w:val="both"/>
        <w:rPr>
          <w:rtl/>
        </w:rPr>
      </w:pPr>
      <w:r>
        <w:rPr>
          <w:rFonts w:hint="cs"/>
          <w:rtl/>
        </w:rPr>
        <w:t>10.</w:t>
      </w:r>
      <w:r>
        <w:rPr>
          <w:rFonts w:hint="cs"/>
          <w:rtl/>
        </w:rPr>
        <w:tab/>
        <w:t xml:space="preserve">שמעתי טיעוני הצדדים ואף את הנאשם עצמו ועיינתי בתסקיר המפורט שהתקבל בעניינו. אכן </w:t>
      </w:r>
      <w:hyperlink r:id="rId15" w:history="1">
        <w:r w:rsidR="00732A81" w:rsidRPr="00732A81">
          <w:rPr>
            <w:rStyle w:val="Hyperlink"/>
            <w:rFonts w:hint="eastAsia"/>
            <w:rtl/>
          </w:rPr>
          <w:t>סע</w:t>
        </w:r>
        <w:r w:rsidR="00732A81" w:rsidRPr="00732A81">
          <w:rPr>
            <w:rStyle w:val="Hyperlink"/>
            <w:rtl/>
          </w:rPr>
          <w:t>' 40ב'</w:t>
        </w:r>
      </w:hyperlink>
      <w:r>
        <w:rPr>
          <w:rFonts w:hint="cs"/>
          <w:rtl/>
        </w:rPr>
        <w:t xml:space="preserve"> ל</w:t>
      </w:r>
      <w:hyperlink r:id="rId16" w:history="1">
        <w:r w:rsidR="00F2792F" w:rsidRPr="00F2792F">
          <w:rPr>
            <w:color w:val="0000FF"/>
            <w:u w:val="single"/>
            <w:rtl/>
          </w:rPr>
          <w:t>חוק העונשין</w:t>
        </w:r>
      </w:hyperlink>
      <w:r>
        <w:rPr>
          <w:rFonts w:hint="cs"/>
          <w:rtl/>
        </w:rPr>
        <w:t>, שנוסף לחוק בגדרי תיקון 113, מלמדנו כי העיקרון המנחה בענישה הוא "</w:t>
      </w:r>
      <w:r w:rsidRPr="00091F96">
        <w:rPr>
          <w:rFonts w:hint="cs"/>
          <w:b/>
          <w:bCs/>
          <w:rtl/>
        </w:rPr>
        <w:t>קיומו של יחס הולם בין חומרת מעשה העבירה בנסיבותיו ובמידת אשמו של הנאשם ובין סוג ומידת העונש המוטל עליו</w:t>
      </w:r>
      <w:r>
        <w:rPr>
          <w:rFonts w:hint="cs"/>
          <w:rtl/>
        </w:rPr>
        <w:t>". עיקרון הלימה זה משקף את עיקרון הגמול והענישה ויש בו כדי לתת את המענה המיטבי להשגת אחידות בענישה ושיוויון בין נאשמים.</w:t>
      </w:r>
    </w:p>
    <w:p w14:paraId="3DAF5F1E" w14:textId="77777777" w:rsidR="000D66D9" w:rsidRDefault="000D66D9" w:rsidP="000D66D9">
      <w:pPr>
        <w:spacing w:line="360" w:lineRule="auto"/>
        <w:ind w:left="720"/>
        <w:jc w:val="both"/>
        <w:rPr>
          <w:rtl/>
        </w:rPr>
      </w:pPr>
      <w:r>
        <w:rPr>
          <w:rFonts w:hint="cs"/>
          <w:rtl/>
        </w:rPr>
        <w:t xml:space="preserve">עם זאת, לא היה בתיקון זה כדי לשנות מושכלות יסוד, ובין היתר כי הענישה נותרה אינדיבידואלית ומתייחסת לכל נאשם בהתאם לנסיבותיו הייחודיות, ולראייה, מציין המחוקק במסגרת תיקון 113 נסיבות קונקרטיות רבות, הן ביחס לטיב המעשה שיוחס לנאשם והן ביחס לנסיבותיו הוא. </w:t>
      </w:r>
    </w:p>
    <w:p w14:paraId="0BE0D1C7" w14:textId="77777777" w:rsidR="000D66D9" w:rsidRDefault="000D66D9" w:rsidP="000D66D9">
      <w:pPr>
        <w:jc w:val="both"/>
        <w:rPr>
          <w:rtl/>
        </w:rPr>
      </w:pPr>
    </w:p>
    <w:p w14:paraId="4ADC6488" w14:textId="77777777" w:rsidR="000D66D9" w:rsidRDefault="000D66D9" w:rsidP="000D66D9">
      <w:pPr>
        <w:spacing w:line="360" w:lineRule="auto"/>
        <w:jc w:val="both"/>
        <w:rPr>
          <w:rtl/>
        </w:rPr>
      </w:pPr>
      <w:r>
        <w:rPr>
          <w:rFonts w:hint="cs"/>
          <w:rtl/>
        </w:rPr>
        <w:t>11.</w:t>
      </w:r>
      <w:r>
        <w:rPr>
          <w:rFonts w:hint="cs"/>
          <w:rtl/>
        </w:rPr>
        <w:tab/>
        <w:t xml:space="preserve">חריגה מן המתחם </w:t>
      </w:r>
      <w:r>
        <w:rPr>
          <w:rtl/>
        </w:rPr>
        <w:t>–</w:t>
      </w:r>
      <w:r>
        <w:rPr>
          <w:rFonts w:hint="cs"/>
          <w:rtl/>
        </w:rPr>
        <w:t xml:space="preserve"> לחומרא או לקולא </w:t>
      </w:r>
      <w:r>
        <w:rPr>
          <w:rtl/>
        </w:rPr>
        <w:t>–</w:t>
      </w:r>
      <w:r>
        <w:rPr>
          <w:rFonts w:hint="cs"/>
          <w:rtl/>
        </w:rPr>
        <w:t xml:space="preserve"> אפשרית לפי לשון החוק משני טעמים:</w:t>
      </w:r>
    </w:p>
    <w:p w14:paraId="040999D0" w14:textId="77777777" w:rsidR="000D66D9" w:rsidRDefault="000D66D9" w:rsidP="000D66D9">
      <w:pPr>
        <w:spacing w:line="360" w:lineRule="auto"/>
        <w:ind w:left="720"/>
        <w:jc w:val="both"/>
        <w:rPr>
          <w:rtl/>
        </w:rPr>
      </w:pPr>
      <w:r>
        <w:rPr>
          <w:rFonts w:hint="cs"/>
          <w:rtl/>
        </w:rPr>
        <w:t>הראשון, כאשר יש סיכון ממשי לחזרת הנאשם על ביצוע העבירות, מאפשר המחוקק חריגה לחומרא מרף הענישה המקובל, והשני, כאשר נמצא "</w:t>
      </w:r>
      <w:r w:rsidRPr="00091F96">
        <w:rPr>
          <w:rFonts w:hint="cs"/>
          <w:b/>
          <w:bCs/>
          <w:rtl/>
        </w:rPr>
        <w:t>כי הנאשם השתקם או כי יש סיכוי של ממש להשתקם</w:t>
      </w:r>
      <w:r>
        <w:rPr>
          <w:rFonts w:hint="cs"/>
          <w:rtl/>
        </w:rPr>
        <w:t xml:space="preserve">" בהתאם לאמור </w:t>
      </w:r>
      <w:hyperlink r:id="rId17" w:history="1">
        <w:r w:rsidR="00732A81" w:rsidRPr="00732A81">
          <w:rPr>
            <w:rStyle w:val="Hyperlink"/>
            <w:rFonts w:hint="eastAsia"/>
            <w:rtl/>
          </w:rPr>
          <w:t>בסע</w:t>
        </w:r>
        <w:r w:rsidR="00732A81" w:rsidRPr="00732A81">
          <w:rPr>
            <w:rStyle w:val="Hyperlink"/>
            <w:rtl/>
          </w:rPr>
          <w:t>' 40ד'</w:t>
        </w:r>
      </w:hyperlink>
      <w:r>
        <w:rPr>
          <w:rFonts w:hint="cs"/>
          <w:rtl/>
        </w:rPr>
        <w:t xml:space="preserve"> לחוק.</w:t>
      </w:r>
    </w:p>
    <w:p w14:paraId="7F5E8352" w14:textId="77777777" w:rsidR="000D66D9" w:rsidRDefault="000D66D9" w:rsidP="000D66D9">
      <w:pPr>
        <w:jc w:val="both"/>
        <w:rPr>
          <w:rtl/>
        </w:rPr>
      </w:pPr>
    </w:p>
    <w:p w14:paraId="67E0DAEC" w14:textId="77777777" w:rsidR="000D66D9" w:rsidRDefault="000D66D9" w:rsidP="000D66D9">
      <w:pPr>
        <w:spacing w:line="360" w:lineRule="auto"/>
        <w:ind w:left="720" w:hanging="720"/>
        <w:jc w:val="both"/>
        <w:rPr>
          <w:rtl/>
        </w:rPr>
      </w:pPr>
      <w:r>
        <w:rPr>
          <w:rFonts w:hint="cs"/>
          <w:rtl/>
        </w:rPr>
        <w:t>12.</w:t>
      </w:r>
      <w:r>
        <w:rPr>
          <w:rFonts w:hint="cs"/>
          <w:rtl/>
        </w:rPr>
        <w:tab/>
        <w:t xml:space="preserve">אני סבורה כי עניינו של הנאשם שבפני נופל בגדר המקרים המאפשרים סטייה לקולא מרף הענישה שקבעתי מאחר שבעניינו של נאשם זה התלכדו מספר נסיבות לקולא הן ביחס למעשה עצמו והן ביחס לנאשם, לצד הליך שיקום משמעותי ונושא פירות, ובהתבסס על המלצת שירות המבחן, ואנמק את דבריי. </w:t>
      </w:r>
    </w:p>
    <w:p w14:paraId="383B6C92" w14:textId="77777777" w:rsidR="000D66D9" w:rsidRDefault="000D66D9" w:rsidP="000D66D9">
      <w:pPr>
        <w:spacing w:line="360" w:lineRule="auto"/>
        <w:ind w:left="720" w:hanging="720"/>
        <w:jc w:val="both"/>
        <w:rPr>
          <w:rtl/>
        </w:rPr>
      </w:pPr>
    </w:p>
    <w:p w14:paraId="5AC0F8E6" w14:textId="77777777" w:rsidR="000D66D9" w:rsidRDefault="000D66D9" w:rsidP="000D66D9">
      <w:pPr>
        <w:spacing w:line="360" w:lineRule="auto"/>
        <w:ind w:left="720" w:hanging="720"/>
        <w:jc w:val="both"/>
        <w:rPr>
          <w:rtl/>
        </w:rPr>
      </w:pPr>
      <w:r>
        <w:rPr>
          <w:rFonts w:hint="cs"/>
          <w:rtl/>
        </w:rPr>
        <w:t>13.</w:t>
      </w:r>
      <w:r>
        <w:rPr>
          <w:rFonts w:hint="cs"/>
          <w:rtl/>
        </w:rPr>
        <w:tab/>
        <w:t xml:space="preserve">בכל הקשור לנסיבות המעשה, אין חולק על חומרתו וכי היקף הסמים שנמצאו אצל הנאשם רב, מצאתי לייחס משקל לתיקון לקולא של כתב האישום, לכך שלא הוצגה בפני אינדיקציה שהנאשם התכוון לסחור בסם, כל שכן שמדובר בנאשם המעיד על עצמו כמי שמשתמש בסם במשך עשרות שנים. </w:t>
      </w:r>
    </w:p>
    <w:p w14:paraId="381983EB" w14:textId="77777777" w:rsidR="000D66D9" w:rsidRDefault="000D66D9" w:rsidP="000D66D9">
      <w:pPr>
        <w:spacing w:line="360" w:lineRule="auto"/>
        <w:ind w:left="720" w:hanging="720"/>
        <w:jc w:val="both"/>
        <w:rPr>
          <w:rtl/>
        </w:rPr>
      </w:pPr>
    </w:p>
    <w:p w14:paraId="45E6AB95" w14:textId="77777777" w:rsidR="000D66D9" w:rsidRDefault="000D66D9" w:rsidP="000D66D9">
      <w:pPr>
        <w:spacing w:line="360" w:lineRule="auto"/>
        <w:ind w:left="720" w:hanging="720"/>
        <w:jc w:val="both"/>
        <w:rPr>
          <w:rtl/>
        </w:rPr>
      </w:pPr>
      <w:r>
        <w:rPr>
          <w:rFonts w:hint="cs"/>
          <w:rtl/>
        </w:rPr>
        <w:t>14.</w:t>
      </w:r>
      <w:r>
        <w:rPr>
          <w:rFonts w:hint="cs"/>
          <w:rtl/>
        </w:rPr>
        <w:tab/>
        <w:t>עוד אציין מספר רב של נסיבות לקולא הקשורות לנאשם עצמו. ראשית, מדובר בנאשם בן 50, הסובל מבעיות בריאותיות, ירידה ביכולות קוגניטיביות ופגיעה בזיכרון. כידוע, סעיף השיקום במסגרת תיקון 113 אינו מאפשר סטייה לקולא רק מחמת מצב רפואי, בענין זה אפנה ל</w:t>
      </w:r>
      <w:hyperlink r:id="rId18" w:history="1">
        <w:r w:rsidR="00F2792F" w:rsidRPr="00F2792F">
          <w:rPr>
            <w:color w:val="0000FF"/>
            <w:u w:val="single"/>
            <w:rtl/>
          </w:rPr>
          <w:t>ע"פ 5669/14</w:t>
        </w:r>
      </w:hyperlink>
      <w:r>
        <w:rPr>
          <w:rFonts w:hint="cs"/>
          <w:rtl/>
        </w:rPr>
        <w:t xml:space="preserve"> </w:t>
      </w:r>
      <w:r w:rsidRPr="009D767A">
        <w:rPr>
          <w:rFonts w:hint="cs"/>
          <w:b/>
          <w:bCs/>
          <w:rtl/>
        </w:rPr>
        <w:t>אורי לופליאנסקי נ' מ</w:t>
      </w:r>
      <w:r>
        <w:rPr>
          <w:rFonts w:hint="cs"/>
          <w:b/>
          <w:bCs/>
          <w:rtl/>
        </w:rPr>
        <w:t>דינת ישראל</w:t>
      </w:r>
      <w:r>
        <w:rPr>
          <w:rFonts w:hint="cs"/>
          <w:rtl/>
        </w:rPr>
        <w:t xml:space="preserve">, אך חשוב לראות כי בית המשפט העליון נתן דעתו לענין זה, וקרא למחוקק לערוך שינוי חקיקתי בענין, ואף הקל הקלה משמעותית בעניינו של הנאשם לופליאנסקי בכך שהפחית את עונשו שעמד על מספר שנות מאסר לתקופה של 6 חודשי עבודות שירות מחמת מצבו הרפואי. בענין זה אף נקבע כי עיקרון אחידות הענישה אין משמעו זהות בענישה ויש לתת את הדעת לנסיבותיו של כל מקרה ומקרה. עוד ראה בענין זה </w:t>
      </w:r>
      <w:hyperlink r:id="rId19" w:history="1">
        <w:r w:rsidR="00F2792F" w:rsidRPr="00F2792F">
          <w:rPr>
            <w:color w:val="0000FF"/>
            <w:u w:val="single"/>
            <w:rtl/>
          </w:rPr>
          <w:t>דנ"פ 623/16</w:t>
        </w:r>
      </w:hyperlink>
      <w:r>
        <w:rPr>
          <w:rFonts w:hint="cs"/>
          <w:rtl/>
        </w:rPr>
        <w:t xml:space="preserve"> </w:t>
      </w:r>
      <w:r w:rsidRPr="009D767A">
        <w:rPr>
          <w:rFonts w:hint="cs"/>
          <w:b/>
          <w:bCs/>
          <w:rtl/>
        </w:rPr>
        <w:t>פינטו נ' מדינת ישראל.</w:t>
      </w:r>
    </w:p>
    <w:p w14:paraId="3D514B78" w14:textId="77777777" w:rsidR="000D66D9" w:rsidRDefault="000D66D9" w:rsidP="000D66D9">
      <w:pPr>
        <w:spacing w:line="360" w:lineRule="auto"/>
        <w:ind w:left="720" w:hanging="720"/>
        <w:jc w:val="both"/>
        <w:rPr>
          <w:rtl/>
        </w:rPr>
      </w:pPr>
    </w:p>
    <w:p w14:paraId="72C91A59" w14:textId="77777777" w:rsidR="000D66D9" w:rsidRDefault="000D66D9" w:rsidP="000D66D9">
      <w:pPr>
        <w:spacing w:line="360" w:lineRule="auto"/>
        <w:ind w:left="720" w:hanging="720"/>
        <w:jc w:val="both"/>
        <w:rPr>
          <w:rtl/>
        </w:rPr>
      </w:pPr>
      <w:r>
        <w:rPr>
          <w:rFonts w:hint="cs"/>
          <w:rtl/>
        </w:rPr>
        <w:t>15.</w:t>
      </w:r>
      <w:r>
        <w:rPr>
          <w:rFonts w:hint="cs"/>
          <w:rtl/>
        </w:rPr>
        <w:tab/>
        <w:t xml:space="preserve">לנאשם אמנם עבר פלילי גם בעבירות סמים, אך הרשעתו האחרונה בעבירות סמים הינה משנת 2001 בעבירה של החזקת סם לצריכה עצמית, והעבירות הדומות הישנות יותר, הינן משנת 1995 ו- 1994. </w:t>
      </w:r>
    </w:p>
    <w:p w14:paraId="2804CDC8" w14:textId="77777777" w:rsidR="000D66D9" w:rsidRDefault="000D66D9" w:rsidP="000D66D9">
      <w:pPr>
        <w:spacing w:line="360" w:lineRule="auto"/>
        <w:ind w:left="720" w:hanging="720"/>
        <w:jc w:val="both"/>
        <w:rPr>
          <w:rtl/>
        </w:rPr>
      </w:pPr>
    </w:p>
    <w:p w14:paraId="5B573876" w14:textId="77777777" w:rsidR="000D66D9" w:rsidRDefault="000D66D9" w:rsidP="000D66D9">
      <w:pPr>
        <w:spacing w:line="360" w:lineRule="auto"/>
        <w:ind w:left="720" w:hanging="720"/>
        <w:jc w:val="both"/>
        <w:rPr>
          <w:rtl/>
        </w:rPr>
      </w:pPr>
      <w:r>
        <w:rPr>
          <w:rFonts w:hint="cs"/>
          <w:rtl/>
        </w:rPr>
        <w:t>16.</w:t>
      </w:r>
      <w:r>
        <w:rPr>
          <w:rFonts w:hint="cs"/>
          <w:rtl/>
        </w:rPr>
        <w:tab/>
        <w:t>הנאשם נעצר במסגרת הליך זה בפעם הראשונה בחייו, וכעולה מתסקיר שירות המבחן וגם מדבריו של הנאשם עצמו, היווה המעצר גורם מרתיע ומטלטל, וככל הנראה  את הרקע לניסיון הנאשם להיגמל מסם לראשונה בחייו.</w:t>
      </w:r>
    </w:p>
    <w:p w14:paraId="3C1DF9A8" w14:textId="77777777" w:rsidR="000D66D9" w:rsidRDefault="000D66D9" w:rsidP="000D66D9">
      <w:pPr>
        <w:spacing w:line="360" w:lineRule="auto"/>
        <w:ind w:left="720" w:hanging="720"/>
        <w:jc w:val="both"/>
        <w:rPr>
          <w:rtl/>
        </w:rPr>
      </w:pPr>
    </w:p>
    <w:p w14:paraId="64FF865C" w14:textId="77777777" w:rsidR="000D66D9" w:rsidRDefault="000D66D9" w:rsidP="000D66D9">
      <w:pPr>
        <w:spacing w:line="360" w:lineRule="auto"/>
        <w:ind w:left="720" w:hanging="720"/>
        <w:jc w:val="both"/>
        <w:rPr>
          <w:rtl/>
        </w:rPr>
      </w:pPr>
      <w:r>
        <w:rPr>
          <w:rFonts w:hint="cs"/>
          <w:rtl/>
        </w:rPr>
        <w:t>17.</w:t>
      </w:r>
      <w:r>
        <w:rPr>
          <w:rFonts w:hint="cs"/>
          <w:rtl/>
        </w:rPr>
        <w:tab/>
        <w:t>הנאשם משולב בהליך טיפולי מזה שנה וחצי הן במסגרת שירות המבחן והן במסגרת היחידה להתמכרויות בעיר כפר סבא. הנאשם מוסר בדיקות שתן נקיות, מתייצב כנדרש לפגישות טיפוליות, והגם שנראה כי מדובר בנאשם מופנם, שאינו משתף את סובביו, פירות הליך השיקום נראים לעין כבר כיום, כך שניתן לומר שמדובר בנאשם שלא רק קיים סיכוי שישתקם אלא שבפועל ערך בשנה האחרונה שיקום ממשי בחייו.</w:t>
      </w:r>
    </w:p>
    <w:p w14:paraId="39D25994" w14:textId="77777777" w:rsidR="000D66D9" w:rsidRDefault="000D66D9" w:rsidP="000D66D9">
      <w:pPr>
        <w:spacing w:line="360" w:lineRule="auto"/>
        <w:ind w:left="720" w:hanging="720"/>
        <w:jc w:val="both"/>
        <w:rPr>
          <w:rtl/>
        </w:rPr>
      </w:pPr>
    </w:p>
    <w:p w14:paraId="55C35AA8" w14:textId="77777777" w:rsidR="000D66D9" w:rsidRDefault="000D66D9" w:rsidP="000D66D9">
      <w:pPr>
        <w:spacing w:line="360" w:lineRule="auto"/>
        <w:ind w:left="720" w:hanging="720"/>
        <w:jc w:val="both"/>
        <w:rPr>
          <w:rtl/>
        </w:rPr>
      </w:pPr>
      <w:r>
        <w:rPr>
          <w:rFonts w:hint="cs"/>
          <w:rtl/>
        </w:rPr>
        <w:t>18.</w:t>
      </w:r>
      <w:r>
        <w:rPr>
          <w:rFonts w:hint="cs"/>
          <w:rtl/>
        </w:rPr>
        <w:tab/>
        <w:t xml:space="preserve">התרשמתי שלנאשם מערכת משפחתית תומכת, ובראשה אשת הנאשם, המהווה גורם חיובי ותומך. </w:t>
      </w:r>
    </w:p>
    <w:p w14:paraId="4279BB58" w14:textId="77777777" w:rsidR="000D66D9" w:rsidRDefault="000D66D9" w:rsidP="000D66D9">
      <w:pPr>
        <w:spacing w:line="360" w:lineRule="auto"/>
        <w:ind w:left="720" w:hanging="720"/>
        <w:jc w:val="both"/>
        <w:rPr>
          <w:rtl/>
        </w:rPr>
      </w:pPr>
    </w:p>
    <w:p w14:paraId="5314F06A" w14:textId="77777777" w:rsidR="000D66D9" w:rsidRDefault="000D66D9" w:rsidP="000D66D9">
      <w:pPr>
        <w:spacing w:line="360" w:lineRule="auto"/>
        <w:ind w:left="720" w:hanging="720"/>
        <w:jc w:val="both"/>
        <w:rPr>
          <w:rtl/>
        </w:rPr>
      </w:pPr>
      <w:r>
        <w:rPr>
          <w:rFonts w:hint="cs"/>
          <w:rtl/>
        </w:rPr>
        <w:t>19.</w:t>
      </w:r>
      <w:r>
        <w:rPr>
          <w:rFonts w:hint="cs"/>
          <w:rtl/>
        </w:rPr>
        <w:tab/>
        <w:t xml:space="preserve">העמדה שהציגה ההגנה בעניינו של הנאשם הגונה, ובין היתר ההסכמה להארכת תקופת הפיקוח, שיודע הנאשם שככל שלא יתמיד בשיתוף הפעולה עם שירות המבחן או יחזור להשתמש בסם, הדבר יכול לשמש בסיס לשינוי לחומרה בעונשו, ובין היתר היעתרות לעתירת המאשימה לעונש מאסר בפועל. </w:t>
      </w:r>
    </w:p>
    <w:p w14:paraId="6557FD5B" w14:textId="77777777" w:rsidR="000D66D9" w:rsidRDefault="000D66D9" w:rsidP="000D66D9">
      <w:pPr>
        <w:spacing w:line="360" w:lineRule="auto"/>
        <w:ind w:left="720" w:hanging="720"/>
        <w:jc w:val="both"/>
        <w:rPr>
          <w:rtl/>
        </w:rPr>
      </w:pPr>
    </w:p>
    <w:p w14:paraId="7B9F66A5" w14:textId="77777777" w:rsidR="000D66D9" w:rsidRDefault="000D66D9" w:rsidP="000D66D9">
      <w:pPr>
        <w:spacing w:line="360" w:lineRule="auto"/>
        <w:ind w:left="720" w:hanging="720"/>
        <w:jc w:val="both"/>
        <w:rPr>
          <w:rtl/>
        </w:rPr>
      </w:pPr>
      <w:r>
        <w:rPr>
          <w:rFonts w:hint="cs"/>
          <w:rtl/>
        </w:rPr>
        <w:t>20.</w:t>
      </w:r>
      <w:r>
        <w:rPr>
          <w:rFonts w:hint="cs"/>
          <w:rtl/>
        </w:rPr>
        <w:tab/>
        <w:t>כלל השיקולים לקולא שציינתי בהחלטתי מהווים בסיס נאות לסטייה מרף הענישה שקבעתי לצרכי שיקום, ועל כן, אני מאמצת את המלצת שירות המבחן ומטילה על הנאשם את העונשים הבאים:</w:t>
      </w:r>
    </w:p>
    <w:p w14:paraId="2D31B8EF" w14:textId="77777777" w:rsidR="000D66D9" w:rsidRDefault="000D66D9" w:rsidP="000D66D9">
      <w:pPr>
        <w:spacing w:line="360" w:lineRule="auto"/>
        <w:ind w:left="1440" w:hanging="720"/>
        <w:jc w:val="both"/>
        <w:rPr>
          <w:rtl/>
        </w:rPr>
      </w:pPr>
      <w:r>
        <w:rPr>
          <w:rFonts w:hint="cs"/>
          <w:rtl/>
        </w:rPr>
        <w:t>א.</w:t>
      </w:r>
      <w:r>
        <w:rPr>
          <w:rFonts w:hint="cs"/>
          <w:rtl/>
        </w:rPr>
        <w:tab/>
        <w:t xml:space="preserve">מאסר על תנאי בן 6 חודשים, והתנאי הוא שהנאשם לא יבצע עבירות סמים מסוג פשע במשך 3 שנים מהיום. </w:t>
      </w:r>
    </w:p>
    <w:p w14:paraId="67907F5D" w14:textId="77777777" w:rsidR="000D66D9" w:rsidRDefault="000D66D9" w:rsidP="000D66D9">
      <w:pPr>
        <w:spacing w:line="360" w:lineRule="auto"/>
        <w:ind w:left="1440" w:hanging="720"/>
        <w:jc w:val="both"/>
        <w:rPr>
          <w:rtl/>
        </w:rPr>
      </w:pPr>
      <w:r>
        <w:rPr>
          <w:rFonts w:hint="cs"/>
          <w:rtl/>
        </w:rPr>
        <w:t>ב.</w:t>
      </w:r>
      <w:r>
        <w:rPr>
          <w:rFonts w:hint="cs"/>
          <w:rtl/>
        </w:rPr>
        <w:tab/>
        <w:t xml:space="preserve">מאסר על תנאי בן 3 חודשים, והתנאי הוא שהנאשם לא יבצע עבירות סמים מסוג עוון במשך 3 שנים מהיום. </w:t>
      </w:r>
    </w:p>
    <w:p w14:paraId="2D730B1F" w14:textId="77777777" w:rsidR="000D66D9" w:rsidRDefault="000D66D9" w:rsidP="000D66D9">
      <w:pPr>
        <w:spacing w:line="360" w:lineRule="auto"/>
        <w:ind w:left="1440" w:hanging="720"/>
        <w:jc w:val="both"/>
        <w:rPr>
          <w:rtl/>
        </w:rPr>
      </w:pPr>
      <w:r>
        <w:rPr>
          <w:rFonts w:hint="cs"/>
          <w:rtl/>
        </w:rPr>
        <w:t>ג.</w:t>
      </w:r>
      <w:r>
        <w:rPr>
          <w:rFonts w:hint="cs"/>
          <w:rtl/>
        </w:rPr>
        <w:tab/>
        <w:t>מעמידה את הנאשם בפיקוח שירות המבחן למשך 18 חודש. אי שיתוף פעולה עם שירות המבחן או חזרה לשימוש בסם, תהווה הפרה של תנאי הפיקוח.</w:t>
      </w:r>
    </w:p>
    <w:p w14:paraId="317E732A" w14:textId="77777777" w:rsidR="000D66D9" w:rsidRDefault="000D66D9" w:rsidP="000D66D9">
      <w:pPr>
        <w:spacing w:line="360" w:lineRule="auto"/>
        <w:ind w:left="1440" w:hanging="720"/>
        <w:jc w:val="both"/>
        <w:rPr>
          <w:rtl/>
        </w:rPr>
      </w:pPr>
      <w:r>
        <w:rPr>
          <w:rFonts w:hint="cs"/>
          <w:rtl/>
        </w:rPr>
        <w:t>ד.</w:t>
      </w:r>
      <w:r>
        <w:rPr>
          <w:rFonts w:hint="cs"/>
          <w:rtl/>
        </w:rPr>
        <w:tab/>
        <w:t xml:space="preserve">מטילה על הנאשם פסילת רישיון למשך 12 חודשים. </w:t>
      </w:r>
    </w:p>
    <w:p w14:paraId="5B14CFFF" w14:textId="77777777" w:rsidR="000D66D9" w:rsidRDefault="000D66D9" w:rsidP="000D66D9">
      <w:pPr>
        <w:spacing w:line="360" w:lineRule="auto"/>
        <w:ind w:left="1440" w:hanging="720"/>
        <w:jc w:val="both"/>
        <w:rPr>
          <w:rtl/>
        </w:rPr>
      </w:pPr>
      <w:r>
        <w:rPr>
          <w:rFonts w:hint="cs"/>
          <w:rtl/>
        </w:rPr>
        <w:t>ה.</w:t>
      </w:r>
      <w:r>
        <w:rPr>
          <w:rFonts w:hint="cs"/>
          <w:rtl/>
        </w:rPr>
        <w:tab/>
        <w:t>מטילה על נאשם פסילת רישיון על תנאי למשך 6 חודשים, אם יבצע עבירות סמים למשך שנתיים מהיום.</w:t>
      </w:r>
    </w:p>
    <w:p w14:paraId="487C5D40" w14:textId="77777777" w:rsidR="000D66D9" w:rsidRDefault="000D66D9" w:rsidP="000D66D9">
      <w:pPr>
        <w:spacing w:line="360" w:lineRule="auto"/>
        <w:ind w:left="1440" w:hanging="720"/>
        <w:jc w:val="both"/>
        <w:rPr>
          <w:rtl/>
        </w:rPr>
      </w:pPr>
      <w:r>
        <w:rPr>
          <w:rFonts w:hint="cs"/>
          <w:rtl/>
        </w:rPr>
        <w:t>ו.</w:t>
      </w:r>
      <w:r>
        <w:rPr>
          <w:rFonts w:hint="cs"/>
          <w:rtl/>
        </w:rPr>
        <w:tab/>
        <w:t xml:space="preserve">קנס בסך 1,000 ש"ח או 7 ימי מאסר תמורתו. הקנס יקוזז מסכום ההפקדה שהופקד במסגרת הליך </w:t>
      </w:r>
      <w:hyperlink r:id="rId20" w:history="1">
        <w:r w:rsidR="00F2792F" w:rsidRPr="00F2792F">
          <w:rPr>
            <w:color w:val="0000FF"/>
            <w:u w:val="single"/>
            <w:rtl/>
          </w:rPr>
          <w:t>מ"ת 43957-10-14</w:t>
        </w:r>
      </w:hyperlink>
      <w:r>
        <w:rPr>
          <w:rFonts w:hint="cs"/>
          <w:rtl/>
        </w:rPr>
        <w:t xml:space="preserve">. יתרת הסכום תוחזר למפקיד. </w:t>
      </w:r>
    </w:p>
    <w:p w14:paraId="66124481" w14:textId="77777777" w:rsidR="000D66D9" w:rsidRDefault="000D66D9" w:rsidP="000D66D9">
      <w:pPr>
        <w:spacing w:line="360" w:lineRule="auto"/>
        <w:ind w:left="1440" w:hanging="720"/>
        <w:jc w:val="both"/>
        <w:rPr>
          <w:rtl/>
        </w:rPr>
      </w:pPr>
      <w:r>
        <w:rPr>
          <w:rFonts w:hint="cs"/>
          <w:rtl/>
        </w:rPr>
        <w:t>ז.</w:t>
      </w:r>
      <w:r>
        <w:rPr>
          <w:rFonts w:hint="cs"/>
          <w:rtl/>
        </w:rPr>
        <w:tab/>
        <w:t xml:space="preserve">מורה על השמדת הסמים והכלים. </w:t>
      </w:r>
    </w:p>
    <w:p w14:paraId="65DAE40D" w14:textId="77777777" w:rsidR="000D66D9" w:rsidRDefault="000D66D9" w:rsidP="000D66D9">
      <w:pPr>
        <w:spacing w:line="360" w:lineRule="auto"/>
        <w:ind w:left="1440" w:hanging="720"/>
        <w:jc w:val="both"/>
        <w:rPr>
          <w:rtl/>
        </w:rPr>
      </w:pPr>
      <w:r>
        <w:rPr>
          <w:rtl/>
        </w:rPr>
        <w:tab/>
      </w:r>
      <w:r>
        <w:rPr>
          <w:rFonts w:hint="cs"/>
          <w:rtl/>
        </w:rPr>
        <w:t xml:space="preserve">יתר המוצגים יוחזרו לנאשם בכפוף להצגת בעלות או יחולטו או יושמדו, בהתאם לשיקול דעת קצין המשטרה. </w:t>
      </w:r>
    </w:p>
    <w:p w14:paraId="196BA2BD" w14:textId="77777777" w:rsidR="000D66D9" w:rsidRDefault="000D66D9" w:rsidP="000D66D9">
      <w:pPr>
        <w:spacing w:line="360" w:lineRule="auto"/>
        <w:ind w:left="1440" w:hanging="720"/>
        <w:rPr>
          <w:rtl/>
        </w:rPr>
      </w:pPr>
    </w:p>
    <w:p w14:paraId="514EE23C" w14:textId="77777777" w:rsidR="000D66D9" w:rsidRDefault="000D66D9" w:rsidP="000D66D9">
      <w:pPr>
        <w:rPr>
          <w:b/>
          <w:bCs/>
          <w:rtl/>
        </w:rPr>
      </w:pPr>
    </w:p>
    <w:p w14:paraId="5A49ECC4" w14:textId="77777777" w:rsidR="000D66D9" w:rsidRPr="00D50BE7" w:rsidRDefault="000D66D9" w:rsidP="000D66D9">
      <w:pPr>
        <w:rPr>
          <w:b/>
          <w:bCs/>
        </w:rPr>
      </w:pPr>
      <w:r w:rsidRPr="00D50BE7">
        <w:rPr>
          <w:rFonts w:hint="cs"/>
          <w:b/>
          <w:bCs/>
          <w:rtl/>
        </w:rPr>
        <w:t>עותק מגזר הדין יועבר לשירות המבחן</w:t>
      </w:r>
      <w:r>
        <w:rPr>
          <w:rFonts w:hint="cs"/>
          <w:b/>
          <w:bCs/>
          <w:rtl/>
        </w:rPr>
        <w:t xml:space="preserve">. </w:t>
      </w:r>
    </w:p>
    <w:p w14:paraId="610CF44B" w14:textId="77777777" w:rsidR="000D66D9" w:rsidRDefault="000D66D9" w:rsidP="000D66D9">
      <w:pPr>
        <w:spacing w:line="360" w:lineRule="auto"/>
        <w:jc w:val="both"/>
        <w:rPr>
          <w:rtl/>
        </w:rPr>
      </w:pPr>
    </w:p>
    <w:p w14:paraId="4904B9F6" w14:textId="77777777" w:rsidR="000D66D9" w:rsidRPr="002803BB" w:rsidRDefault="000D66D9" w:rsidP="000D66D9">
      <w:pPr>
        <w:spacing w:line="360" w:lineRule="auto"/>
        <w:jc w:val="both"/>
        <w:rPr>
          <w:rtl/>
        </w:rPr>
      </w:pPr>
    </w:p>
    <w:p w14:paraId="555EEE9A" w14:textId="77777777" w:rsidR="000D66D9" w:rsidRDefault="000D66D9" w:rsidP="000D66D9">
      <w:pPr>
        <w:spacing w:line="360" w:lineRule="auto"/>
        <w:jc w:val="both"/>
        <w:rPr>
          <w:b/>
          <w:bCs/>
          <w:rtl/>
        </w:rPr>
      </w:pPr>
      <w:r>
        <w:rPr>
          <w:rFonts w:hint="cs"/>
          <w:b/>
          <w:bCs/>
          <w:rtl/>
        </w:rPr>
        <w:t>זכות ערעור תוך 45 יום מהיום לבית המשפט המחוזי מרכז.</w:t>
      </w:r>
    </w:p>
    <w:p w14:paraId="35F47ACA" w14:textId="77777777" w:rsidR="000D66D9" w:rsidRDefault="000D66D9" w:rsidP="000D66D9">
      <w:pPr>
        <w:spacing w:line="360" w:lineRule="auto"/>
        <w:jc w:val="both"/>
        <w:rPr>
          <w:b/>
          <w:bCs/>
          <w:rtl/>
        </w:rPr>
      </w:pPr>
    </w:p>
    <w:p w14:paraId="7F175FFC" w14:textId="77777777" w:rsidR="000D66D9" w:rsidRDefault="000D66D9" w:rsidP="000D66D9">
      <w:pPr>
        <w:spacing w:line="360" w:lineRule="auto"/>
        <w:jc w:val="both"/>
        <w:rPr>
          <w:rFonts w:cs="Calibri"/>
          <w:b/>
          <w:bCs/>
          <w:sz w:val="6"/>
          <w:szCs w:val="6"/>
          <w:rtl/>
        </w:rPr>
      </w:pPr>
      <w:r>
        <w:rPr>
          <w:rFonts w:cs="Times New Roman"/>
          <w:b/>
          <w:bCs/>
          <w:sz w:val="6"/>
          <w:szCs w:val="6"/>
          <w:rtl/>
        </w:rPr>
        <w:t>&lt;#4#&gt;</w:t>
      </w:r>
    </w:p>
    <w:p w14:paraId="3ECA4720" w14:textId="77777777" w:rsidR="000D66D9" w:rsidRDefault="000D66D9" w:rsidP="000D66D9">
      <w:pPr>
        <w:jc w:val="right"/>
        <w:rPr>
          <w:rtl/>
        </w:rPr>
      </w:pPr>
    </w:p>
    <w:p w14:paraId="711764C6" w14:textId="77777777" w:rsidR="000D66D9" w:rsidRDefault="000D66D9" w:rsidP="000D66D9">
      <w:pPr>
        <w:spacing w:line="360" w:lineRule="auto"/>
        <w:rPr>
          <w:rtl/>
        </w:rPr>
      </w:pPr>
      <w:r>
        <w:rPr>
          <w:rFonts w:hint="cs"/>
          <w:b/>
          <w:bCs/>
          <w:rtl/>
        </w:rPr>
        <w:t xml:space="preserve">ניתנה והודעה היום </w:t>
      </w:r>
      <w:r>
        <w:rPr>
          <w:rFonts w:hint="cs"/>
          <w:rtl/>
        </w:rPr>
        <w:t>כ"ז סיוון תשע"ו</w:t>
      </w:r>
      <w:r>
        <w:rPr>
          <w:rFonts w:hint="cs"/>
          <w:b/>
          <w:bCs/>
          <w:rtl/>
        </w:rPr>
        <w:t xml:space="preserve">, </w:t>
      </w:r>
      <w:r>
        <w:rPr>
          <w:rFonts w:hint="cs"/>
          <w:rtl/>
        </w:rPr>
        <w:t>03/07/2016</w:t>
      </w:r>
      <w:r>
        <w:rPr>
          <w:rFonts w:hint="cs"/>
          <w:b/>
          <w:bCs/>
          <w:rtl/>
        </w:rPr>
        <w:t xml:space="preserve"> במעמד הנוכחים.</w:t>
      </w:r>
    </w:p>
    <w:p w14:paraId="2981EB14" w14:textId="77777777" w:rsidR="000D66D9" w:rsidRDefault="000D66D9" w:rsidP="000D66D9">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D66D9" w14:paraId="27A09738" w14:textId="77777777">
        <w:trPr>
          <w:trHeight w:val="316"/>
          <w:jc w:val="right"/>
        </w:trPr>
        <w:tc>
          <w:tcPr>
            <w:tcW w:w="3936" w:type="dxa"/>
            <w:shd w:val="clear" w:color="auto" w:fill="auto"/>
          </w:tcPr>
          <w:p w14:paraId="78242E83" w14:textId="77777777" w:rsidR="000D66D9" w:rsidRPr="00FD519A" w:rsidRDefault="000D66D9" w:rsidP="00F2792F">
            <w:pPr>
              <w:jc w:val="center"/>
              <w:rPr>
                <w:rFonts w:ascii="Times New Roman" w:eastAsia="Times New Roman" w:hAnsi="Times New Roman" w:cs="Times New Roman"/>
              </w:rPr>
            </w:pPr>
          </w:p>
          <w:p w14:paraId="1F194609" w14:textId="77777777" w:rsidR="000D66D9" w:rsidRPr="00FD519A" w:rsidRDefault="000D66D9" w:rsidP="00F2792F">
            <w:pPr>
              <w:jc w:val="center"/>
              <w:rPr>
                <w:rFonts w:ascii="Times New Roman" w:eastAsia="Times New Roman" w:hAnsi="Times New Roman" w:cs="Times New Roman"/>
                <w:rtl/>
              </w:rPr>
            </w:pPr>
          </w:p>
        </w:tc>
      </w:tr>
      <w:tr w:rsidR="000D66D9" w14:paraId="6D7A1E4A" w14:textId="77777777">
        <w:trPr>
          <w:trHeight w:val="361"/>
          <w:jc w:val="right"/>
        </w:trPr>
        <w:tc>
          <w:tcPr>
            <w:tcW w:w="3936" w:type="dxa"/>
            <w:shd w:val="clear" w:color="auto" w:fill="auto"/>
          </w:tcPr>
          <w:p w14:paraId="56D611EA" w14:textId="77777777" w:rsidR="000D66D9" w:rsidRPr="00FD519A" w:rsidRDefault="000D66D9" w:rsidP="00F2792F">
            <w:pPr>
              <w:jc w:val="center"/>
              <w:rPr>
                <w:rFonts w:ascii="Times New Roman" w:eastAsia="Times New Roman" w:hAnsi="Times New Roman"/>
                <w:b/>
                <w:bCs/>
                <w:rtl/>
              </w:rPr>
            </w:pPr>
            <w:r w:rsidRPr="00FD519A">
              <w:rPr>
                <w:rFonts w:ascii="Times New Roman" w:eastAsia="Times New Roman" w:hAnsi="Times New Roman" w:hint="cs"/>
                <w:b/>
                <w:bCs/>
                <w:rtl/>
              </w:rPr>
              <w:t>מרב גרינברג</w:t>
            </w:r>
            <w:r w:rsidRPr="00FD519A">
              <w:rPr>
                <w:rFonts w:ascii="Times New Roman" w:eastAsia="Times New Roman" w:hAnsi="Times New Roman"/>
                <w:b/>
                <w:bCs/>
                <w:rtl/>
              </w:rPr>
              <w:t xml:space="preserve"> </w:t>
            </w:r>
            <w:r w:rsidRPr="00FD519A">
              <w:rPr>
                <w:rFonts w:ascii="Times New Roman" w:eastAsia="Times New Roman" w:hAnsi="Times New Roman" w:hint="cs"/>
                <w:b/>
                <w:bCs/>
                <w:rtl/>
              </w:rPr>
              <w:t>, שופטת</w:t>
            </w:r>
            <w:r w:rsidRPr="00FD519A">
              <w:rPr>
                <w:rFonts w:ascii="Times New Roman" w:eastAsia="Times New Roman" w:hAnsi="Times New Roman"/>
                <w:b/>
                <w:bCs/>
                <w:rtl/>
              </w:rPr>
              <w:t xml:space="preserve"> </w:t>
            </w:r>
          </w:p>
        </w:tc>
      </w:tr>
    </w:tbl>
    <w:p w14:paraId="00E8E663" w14:textId="77777777" w:rsidR="000D66D9" w:rsidRDefault="000D66D9" w:rsidP="000D66D9">
      <w:pPr>
        <w:jc w:val="right"/>
        <w:rPr>
          <w:rtl/>
        </w:rPr>
      </w:pPr>
    </w:p>
    <w:p w14:paraId="01DB0DDB" w14:textId="77777777" w:rsidR="000D66D9" w:rsidRDefault="000D66D9" w:rsidP="000D66D9">
      <w:pPr>
        <w:jc w:val="both"/>
        <w:rPr>
          <w:rtl/>
        </w:rPr>
      </w:pPr>
    </w:p>
    <w:p w14:paraId="4BAF2C47" w14:textId="77777777" w:rsidR="000D66D9" w:rsidRDefault="000D66D9" w:rsidP="000D66D9">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A427B18" w14:textId="77777777" w:rsidR="000D66D9" w:rsidRDefault="000D66D9" w:rsidP="000D66D9">
      <w:pPr>
        <w:spacing w:line="360" w:lineRule="auto"/>
        <w:jc w:val="both"/>
        <w:rPr>
          <w:rtl/>
        </w:rPr>
      </w:pPr>
    </w:p>
    <w:p w14:paraId="0379040A" w14:textId="77777777" w:rsidR="000D66D9" w:rsidRDefault="000D66D9" w:rsidP="000D66D9">
      <w:pPr>
        <w:spacing w:line="360" w:lineRule="auto"/>
        <w:jc w:val="both"/>
        <w:rPr>
          <w:rtl/>
        </w:rPr>
      </w:pPr>
      <w:r>
        <w:rPr>
          <w:rFonts w:hint="cs"/>
          <w:rtl/>
        </w:rPr>
        <w:t>בנסיבות אלה, פוטרת את הנאשם מלהמציא את רישיון הנהיגה.</w:t>
      </w:r>
    </w:p>
    <w:p w14:paraId="549CAF93" w14:textId="77777777" w:rsidR="000D66D9" w:rsidRDefault="000D66D9" w:rsidP="000D66D9">
      <w:pPr>
        <w:spacing w:line="360" w:lineRule="auto"/>
        <w:jc w:val="both"/>
        <w:rPr>
          <w:rtl/>
        </w:rPr>
      </w:pPr>
      <w:r>
        <w:rPr>
          <w:rFonts w:hint="cs"/>
          <w:rtl/>
        </w:rPr>
        <w:t xml:space="preserve">עונש הפסילה יחל מהיום. </w:t>
      </w:r>
    </w:p>
    <w:p w14:paraId="1A08803C" w14:textId="77777777" w:rsidR="000D66D9" w:rsidRDefault="000D66D9" w:rsidP="000D66D9">
      <w:pPr>
        <w:spacing w:line="360" w:lineRule="auto"/>
        <w:jc w:val="both"/>
        <w:rPr>
          <w:sz w:val="6"/>
          <w:szCs w:val="6"/>
          <w:rtl/>
        </w:rPr>
      </w:pPr>
      <w:r>
        <w:rPr>
          <w:sz w:val="6"/>
          <w:szCs w:val="6"/>
          <w:rtl/>
        </w:rPr>
        <w:t>&lt;#6#&gt;</w:t>
      </w:r>
    </w:p>
    <w:p w14:paraId="532C2B81" w14:textId="77777777" w:rsidR="000D66D9" w:rsidRDefault="000D66D9" w:rsidP="000D66D9">
      <w:pPr>
        <w:jc w:val="right"/>
        <w:rPr>
          <w:rtl/>
        </w:rPr>
      </w:pPr>
    </w:p>
    <w:p w14:paraId="608DC60F" w14:textId="77777777" w:rsidR="000D66D9" w:rsidRDefault="00F2792F" w:rsidP="000D66D9">
      <w:pPr>
        <w:jc w:val="center"/>
        <w:rPr>
          <w:rtl/>
        </w:rPr>
      </w:pPr>
      <w:r>
        <w:rPr>
          <w:b/>
          <w:bCs/>
          <w:rtl/>
        </w:rPr>
        <w:t xml:space="preserve">ניתנה והודעה היום כ"ז סיוון תשע"ו, 03/07/2016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D66D9" w14:paraId="2C9AEB6F" w14:textId="77777777">
        <w:trPr>
          <w:trHeight w:val="316"/>
          <w:jc w:val="right"/>
        </w:trPr>
        <w:tc>
          <w:tcPr>
            <w:tcW w:w="3936" w:type="dxa"/>
            <w:shd w:val="clear" w:color="auto" w:fill="auto"/>
          </w:tcPr>
          <w:p w14:paraId="39F41141" w14:textId="77777777" w:rsidR="000D66D9" w:rsidRPr="00FD519A" w:rsidRDefault="000D66D9" w:rsidP="00F2792F">
            <w:pPr>
              <w:jc w:val="center"/>
              <w:rPr>
                <w:rFonts w:ascii="Times New Roman" w:eastAsia="Times New Roman" w:hAnsi="Times New Roman" w:cs="Times New Roman"/>
              </w:rPr>
            </w:pPr>
          </w:p>
          <w:p w14:paraId="6346C25A" w14:textId="77777777" w:rsidR="000D66D9" w:rsidRPr="00FD519A" w:rsidRDefault="000D66D9" w:rsidP="00F2792F">
            <w:pPr>
              <w:jc w:val="center"/>
              <w:rPr>
                <w:rFonts w:ascii="Times New Roman" w:eastAsia="Times New Roman" w:hAnsi="Times New Roman" w:cs="Times New Roman"/>
                <w:rtl/>
              </w:rPr>
            </w:pPr>
          </w:p>
        </w:tc>
      </w:tr>
      <w:tr w:rsidR="000D66D9" w14:paraId="0F4CEC31" w14:textId="77777777">
        <w:trPr>
          <w:trHeight w:val="361"/>
          <w:jc w:val="right"/>
        </w:trPr>
        <w:tc>
          <w:tcPr>
            <w:tcW w:w="3936" w:type="dxa"/>
            <w:shd w:val="clear" w:color="auto" w:fill="auto"/>
          </w:tcPr>
          <w:p w14:paraId="4E46DB03" w14:textId="77777777" w:rsidR="000D66D9" w:rsidRPr="00FD519A" w:rsidRDefault="000D66D9" w:rsidP="00F2792F">
            <w:pPr>
              <w:jc w:val="center"/>
              <w:rPr>
                <w:rFonts w:ascii="Times New Roman" w:eastAsia="Times New Roman" w:hAnsi="Times New Roman"/>
                <w:b/>
                <w:bCs/>
                <w:rtl/>
              </w:rPr>
            </w:pPr>
            <w:r w:rsidRPr="00FD519A">
              <w:rPr>
                <w:rFonts w:ascii="Times New Roman" w:eastAsia="Times New Roman" w:hAnsi="Times New Roman" w:hint="cs"/>
                <w:b/>
                <w:bCs/>
                <w:rtl/>
              </w:rPr>
              <w:t>מרב גרינברג</w:t>
            </w:r>
            <w:r w:rsidRPr="00FD519A">
              <w:rPr>
                <w:rFonts w:ascii="Times New Roman" w:eastAsia="Times New Roman" w:hAnsi="Times New Roman"/>
                <w:b/>
                <w:bCs/>
                <w:rtl/>
              </w:rPr>
              <w:t xml:space="preserve"> </w:t>
            </w:r>
            <w:r w:rsidRPr="00FD519A">
              <w:rPr>
                <w:rFonts w:ascii="Times New Roman" w:eastAsia="Times New Roman" w:hAnsi="Times New Roman" w:hint="cs"/>
                <w:b/>
                <w:bCs/>
                <w:rtl/>
              </w:rPr>
              <w:t>, שופטת</w:t>
            </w:r>
            <w:r w:rsidRPr="00FD519A">
              <w:rPr>
                <w:rFonts w:ascii="Times New Roman" w:eastAsia="Times New Roman" w:hAnsi="Times New Roman"/>
                <w:b/>
                <w:bCs/>
                <w:rtl/>
              </w:rPr>
              <w:t xml:space="preserve"> </w:t>
            </w:r>
          </w:p>
        </w:tc>
      </w:tr>
    </w:tbl>
    <w:p w14:paraId="150DCF12" w14:textId="77777777" w:rsidR="000D66D9" w:rsidRDefault="000D66D9" w:rsidP="000D66D9">
      <w:pPr>
        <w:jc w:val="right"/>
        <w:rPr>
          <w:rtl/>
        </w:rPr>
      </w:pPr>
    </w:p>
    <w:p w14:paraId="4DCDB304" w14:textId="77777777" w:rsidR="000D66D9" w:rsidRDefault="000D66D9" w:rsidP="000D66D9">
      <w:pPr>
        <w:jc w:val="both"/>
        <w:rPr>
          <w:rtl/>
        </w:rPr>
      </w:pPr>
    </w:p>
    <w:p w14:paraId="6759733F" w14:textId="77777777" w:rsidR="000D66D9" w:rsidRPr="00F2792F" w:rsidRDefault="00F2792F" w:rsidP="000D66D9">
      <w:pPr>
        <w:spacing w:line="360" w:lineRule="auto"/>
        <w:jc w:val="both"/>
        <w:rPr>
          <w:color w:val="FFFFFF"/>
          <w:sz w:val="2"/>
          <w:szCs w:val="2"/>
          <w:rtl/>
        </w:rPr>
      </w:pPr>
      <w:r w:rsidRPr="00F2792F">
        <w:rPr>
          <w:color w:val="FFFFFF"/>
          <w:sz w:val="2"/>
          <w:szCs w:val="2"/>
          <w:rtl/>
        </w:rPr>
        <w:t>5129371</w:t>
      </w:r>
      <w:r w:rsidR="000D66D9" w:rsidRPr="00F2792F">
        <w:rPr>
          <w:color w:val="FFFFFF"/>
          <w:sz w:val="2"/>
          <w:szCs w:val="2"/>
          <w:rtl/>
        </w:rPr>
        <w:t xml:space="preserve"> </w:t>
      </w:r>
    </w:p>
    <w:p w14:paraId="6DA72D12" w14:textId="77777777" w:rsidR="000D66D9" w:rsidRPr="00F2792F" w:rsidRDefault="00F2792F" w:rsidP="000D66D9">
      <w:pPr>
        <w:spacing w:line="360" w:lineRule="auto"/>
        <w:jc w:val="center"/>
        <w:rPr>
          <w:color w:val="FFFFFF"/>
          <w:sz w:val="2"/>
          <w:szCs w:val="2"/>
          <w:rtl/>
        </w:rPr>
      </w:pPr>
      <w:r w:rsidRPr="00F2792F">
        <w:rPr>
          <w:color w:val="FFFFFF"/>
          <w:sz w:val="2"/>
          <w:szCs w:val="2"/>
          <w:rtl/>
        </w:rPr>
        <w:t>54678313</w:t>
      </w:r>
    </w:p>
    <w:p w14:paraId="41790F0A" w14:textId="77777777" w:rsidR="000D66D9" w:rsidRPr="002803BB" w:rsidRDefault="000D66D9" w:rsidP="000D66D9">
      <w:pPr>
        <w:spacing w:line="360" w:lineRule="auto"/>
        <w:jc w:val="both"/>
        <w:rPr>
          <w:rtl/>
        </w:rPr>
      </w:pPr>
      <w:r>
        <w:rPr>
          <w:rtl/>
        </w:rPr>
        <w:t xml:space="preserve"> </w:t>
      </w:r>
    </w:p>
    <w:p w14:paraId="5C42C414" w14:textId="77777777" w:rsidR="000D66D9" w:rsidRPr="00BF5CBA" w:rsidRDefault="000D66D9" w:rsidP="000D66D9">
      <w:pPr>
        <w:spacing w:line="360" w:lineRule="auto"/>
        <w:jc w:val="both"/>
        <w:rPr>
          <w:rtl/>
        </w:rPr>
      </w:pPr>
    </w:p>
    <w:p w14:paraId="08691E1E" w14:textId="77777777" w:rsidR="000D66D9" w:rsidRDefault="000D66D9" w:rsidP="000D66D9">
      <w:pPr>
        <w:spacing w:line="360" w:lineRule="auto"/>
        <w:rPr>
          <w:rtl/>
        </w:rPr>
      </w:pPr>
    </w:p>
    <w:p w14:paraId="43B51920" w14:textId="77777777" w:rsidR="000D66D9" w:rsidRDefault="000D66D9" w:rsidP="000D66D9">
      <w:r>
        <w:rPr>
          <w:rtl/>
        </w:rPr>
        <w:t>הוקלד</w:t>
      </w:r>
      <w:r>
        <w:t xml:space="preserve"> </w:t>
      </w:r>
      <w:r>
        <w:rPr>
          <w:rtl/>
        </w:rPr>
        <w:t>על</w:t>
      </w:r>
      <w:r>
        <w:t xml:space="preserve"> </w:t>
      </w:r>
      <w:r>
        <w:rPr>
          <w:rtl/>
        </w:rPr>
        <w:t>ידי</w:t>
      </w:r>
      <w:r>
        <w:t xml:space="preserve"> </w:t>
      </w:r>
      <w:r>
        <w:rPr>
          <w:rtl/>
        </w:rPr>
        <w:t>חגית</w:t>
      </w:r>
      <w:r>
        <w:t xml:space="preserve"> </w:t>
      </w:r>
      <w:r>
        <w:rPr>
          <w:rtl/>
        </w:rPr>
        <w:t>גבאי</w:t>
      </w:r>
    </w:p>
    <w:p w14:paraId="1591AB42" w14:textId="77777777" w:rsidR="00F2792F" w:rsidRPr="00F2792F" w:rsidRDefault="00F2792F" w:rsidP="00F2792F">
      <w:pPr>
        <w:keepNext/>
        <w:rPr>
          <w:color w:val="000000"/>
          <w:sz w:val="22"/>
          <w:szCs w:val="22"/>
          <w:rtl/>
        </w:rPr>
      </w:pPr>
    </w:p>
    <w:p w14:paraId="1063B329" w14:textId="77777777" w:rsidR="00F2792F" w:rsidRPr="00F2792F" w:rsidRDefault="00F2792F" w:rsidP="00F2792F">
      <w:pPr>
        <w:keepNext/>
        <w:rPr>
          <w:color w:val="000000"/>
          <w:sz w:val="22"/>
          <w:szCs w:val="22"/>
          <w:rtl/>
        </w:rPr>
      </w:pPr>
      <w:r w:rsidRPr="00F2792F">
        <w:rPr>
          <w:color w:val="000000"/>
          <w:sz w:val="22"/>
          <w:szCs w:val="22"/>
          <w:rtl/>
        </w:rPr>
        <w:t>מרב גרינברג 54678313</w:t>
      </w:r>
    </w:p>
    <w:p w14:paraId="5BDCD780" w14:textId="77777777" w:rsidR="00F2792F" w:rsidRDefault="00F2792F" w:rsidP="00F2792F">
      <w:r w:rsidRPr="00F2792F">
        <w:rPr>
          <w:color w:val="000000"/>
          <w:rtl/>
        </w:rPr>
        <w:t>נוסח מסמך זה כפוף לשינויי ניסוח ועריכה</w:t>
      </w:r>
    </w:p>
    <w:p w14:paraId="42443EC3" w14:textId="77777777" w:rsidR="00F2792F" w:rsidRDefault="00F2792F" w:rsidP="00F2792F">
      <w:pPr>
        <w:rPr>
          <w:rtl/>
        </w:rPr>
      </w:pPr>
    </w:p>
    <w:p w14:paraId="4F28A2F2" w14:textId="77777777" w:rsidR="00F2792F" w:rsidRDefault="00F2792F" w:rsidP="00F2792F">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r w:rsidR="006F096E">
        <w:rPr>
          <w:rFonts w:hint="cs"/>
          <w:color w:val="0000FF"/>
          <w:u w:val="single"/>
          <w:rtl/>
        </w:rPr>
        <w:t xml:space="preserve"> </w:t>
      </w:r>
    </w:p>
    <w:p w14:paraId="64FFEB2A" w14:textId="77777777" w:rsidR="00B1215F" w:rsidRPr="00F2792F" w:rsidRDefault="00B1215F" w:rsidP="00F2792F">
      <w:pPr>
        <w:jc w:val="center"/>
        <w:rPr>
          <w:color w:val="0000FF"/>
          <w:u w:val="single"/>
        </w:rPr>
      </w:pPr>
    </w:p>
    <w:sectPr w:rsidR="00B1215F" w:rsidRPr="00F2792F" w:rsidSect="00F2792F">
      <w:headerReference w:type="even" r:id="rId22"/>
      <w:headerReference w:type="default" r:id="rId23"/>
      <w:footerReference w:type="even" r:id="rId24"/>
      <w:footerReference w:type="default" r:id="rId2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5F025" w14:textId="77777777" w:rsidR="00194DAC" w:rsidRDefault="00194DAC">
      <w:r>
        <w:separator/>
      </w:r>
    </w:p>
  </w:endnote>
  <w:endnote w:type="continuationSeparator" w:id="0">
    <w:p w14:paraId="70329EC4" w14:textId="77777777" w:rsidR="00194DAC" w:rsidRDefault="00194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63135" w14:textId="77777777" w:rsidR="00CF74D0" w:rsidRDefault="00CF74D0" w:rsidP="00F2792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059A758E" w14:textId="77777777" w:rsidR="00CF74D0" w:rsidRPr="00F2792F" w:rsidRDefault="00CF74D0" w:rsidP="00F2792F">
    <w:pPr>
      <w:pStyle w:val="a5"/>
      <w:pBdr>
        <w:top w:val="single" w:sz="4" w:space="1" w:color="auto"/>
        <w:between w:val="single" w:sz="4" w:space="0" w:color="auto"/>
      </w:pBdr>
      <w:spacing w:after="60"/>
      <w:jc w:val="center"/>
      <w:rPr>
        <w:rFonts w:ascii="FrankRuehl" w:hAnsi="FrankRuehl" w:cs="FrankRuehl"/>
        <w:color w:val="000000"/>
      </w:rPr>
    </w:pPr>
    <w:r w:rsidRPr="00F279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B001F" w14:textId="77777777" w:rsidR="00CF74D0" w:rsidRDefault="00CF74D0" w:rsidP="00F2792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1B9C">
      <w:rPr>
        <w:rFonts w:ascii="FrankRuehl" w:hAnsi="FrankRuehl" w:cs="FrankRuehl"/>
        <w:noProof/>
        <w:rtl/>
      </w:rPr>
      <w:t>1</w:t>
    </w:r>
    <w:r>
      <w:rPr>
        <w:rFonts w:ascii="FrankRuehl" w:hAnsi="FrankRuehl" w:cs="FrankRuehl"/>
        <w:rtl/>
      </w:rPr>
      <w:fldChar w:fldCharType="end"/>
    </w:r>
  </w:p>
  <w:p w14:paraId="44608698" w14:textId="77777777" w:rsidR="00CF74D0" w:rsidRPr="00F2792F" w:rsidRDefault="00CF74D0" w:rsidP="00F2792F">
    <w:pPr>
      <w:pStyle w:val="a5"/>
      <w:pBdr>
        <w:top w:val="single" w:sz="4" w:space="1" w:color="auto"/>
        <w:between w:val="single" w:sz="4" w:space="0" w:color="auto"/>
      </w:pBdr>
      <w:spacing w:after="60"/>
      <w:jc w:val="center"/>
      <w:rPr>
        <w:rFonts w:ascii="FrankRuehl" w:hAnsi="FrankRuehl" w:cs="FrankRuehl"/>
        <w:color w:val="000000"/>
      </w:rPr>
    </w:pPr>
    <w:r w:rsidRPr="00F2792F">
      <w:rPr>
        <w:rFonts w:ascii="FrankRuehl" w:hAnsi="FrankRuehl" w:cs="FrankRuehl"/>
        <w:color w:val="000000"/>
      </w:rPr>
      <w:pict w14:anchorId="53995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112C7" w14:textId="77777777" w:rsidR="00194DAC" w:rsidRDefault="00194DAC">
      <w:r>
        <w:separator/>
      </w:r>
    </w:p>
  </w:footnote>
  <w:footnote w:type="continuationSeparator" w:id="0">
    <w:p w14:paraId="290EE446" w14:textId="77777777" w:rsidR="00194DAC" w:rsidRDefault="00194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1B31E" w14:textId="77777777" w:rsidR="00CF74D0" w:rsidRPr="00F2792F" w:rsidRDefault="00CF74D0" w:rsidP="00F2792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43941-10-14</w:t>
    </w:r>
    <w:r>
      <w:rPr>
        <w:color w:val="000000"/>
        <w:sz w:val="22"/>
        <w:szCs w:val="22"/>
        <w:rtl/>
      </w:rPr>
      <w:tab/>
      <w:t xml:space="preserve"> מדינת ישראל נ' אנואר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7F0D8" w14:textId="77777777" w:rsidR="00CF74D0" w:rsidRPr="00F2792F" w:rsidRDefault="00CF74D0" w:rsidP="00F2792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43941-10-14</w:t>
    </w:r>
    <w:r>
      <w:rPr>
        <w:color w:val="000000"/>
        <w:sz w:val="22"/>
        <w:szCs w:val="22"/>
        <w:rtl/>
      </w:rPr>
      <w:tab/>
      <w:t xml:space="preserve"> מדינת ישראל נ' אנואר גאבר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66D9"/>
    <w:rsid w:val="00060A65"/>
    <w:rsid w:val="000D66D9"/>
    <w:rsid w:val="00174FB2"/>
    <w:rsid w:val="00194DAC"/>
    <w:rsid w:val="002862F0"/>
    <w:rsid w:val="0031351E"/>
    <w:rsid w:val="004A2F21"/>
    <w:rsid w:val="006F096E"/>
    <w:rsid w:val="00732A81"/>
    <w:rsid w:val="00751B9C"/>
    <w:rsid w:val="00797121"/>
    <w:rsid w:val="007A0D30"/>
    <w:rsid w:val="00B1215F"/>
    <w:rsid w:val="00CF74D0"/>
    <w:rsid w:val="00D3122F"/>
    <w:rsid w:val="00F279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A6DAB8"/>
  <w15:chartTrackingRefBased/>
  <w15:docId w15:val="{2662E690-50B8-4990-8395-619B0148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66D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0D66D9"/>
  </w:style>
  <w:style w:type="paragraph" w:styleId="a4">
    <w:name w:val="header"/>
    <w:basedOn w:val="a"/>
    <w:rsid w:val="000D66D9"/>
    <w:pPr>
      <w:tabs>
        <w:tab w:val="center" w:pos="4153"/>
        <w:tab w:val="right" w:pos="8306"/>
      </w:tabs>
    </w:pPr>
  </w:style>
  <w:style w:type="paragraph" w:styleId="a5">
    <w:name w:val="footer"/>
    <w:basedOn w:val="a"/>
    <w:rsid w:val="000D66D9"/>
    <w:pPr>
      <w:tabs>
        <w:tab w:val="center" w:pos="4153"/>
        <w:tab w:val="right" w:pos="8306"/>
      </w:tabs>
    </w:pPr>
  </w:style>
  <w:style w:type="character" w:styleId="a6">
    <w:name w:val="page number"/>
    <w:basedOn w:val="a0"/>
    <w:rsid w:val="000D66D9"/>
  </w:style>
  <w:style w:type="character" w:customStyle="1" w:styleId="TimesNewRomanTimesNewRoman">
    <w:name w:val="סגנון (לטיני) Times New Roman (עברית ושפות אחרות) Times New Roman..."/>
    <w:rsid w:val="000D66D9"/>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0D66D9"/>
    <w:rPr>
      <w:rFonts w:ascii="Times New Roman" w:eastAsia="Times New Roman" w:hAnsi="Times New Roman"/>
      <w:b/>
      <w:bCs/>
      <w:u w:val="single"/>
    </w:rPr>
  </w:style>
  <w:style w:type="character" w:styleId="Hyperlink">
    <w:name w:val="Hyperlink"/>
    <w:rsid w:val="00F279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7.c" TargetMode="External"/><Relationship Id="rId18" Type="http://schemas.openxmlformats.org/officeDocument/2006/relationships/hyperlink" Target="http://www.nevo.co.il/case/17954217"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70301/40d"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18661769"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d"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40b" TargetMode="External"/><Relationship Id="rId23" Type="http://schemas.openxmlformats.org/officeDocument/2006/relationships/header" Target="header2.xml"/><Relationship Id="rId10" Type="http://schemas.openxmlformats.org/officeDocument/2006/relationships/hyperlink" Target="http://www.nevo.co.il/law/70301/40b" TargetMode="External"/><Relationship Id="rId19" Type="http://schemas.openxmlformats.org/officeDocument/2006/relationships/hyperlink" Target="http://www.nevo.co.il/case/20930804"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1553</Words>
  <Characters>7765</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9300</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3145853</vt:i4>
      </vt:variant>
      <vt:variant>
        <vt:i4>42</vt:i4>
      </vt:variant>
      <vt:variant>
        <vt:i4>0</vt:i4>
      </vt:variant>
      <vt:variant>
        <vt:i4>5</vt:i4>
      </vt:variant>
      <vt:variant>
        <vt:lpwstr>http://www.nevo.co.il/case/18661769</vt:lpwstr>
      </vt:variant>
      <vt:variant>
        <vt:lpwstr/>
      </vt:variant>
      <vt:variant>
        <vt:i4>3866751</vt:i4>
      </vt:variant>
      <vt:variant>
        <vt:i4>39</vt:i4>
      </vt:variant>
      <vt:variant>
        <vt:i4>0</vt:i4>
      </vt:variant>
      <vt:variant>
        <vt:i4>5</vt:i4>
      </vt:variant>
      <vt:variant>
        <vt:lpwstr>http://www.nevo.co.il/case/20930804</vt:lpwstr>
      </vt:variant>
      <vt:variant>
        <vt:lpwstr/>
      </vt:variant>
      <vt:variant>
        <vt:i4>3997812</vt:i4>
      </vt:variant>
      <vt:variant>
        <vt:i4>36</vt:i4>
      </vt:variant>
      <vt:variant>
        <vt:i4>0</vt:i4>
      </vt:variant>
      <vt:variant>
        <vt:i4>5</vt:i4>
      </vt:variant>
      <vt:variant>
        <vt:lpwstr>http://www.nevo.co.il/case/17954217</vt:lpwstr>
      </vt:variant>
      <vt:variant>
        <vt:lpwstr/>
      </vt:variant>
      <vt:variant>
        <vt:i4>6619233</vt:i4>
      </vt:variant>
      <vt:variant>
        <vt:i4>33</vt:i4>
      </vt:variant>
      <vt:variant>
        <vt:i4>0</vt:i4>
      </vt:variant>
      <vt:variant>
        <vt:i4>5</vt:i4>
      </vt:variant>
      <vt:variant>
        <vt:lpwstr>http://www.nevo.co.il/law/70301/40d</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2025-04-22T22:28:00Z</dcterms:created>
  <dcterms:modified xsi:type="dcterms:W3CDTF">2025-04-22T22:28:00Z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43941</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אנואר גאבר</vt:lpwstr>
  </property>
  <property fmtid="{D5CDD505-2E9C-101B-9397-08002B2CF9AE}" pid="10" name="LAWYER">
    <vt:lpwstr>צליל משיח;צפריר יגור</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20160703</vt:lpwstr>
  </property>
  <property fmtid="{D5CDD505-2E9C-101B-9397-08002B2CF9AE}" pid="14" name="TYPE_N_DATE">
    <vt:lpwstr>38020160703</vt:lpwstr>
  </property>
  <property fmtid="{D5CDD505-2E9C-101B-9397-08002B2CF9AE}" pid="15" name="CASESLISTTMP1">
    <vt:lpwstr>17954217;20930804;18661769</vt:lpwstr>
  </property>
  <property fmtid="{D5CDD505-2E9C-101B-9397-08002B2CF9AE}" pid="16" name="WORDNUMPAGES">
    <vt:lpwstr>6</vt:lpwstr>
  </property>
  <property fmtid="{D5CDD505-2E9C-101B-9397-08002B2CF9AE}" pid="17" name="TYPE_ABS_DATE">
    <vt:lpwstr>380020160703</vt:lpwstr>
  </property>
  <property fmtid="{D5CDD505-2E9C-101B-9397-08002B2CF9AE}" pid="18" name="ISABSTRACT">
    <vt:lpwstr>Y</vt:lpwstr>
  </property>
  <property fmtid="{D5CDD505-2E9C-101B-9397-08002B2CF9AE}" pid="19" name="LAWLISTTMP1">
    <vt:lpwstr>4216/007.a;007.c</vt:lpwstr>
  </property>
  <property fmtid="{D5CDD505-2E9C-101B-9397-08002B2CF9AE}" pid="20" name="LAWLISTTMP2">
    <vt:lpwstr>70301/040b;040d</vt:lpwstr>
  </property>
</Properties>
</file>