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5770F" w:rsidRPr="00467323" w14:paraId="7D23360D" w14:textId="77777777" w:rsidTr="00017C56">
        <w:trPr>
          <w:trHeight w:hRule="exact" w:val="418"/>
          <w:jc w:val="center"/>
        </w:trPr>
        <w:tc>
          <w:tcPr>
            <w:tcW w:w="8721" w:type="dxa"/>
            <w:gridSpan w:val="2"/>
          </w:tcPr>
          <w:p w14:paraId="2A2F8C39" w14:textId="77777777" w:rsidR="00B5770F" w:rsidRPr="00467323" w:rsidRDefault="00B5770F" w:rsidP="00263DA8">
            <w:pPr>
              <w:pStyle w:val="a3"/>
              <w:jc w:val="center"/>
              <w:rPr>
                <w:rFonts w:ascii="Tahoma" w:hAnsi="Tahoma" w:cs="Tahoma"/>
                <w:color w:val="000080"/>
                <w:rtl/>
              </w:rPr>
            </w:pPr>
            <w:bookmarkStart w:id="0" w:name="FirstLawyer"/>
            <w:bookmarkStart w:id="1" w:name="LastJudge"/>
            <w:r w:rsidRPr="00467323">
              <w:rPr>
                <w:rFonts w:ascii="Tahoma" w:hAnsi="Tahoma" w:cs="Tahoma"/>
                <w:b/>
                <w:bCs/>
                <w:color w:val="000080"/>
                <w:rtl/>
              </w:rPr>
              <w:t>בית משפט השלום בקריית גת</w:t>
            </w:r>
          </w:p>
        </w:tc>
      </w:tr>
      <w:tr w:rsidR="00B5770F" w:rsidRPr="00467323" w14:paraId="2D2B611E" w14:textId="77777777" w:rsidTr="00017C56">
        <w:trPr>
          <w:trHeight w:val="337"/>
          <w:jc w:val="center"/>
        </w:trPr>
        <w:tc>
          <w:tcPr>
            <w:tcW w:w="5055" w:type="dxa"/>
          </w:tcPr>
          <w:p w14:paraId="4ADD9EA3" w14:textId="77777777" w:rsidR="00B5770F" w:rsidRPr="00467323" w:rsidRDefault="00B5770F" w:rsidP="00263DA8">
            <w:pPr>
              <w:rPr>
                <w:rFonts w:cs="FrankRuehl"/>
                <w:sz w:val="28"/>
                <w:szCs w:val="28"/>
                <w:rtl/>
              </w:rPr>
            </w:pPr>
            <w:r w:rsidRPr="00467323">
              <w:rPr>
                <w:rFonts w:cs="FrankRuehl"/>
                <w:sz w:val="28"/>
                <w:szCs w:val="28"/>
                <w:rtl/>
              </w:rPr>
              <w:t>ת"פ</w:t>
            </w:r>
            <w:r w:rsidRPr="00467323">
              <w:rPr>
                <w:rFonts w:cs="FrankRuehl" w:hint="cs"/>
                <w:sz w:val="28"/>
                <w:szCs w:val="28"/>
                <w:rtl/>
              </w:rPr>
              <w:t xml:space="preserve"> </w:t>
            </w:r>
            <w:r w:rsidRPr="00467323">
              <w:rPr>
                <w:rFonts w:cs="FrankRuehl"/>
                <w:sz w:val="28"/>
                <w:szCs w:val="28"/>
                <w:rtl/>
              </w:rPr>
              <w:t>22368-11-14</w:t>
            </w:r>
            <w:r w:rsidRPr="00467323">
              <w:rPr>
                <w:rFonts w:cs="FrankRuehl" w:hint="cs"/>
                <w:sz w:val="28"/>
                <w:szCs w:val="28"/>
                <w:rtl/>
              </w:rPr>
              <w:t xml:space="preserve"> </w:t>
            </w:r>
            <w:r w:rsidRPr="00467323">
              <w:rPr>
                <w:rFonts w:cs="FrankRuehl"/>
                <w:sz w:val="28"/>
                <w:szCs w:val="28"/>
                <w:rtl/>
              </w:rPr>
              <w:t>מדינת ישראל נ' בלניקוף ואח'</w:t>
            </w:r>
          </w:p>
          <w:p w14:paraId="331BAE41" w14:textId="77777777" w:rsidR="00B5770F" w:rsidRPr="00467323" w:rsidRDefault="00B5770F" w:rsidP="00263DA8">
            <w:pPr>
              <w:pStyle w:val="a3"/>
              <w:rPr>
                <w:rFonts w:cs="FrankRuehl"/>
                <w:sz w:val="28"/>
                <w:szCs w:val="28"/>
                <w:rtl/>
              </w:rPr>
            </w:pPr>
          </w:p>
        </w:tc>
        <w:tc>
          <w:tcPr>
            <w:tcW w:w="3666" w:type="dxa"/>
          </w:tcPr>
          <w:p w14:paraId="47F8C1B0" w14:textId="77777777" w:rsidR="00B5770F" w:rsidRPr="00467323" w:rsidRDefault="00B5770F" w:rsidP="00263DA8">
            <w:pPr>
              <w:pStyle w:val="a3"/>
              <w:jc w:val="right"/>
              <w:rPr>
                <w:rFonts w:cs="FrankRuehl"/>
                <w:sz w:val="28"/>
                <w:szCs w:val="28"/>
                <w:rtl/>
              </w:rPr>
            </w:pPr>
          </w:p>
        </w:tc>
      </w:tr>
    </w:tbl>
    <w:p w14:paraId="7439901D" w14:textId="77777777" w:rsidR="00B5770F" w:rsidRPr="00467323" w:rsidRDefault="00B5770F" w:rsidP="00B5770F">
      <w:pPr>
        <w:pStyle w:val="a3"/>
        <w:rPr>
          <w:rtl/>
        </w:rPr>
      </w:pPr>
      <w:r w:rsidRPr="00467323">
        <w:rPr>
          <w:rFonts w:hint="cs"/>
          <w:rtl/>
        </w:rPr>
        <w:t xml:space="preserve"> </w:t>
      </w:r>
    </w:p>
    <w:p w14:paraId="5F5AAF08" w14:textId="77777777" w:rsidR="00B5770F" w:rsidRPr="00467323" w:rsidRDefault="00B5770F" w:rsidP="00B5770F">
      <w:pPr>
        <w:rPr>
          <w:rtl/>
        </w:rPr>
      </w:pPr>
    </w:p>
    <w:p w14:paraId="34F9A18B" w14:textId="77777777" w:rsidR="00B5770F" w:rsidRPr="00467323" w:rsidRDefault="00B5770F" w:rsidP="00B5770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5770F" w:rsidRPr="00467323" w14:paraId="162D6296" w14:textId="77777777" w:rsidTr="00B5770F">
        <w:trPr>
          <w:trHeight w:val="295"/>
          <w:jc w:val="center"/>
        </w:trPr>
        <w:tc>
          <w:tcPr>
            <w:tcW w:w="923" w:type="dxa"/>
            <w:tcBorders>
              <w:top w:val="nil"/>
              <w:left w:val="nil"/>
              <w:bottom w:val="nil"/>
              <w:right w:val="nil"/>
            </w:tcBorders>
            <w:shd w:val="clear" w:color="auto" w:fill="auto"/>
          </w:tcPr>
          <w:p w14:paraId="67B730F4" w14:textId="77777777" w:rsidR="00B5770F" w:rsidRPr="00467323" w:rsidRDefault="00B5770F" w:rsidP="00B5770F">
            <w:pPr>
              <w:jc w:val="both"/>
              <w:rPr>
                <w:rFonts w:ascii="Arial" w:hAnsi="Arial" w:cs="FrankRuehl"/>
                <w:sz w:val="28"/>
                <w:szCs w:val="28"/>
              </w:rPr>
            </w:pPr>
            <w:r w:rsidRPr="00467323">
              <w:rPr>
                <w:rFonts w:ascii="Arial" w:hAnsi="Arial" w:cs="FrankRuehl" w:hint="cs"/>
                <w:sz w:val="28"/>
                <w:szCs w:val="28"/>
                <w:rtl/>
              </w:rPr>
              <w:t>ב</w:t>
            </w:r>
            <w:r w:rsidRPr="0046732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9DDEA36" w14:textId="77777777" w:rsidR="00B5770F" w:rsidRPr="00467323" w:rsidRDefault="00B5770F" w:rsidP="00263DA8">
            <w:pPr>
              <w:rPr>
                <w:rFonts w:ascii="Arial" w:hAnsi="Arial"/>
                <w:b/>
                <w:bCs/>
                <w:rtl/>
              </w:rPr>
            </w:pPr>
            <w:r w:rsidRPr="00467323">
              <w:rPr>
                <w:rFonts w:ascii="Arial" w:hAnsi="Arial" w:hint="cs"/>
                <w:b/>
                <w:bCs/>
                <w:rtl/>
              </w:rPr>
              <w:t>כבוד ה</w:t>
            </w:r>
            <w:r w:rsidRPr="00467323">
              <w:rPr>
                <w:rFonts w:ascii="Arial" w:hAnsi="Arial"/>
                <w:b/>
                <w:bCs/>
                <w:rtl/>
              </w:rPr>
              <w:t>שופטת</w:t>
            </w:r>
            <w:r w:rsidRPr="00467323">
              <w:rPr>
                <w:rFonts w:ascii="Arial" w:hAnsi="Arial" w:hint="cs"/>
                <w:b/>
                <w:bCs/>
                <w:rtl/>
              </w:rPr>
              <w:t xml:space="preserve">  </w:t>
            </w:r>
            <w:r w:rsidRPr="00467323">
              <w:rPr>
                <w:rFonts w:ascii="Arial" w:hAnsi="Arial"/>
                <w:b/>
                <w:bCs/>
                <w:rtl/>
              </w:rPr>
              <w:t>טל לחיאני שהם</w:t>
            </w:r>
          </w:p>
          <w:p w14:paraId="516F1732" w14:textId="77777777" w:rsidR="00B5770F" w:rsidRPr="00467323" w:rsidRDefault="00B5770F" w:rsidP="00263DA8">
            <w:pPr>
              <w:rPr>
                <w:rtl/>
              </w:rPr>
            </w:pPr>
          </w:p>
          <w:p w14:paraId="2DD9C37D" w14:textId="77777777" w:rsidR="00B5770F" w:rsidRPr="00467323" w:rsidRDefault="00B5770F" w:rsidP="00B5770F">
            <w:pPr>
              <w:jc w:val="both"/>
              <w:rPr>
                <w:rFonts w:ascii="Arial" w:hAnsi="Arial" w:cs="FrankRuehl"/>
                <w:sz w:val="28"/>
                <w:szCs w:val="28"/>
              </w:rPr>
            </w:pPr>
          </w:p>
        </w:tc>
      </w:tr>
      <w:tr w:rsidR="00B5770F" w:rsidRPr="00467323" w14:paraId="52EAE859" w14:textId="77777777" w:rsidTr="00B5770F">
        <w:trPr>
          <w:trHeight w:val="355"/>
          <w:jc w:val="center"/>
        </w:trPr>
        <w:tc>
          <w:tcPr>
            <w:tcW w:w="923" w:type="dxa"/>
            <w:tcBorders>
              <w:top w:val="nil"/>
              <w:left w:val="nil"/>
              <w:bottom w:val="nil"/>
              <w:right w:val="nil"/>
            </w:tcBorders>
            <w:shd w:val="clear" w:color="auto" w:fill="auto"/>
          </w:tcPr>
          <w:p w14:paraId="662BD59A" w14:textId="77777777" w:rsidR="00B5770F" w:rsidRPr="00467323" w:rsidRDefault="00B5770F" w:rsidP="00B5770F">
            <w:pPr>
              <w:jc w:val="both"/>
              <w:rPr>
                <w:rFonts w:ascii="David" w:hAnsi="David"/>
                <w:b/>
                <w:bCs/>
                <w:sz w:val="28"/>
                <w:szCs w:val="28"/>
              </w:rPr>
            </w:pPr>
            <w:bookmarkStart w:id="2" w:name="FirstAppellant"/>
            <w:r w:rsidRPr="00467323">
              <w:rPr>
                <w:rFonts w:ascii="David" w:hAnsi="David"/>
                <w:b/>
                <w:bCs/>
                <w:sz w:val="28"/>
                <w:szCs w:val="28"/>
                <w:rtl/>
              </w:rPr>
              <w:t>בעניין:</w:t>
            </w:r>
          </w:p>
        </w:tc>
        <w:tc>
          <w:tcPr>
            <w:tcW w:w="4126" w:type="dxa"/>
            <w:tcBorders>
              <w:top w:val="nil"/>
              <w:left w:val="nil"/>
              <w:bottom w:val="nil"/>
              <w:right w:val="nil"/>
            </w:tcBorders>
            <w:shd w:val="clear" w:color="auto" w:fill="auto"/>
          </w:tcPr>
          <w:p w14:paraId="3AAE6F3B" w14:textId="77777777" w:rsidR="00B5770F" w:rsidRPr="00467323" w:rsidRDefault="00B5770F" w:rsidP="00263DA8">
            <w:pPr>
              <w:rPr>
                <w:rFonts w:ascii="David" w:hAnsi="David"/>
                <w:b/>
                <w:bCs/>
                <w:sz w:val="28"/>
                <w:szCs w:val="28"/>
              </w:rPr>
            </w:pPr>
            <w:r w:rsidRPr="00467323">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50EDEEB1" w14:textId="77777777" w:rsidR="00B5770F" w:rsidRPr="00467323" w:rsidRDefault="00B5770F" w:rsidP="00B5770F">
            <w:pPr>
              <w:jc w:val="both"/>
              <w:rPr>
                <w:rFonts w:ascii="David" w:hAnsi="David"/>
                <w:b/>
                <w:bCs/>
                <w:sz w:val="28"/>
                <w:szCs w:val="28"/>
              </w:rPr>
            </w:pPr>
          </w:p>
        </w:tc>
      </w:tr>
      <w:bookmarkEnd w:id="2"/>
      <w:tr w:rsidR="00B5770F" w:rsidRPr="00467323" w14:paraId="4F620CD4" w14:textId="77777777" w:rsidTr="00B5770F">
        <w:trPr>
          <w:trHeight w:val="355"/>
          <w:jc w:val="center"/>
        </w:trPr>
        <w:tc>
          <w:tcPr>
            <w:tcW w:w="923" w:type="dxa"/>
            <w:tcBorders>
              <w:top w:val="nil"/>
              <w:left w:val="nil"/>
              <w:bottom w:val="nil"/>
              <w:right w:val="nil"/>
            </w:tcBorders>
            <w:shd w:val="clear" w:color="auto" w:fill="auto"/>
          </w:tcPr>
          <w:p w14:paraId="18E07554" w14:textId="77777777" w:rsidR="00B5770F" w:rsidRPr="00467323" w:rsidRDefault="00B5770F" w:rsidP="00B5770F">
            <w:pPr>
              <w:jc w:val="both"/>
              <w:rPr>
                <w:rFonts w:ascii="David" w:hAnsi="David"/>
                <w:b/>
                <w:bCs/>
                <w:sz w:val="28"/>
                <w:szCs w:val="28"/>
                <w:rtl/>
              </w:rPr>
            </w:pPr>
          </w:p>
        </w:tc>
        <w:tc>
          <w:tcPr>
            <w:tcW w:w="4126" w:type="dxa"/>
            <w:tcBorders>
              <w:top w:val="nil"/>
              <w:left w:val="nil"/>
              <w:bottom w:val="nil"/>
              <w:right w:val="nil"/>
            </w:tcBorders>
            <w:shd w:val="clear" w:color="auto" w:fill="auto"/>
          </w:tcPr>
          <w:p w14:paraId="7601C691" w14:textId="77777777" w:rsidR="00B5770F" w:rsidRPr="00467323" w:rsidRDefault="00B5770F" w:rsidP="00B5770F">
            <w:pPr>
              <w:jc w:val="both"/>
              <w:rPr>
                <w:rFonts w:ascii="David" w:hAnsi="David"/>
                <w:b/>
                <w:bCs/>
                <w:sz w:val="28"/>
                <w:szCs w:val="28"/>
                <w:rtl/>
              </w:rPr>
            </w:pPr>
            <w:r w:rsidRPr="00467323">
              <w:rPr>
                <w:rFonts w:ascii="David" w:hAnsi="David"/>
                <w:b/>
                <w:bCs/>
                <w:sz w:val="28"/>
                <w:szCs w:val="28"/>
                <w:rtl/>
              </w:rPr>
              <w:t>באמצעות עו"ד ליטל נאווי ומתמחה שגית אמסלם</w:t>
            </w:r>
          </w:p>
        </w:tc>
        <w:tc>
          <w:tcPr>
            <w:tcW w:w="3771" w:type="dxa"/>
            <w:tcBorders>
              <w:top w:val="nil"/>
              <w:left w:val="nil"/>
              <w:bottom w:val="nil"/>
              <w:right w:val="nil"/>
            </w:tcBorders>
            <w:shd w:val="clear" w:color="auto" w:fill="auto"/>
          </w:tcPr>
          <w:p w14:paraId="3D2BAB93" w14:textId="77777777" w:rsidR="00B5770F" w:rsidRPr="00467323" w:rsidRDefault="00B5770F" w:rsidP="00B5770F">
            <w:pPr>
              <w:jc w:val="right"/>
              <w:rPr>
                <w:rFonts w:ascii="David" w:hAnsi="David"/>
                <w:b/>
                <w:bCs/>
                <w:sz w:val="28"/>
                <w:szCs w:val="28"/>
                <w:rtl/>
              </w:rPr>
            </w:pPr>
            <w:r w:rsidRPr="00467323">
              <w:rPr>
                <w:rFonts w:ascii="David" w:hAnsi="David"/>
                <w:b/>
                <w:bCs/>
                <w:sz w:val="28"/>
                <w:szCs w:val="28"/>
                <w:rtl/>
              </w:rPr>
              <w:t>המאשימה</w:t>
            </w:r>
          </w:p>
        </w:tc>
      </w:tr>
      <w:tr w:rsidR="00B5770F" w:rsidRPr="00467323" w14:paraId="2DBFA92E" w14:textId="77777777" w:rsidTr="00B5770F">
        <w:trPr>
          <w:trHeight w:val="355"/>
          <w:jc w:val="center"/>
        </w:trPr>
        <w:tc>
          <w:tcPr>
            <w:tcW w:w="923" w:type="dxa"/>
            <w:tcBorders>
              <w:top w:val="nil"/>
              <w:left w:val="nil"/>
              <w:bottom w:val="nil"/>
              <w:right w:val="nil"/>
            </w:tcBorders>
            <w:shd w:val="clear" w:color="auto" w:fill="auto"/>
          </w:tcPr>
          <w:p w14:paraId="7F930677" w14:textId="77777777" w:rsidR="00B5770F" w:rsidRPr="00467323" w:rsidRDefault="00B5770F" w:rsidP="00B5770F">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466C012F" w14:textId="77777777" w:rsidR="00B5770F" w:rsidRPr="00467323" w:rsidRDefault="00B5770F" w:rsidP="00B5770F">
            <w:pPr>
              <w:jc w:val="center"/>
              <w:rPr>
                <w:rFonts w:ascii="David" w:hAnsi="David"/>
                <w:b/>
                <w:bCs/>
                <w:sz w:val="28"/>
                <w:szCs w:val="28"/>
                <w:rtl/>
              </w:rPr>
            </w:pPr>
          </w:p>
          <w:p w14:paraId="38764EF4" w14:textId="77777777" w:rsidR="00B5770F" w:rsidRPr="00467323" w:rsidRDefault="00B5770F" w:rsidP="00B5770F">
            <w:pPr>
              <w:jc w:val="center"/>
              <w:rPr>
                <w:rFonts w:ascii="David" w:hAnsi="David"/>
                <w:b/>
                <w:bCs/>
                <w:sz w:val="28"/>
                <w:szCs w:val="28"/>
              </w:rPr>
            </w:pPr>
            <w:r w:rsidRPr="00467323">
              <w:rPr>
                <w:rFonts w:ascii="David" w:hAnsi="David"/>
                <w:b/>
                <w:bCs/>
                <w:sz w:val="28"/>
                <w:szCs w:val="28"/>
                <w:rtl/>
              </w:rPr>
              <w:t>נגד</w:t>
            </w:r>
          </w:p>
        </w:tc>
      </w:tr>
      <w:tr w:rsidR="00B5770F" w:rsidRPr="00467323" w14:paraId="239A32FA" w14:textId="77777777" w:rsidTr="00B5770F">
        <w:trPr>
          <w:trHeight w:val="992"/>
          <w:jc w:val="center"/>
        </w:trPr>
        <w:tc>
          <w:tcPr>
            <w:tcW w:w="923" w:type="dxa"/>
            <w:tcBorders>
              <w:top w:val="nil"/>
              <w:left w:val="nil"/>
              <w:bottom w:val="nil"/>
              <w:right w:val="nil"/>
            </w:tcBorders>
            <w:shd w:val="clear" w:color="auto" w:fill="auto"/>
          </w:tcPr>
          <w:p w14:paraId="2CCA0894" w14:textId="77777777" w:rsidR="00B5770F" w:rsidRPr="00467323" w:rsidRDefault="00B5770F" w:rsidP="00263DA8">
            <w:pPr>
              <w:rPr>
                <w:rFonts w:ascii="David" w:hAnsi="David"/>
                <w:b/>
                <w:bCs/>
                <w:sz w:val="28"/>
                <w:szCs w:val="28"/>
                <w:rtl/>
              </w:rPr>
            </w:pPr>
          </w:p>
        </w:tc>
        <w:tc>
          <w:tcPr>
            <w:tcW w:w="4126" w:type="dxa"/>
            <w:tcBorders>
              <w:top w:val="nil"/>
              <w:left w:val="nil"/>
              <w:bottom w:val="nil"/>
              <w:right w:val="nil"/>
            </w:tcBorders>
            <w:shd w:val="clear" w:color="auto" w:fill="auto"/>
          </w:tcPr>
          <w:p w14:paraId="5DB7D873" w14:textId="77777777" w:rsidR="00B5770F" w:rsidRPr="00467323" w:rsidRDefault="00B5770F" w:rsidP="00263DA8">
            <w:pPr>
              <w:rPr>
                <w:rFonts w:ascii="David" w:hAnsi="David"/>
                <w:b/>
                <w:bCs/>
                <w:sz w:val="28"/>
                <w:szCs w:val="28"/>
                <w:rtl/>
              </w:rPr>
            </w:pPr>
          </w:p>
          <w:p w14:paraId="70F7A6F1" w14:textId="77777777" w:rsidR="00B5770F" w:rsidRPr="00467323" w:rsidRDefault="00B5770F" w:rsidP="00263DA8">
            <w:pPr>
              <w:rPr>
                <w:rFonts w:ascii="David" w:hAnsi="David"/>
                <w:b/>
                <w:bCs/>
                <w:sz w:val="28"/>
                <w:szCs w:val="28"/>
                <w:rtl/>
              </w:rPr>
            </w:pPr>
            <w:r w:rsidRPr="00467323">
              <w:rPr>
                <w:rFonts w:ascii="David" w:hAnsi="David"/>
                <w:b/>
                <w:bCs/>
                <w:sz w:val="28"/>
                <w:szCs w:val="28"/>
                <w:rtl/>
              </w:rPr>
              <w:t>2.סנטיאגו גבריאל אלברס -</w:t>
            </w:r>
            <w:r w:rsidRPr="00467323">
              <w:rPr>
                <w:rFonts w:ascii="David" w:hAnsi="David"/>
                <w:b/>
                <w:bCs/>
                <w:sz w:val="28"/>
                <w:szCs w:val="28"/>
                <w:rtl/>
              </w:rPr>
              <w:br/>
              <w:t>באמצעות ב"כ עו"ד דוגמן</w:t>
            </w:r>
          </w:p>
        </w:tc>
        <w:tc>
          <w:tcPr>
            <w:tcW w:w="3771" w:type="dxa"/>
            <w:tcBorders>
              <w:top w:val="nil"/>
              <w:left w:val="nil"/>
              <w:bottom w:val="nil"/>
              <w:right w:val="nil"/>
            </w:tcBorders>
            <w:shd w:val="clear" w:color="auto" w:fill="auto"/>
          </w:tcPr>
          <w:p w14:paraId="67CC4C5B" w14:textId="77777777" w:rsidR="00B5770F" w:rsidRPr="00467323" w:rsidRDefault="00B5770F" w:rsidP="00B5770F">
            <w:pPr>
              <w:jc w:val="right"/>
              <w:rPr>
                <w:rFonts w:ascii="David" w:hAnsi="David"/>
                <w:sz w:val="28"/>
                <w:szCs w:val="28"/>
              </w:rPr>
            </w:pPr>
          </w:p>
        </w:tc>
      </w:tr>
      <w:tr w:rsidR="00B5770F" w:rsidRPr="00467323" w14:paraId="538ED0C0" w14:textId="77777777" w:rsidTr="00B5770F">
        <w:trPr>
          <w:trHeight w:val="355"/>
          <w:jc w:val="center"/>
        </w:trPr>
        <w:tc>
          <w:tcPr>
            <w:tcW w:w="923" w:type="dxa"/>
            <w:tcBorders>
              <w:top w:val="nil"/>
              <w:left w:val="nil"/>
              <w:bottom w:val="nil"/>
              <w:right w:val="nil"/>
            </w:tcBorders>
            <w:shd w:val="clear" w:color="auto" w:fill="auto"/>
          </w:tcPr>
          <w:p w14:paraId="6DA25438" w14:textId="77777777" w:rsidR="00B5770F" w:rsidRPr="00467323" w:rsidRDefault="00B5770F" w:rsidP="00B5770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785D96A" w14:textId="77777777" w:rsidR="00B5770F" w:rsidRPr="00467323" w:rsidRDefault="00B5770F" w:rsidP="00B5770F">
            <w:pPr>
              <w:jc w:val="both"/>
              <w:rPr>
                <w:rtl/>
              </w:rPr>
            </w:pPr>
          </w:p>
        </w:tc>
        <w:tc>
          <w:tcPr>
            <w:tcW w:w="3771" w:type="dxa"/>
            <w:tcBorders>
              <w:top w:val="nil"/>
              <w:left w:val="nil"/>
              <w:bottom w:val="nil"/>
              <w:right w:val="nil"/>
            </w:tcBorders>
            <w:shd w:val="clear" w:color="auto" w:fill="auto"/>
          </w:tcPr>
          <w:p w14:paraId="34F26EBB" w14:textId="77777777" w:rsidR="00B5770F" w:rsidRPr="00467323" w:rsidRDefault="00B5770F" w:rsidP="00B5770F">
            <w:pPr>
              <w:jc w:val="right"/>
              <w:rPr>
                <w:rFonts w:ascii="David" w:hAnsi="David"/>
                <w:b/>
                <w:bCs/>
                <w:sz w:val="28"/>
                <w:szCs w:val="28"/>
              </w:rPr>
            </w:pPr>
            <w:r w:rsidRPr="00467323">
              <w:rPr>
                <w:rFonts w:ascii="David" w:hAnsi="David"/>
                <w:b/>
                <w:bCs/>
                <w:sz w:val="28"/>
                <w:szCs w:val="28"/>
                <w:rtl/>
              </w:rPr>
              <w:t>הנאשם</w:t>
            </w:r>
          </w:p>
        </w:tc>
      </w:tr>
    </w:tbl>
    <w:p w14:paraId="28EB4745" w14:textId="77777777" w:rsidR="00467323" w:rsidRPr="00467323" w:rsidRDefault="00467323" w:rsidP="00467323">
      <w:pPr>
        <w:rPr>
          <w:rtl/>
        </w:rPr>
      </w:pPr>
    </w:p>
    <w:p w14:paraId="6519DCA9" w14:textId="77777777" w:rsidR="00017C56" w:rsidRPr="00017C56" w:rsidRDefault="00017C56" w:rsidP="00017C56">
      <w:pPr>
        <w:spacing w:before="120" w:after="120" w:line="240" w:lineRule="exact"/>
        <w:ind w:left="283" w:hanging="283"/>
        <w:jc w:val="both"/>
        <w:rPr>
          <w:rFonts w:ascii="FrankRuehl" w:hAnsi="FrankRuehl" w:cs="FrankRuehl"/>
        </w:rPr>
      </w:pPr>
      <w:bookmarkStart w:id="3" w:name="LawTable"/>
      <w:bookmarkEnd w:id="3"/>
      <w:r w:rsidRPr="00017C56">
        <w:rPr>
          <w:rFonts w:ascii="FrankRuehl" w:hAnsi="FrankRuehl" w:cs="FrankRuehl"/>
          <w:rtl/>
        </w:rPr>
        <w:t xml:space="preserve">חקיקה שאוזכרה: </w:t>
      </w:r>
    </w:p>
    <w:p w14:paraId="2C331AE2" w14:textId="77777777" w:rsidR="00017C56" w:rsidRPr="00017C56" w:rsidRDefault="00017C56" w:rsidP="00017C56">
      <w:pPr>
        <w:spacing w:before="120" w:after="120" w:line="240" w:lineRule="exact"/>
        <w:ind w:left="283" w:hanging="283"/>
        <w:jc w:val="both"/>
        <w:rPr>
          <w:rFonts w:ascii="FrankRuehl" w:hAnsi="FrankRuehl" w:cs="FrankRuehl"/>
        </w:rPr>
      </w:pPr>
      <w:hyperlink r:id="rId7" w:history="1">
        <w:r w:rsidRPr="00017C56">
          <w:rPr>
            <w:rFonts w:ascii="FrankRuehl" w:hAnsi="FrankRuehl" w:cs="FrankRuehl"/>
            <w:color w:val="0000FF"/>
            <w:u w:val="single"/>
            <w:rtl/>
          </w:rPr>
          <w:t>פקודת הסמים המסוכנים [נוסח חדש], תשל"ג-1973</w:t>
        </w:r>
      </w:hyperlink>
      <w:r w:rsidRPr="00017C56">
        <w:rPr>
          <w:rFonts w:ascii="FrankRuehl" w:hAnsi="FrankRuehl" w:cs="FrankRuehl"/>
        </w:rPr>
        <w:t xml:space="preserve">: </w:t>
      </w:r>
      <w:r w:rsidRPr="00017C56">
        <w:rPr>
          <w:rFonts w:ascii="FrankRuehl" w:hAnsi="FrankRuehl" w:cs="FrankRuehl"/>
          <w:rtl/>
        </w:rPr>
        <w:t>סע</w:t>
      </w:r>
      <w:r w:rsidRPr="00017C56">
        <w:rPr>
          <w:rFonts w:ascii="FrankRuehl" w:hAnsi="FrankRuehl" w:cs="FrankRuehl"/>
        </w:rPr>
        <w:t xml:space="preserve">'  </w:t>
      </w:r>
      <w:hyperlink r:id="rId8" w:history="1">
        <w:r w:rsidRPr="00017C56">
          <w:rPr>
            <w:rFonts w:ascii="FrankRuehl" w:hAnsi="FrankRuehl" w:cs="FrankRuehl"/>
            <w:color w:val="0000FF"/>
            <w:u w:val="single"/>
          </w:rPr>
          <w:t>6</w:t>
        </w:r>
      </w:hyperlink>
    </w:p>
    <w:p w14:paraId="3F9B21A0" w14:textId="77777777" w:rsidR="00017C56" w:rsidRPr="00017C56" w:rsidRDefault="00017C56" w:rsidP="00017C56">
      <w:pPr>
        <w:spacing w:before="120" w:after="120" w:line="240" w:lineRule="exact"/>
        <w:ind w:left="283" w:hanging="283"/>
        <w:jc w:val="both"/>
        <w:rPr>
          <w:rFonts w:ascii="FrankRuehl" w:hAnsi="FrankRuehl" w:cs="FrankRuehl"/>
        </w:rPr>
      </w:pPr>
      <w:hyperlink r:id="rId9" w:history="1">
        <w:r w:rsidRPr="00017C56">
          <w:rPr>
            <w:rFonts w:ascii="FrankRuehl" w:hAnsi="FrankRuehl" w:cs="FrankRuehl"/>
            <w:color w:val="0000FF"/>
            <w:u w:val="single"/>
            <w:rtl/>
          </w:rPr>
          <w:t>חוק העונשין, תשל"ז-1977</w:t>
        </w:r>
      </w:hyperlink>
      <w:r w:rsidRPr="00017C56">
        <w:rPr>
          <w:rFonts w:ascii="FrankRuehl" w:hAnsi="FrankRuehl" w:cs="FrankRuehl"/>
        </w:rPr>
        <w:t xml:space="preserve">: </w:t>
      </w:r>
      <w:r w:rsidRPr="00017C56">
        <w:rPr>
          <w:rFonts w:ascii="FrankRuehl" w:hAnsi="FrankRuehl" w:cs="FrankRuehl"/>
          <w:rtl/>
        </w:rPr>
        <w:t>סע</w:t>
      </w:r>
      <w:r w:rsidRPr="00017C56">
        <w:rPr>
          <w:rFonts w:ascii="FrankRuehl" w:hAnsi="FrankRuehl" w:cs="FrankRuehl"/>
        </w:rPr>
        <w:t xml:space="preserve">'  </w:t>
      </w:r>
      <w:hyperlink r:id="rId10" w:history="1">
        <w:r w:rsidRPr="00017C56">
          <w:rPr>
            <w:rFonts w:ascii="FrankRuehl" w:hAnsi="FrankRuehl" w:cs="FrankRuehl"/>
            <w:color w:val="0000FF"/>
            <w:u w:val="single"/>
          </w:rPr>
          <w:t>40</w:t>
        </w:r>
        <w:r w:rsidRPr="00017C56">
          <w:rPr>
            <w:rFonts w:ascii="FrankRuehl" w:hAnsi="FrankRuehl" w:cs="FrankRuehl"/>
            <w:color w:val="0000FF"/>
            <w:u w:val="single"/>
            <w:rtl/>
          </w:rPr>
          <w:t>ט</w:t>
        </w:r>
      </w:hyperlink>
      <w:r w:rsidRPr="00017C56">
        <w:rPr>
          <w:rFonts w:ascii="FrankRuehl" w:hAnsi="FrankRuehl" w:cs="FrankRuehl"/>
        </w:rPr>
        <w:t xml:space="preserve">, </w:t>
      </w:r>
      <w:hyperlink r:id="rId11" w:history="1">
        <w:r w:rsidRPr="00017C56">
          <w:rPr>
            <w:rFonts w:ascii="FrankRuehl" w:hAnsi="FrankRuehl" w:cs="FrankRuehl"/>
            <w:color w:val="0000FF"/>
            <w:u w:val="single"/>
          </w:rPr>
          <w:t xml:space="preserve">40 </w:t>
        </w:r>
        <w:r w:rsidRPr="00017C56">
          <w:rPr>
            <w:rFonts w:ascii="FrankRuehl" w:hAnsi="FrankRuehl" w:cs="FrankRuehl"/>
            <w:color w:val="0000FF"/>
            <w:u w:val="single"/>
            <w:rtl/>
          </w:rPr>
          <w:t>יא</w:t>
        </w:r>
        <w:r w:rsidRPr="00017C56">
          <w:rPr>
            <w:rFonts w:ascii="FrankRuehl" w:hAnsi="FrankRuehl" w:cs="FrankRuehl"/>
            <w:color w:val="0000FF"/>
            <w:u w:val="single"/>
          </w:rPr>
          <w:t>'</w:t>
        </w:r>
      </w:hyperlink>
      <w:r w:rsidRPr="00017C56">
        <w:rPr>
          <w:rFonts w:ascii="FrankRuehl" w:hAnsi="FrankRuehl" w:cs="FrankRuehl"/>
        </w:rPr>
        <w:t xml:space="preserve">, </w:t>
      </w:r>
      <w:hyperlink r:id="rId12" w:history="1">
        <w:r w:rsidRPr="00017C56">
          <w:rPr>
            <w:rFonts w:ascii="FrankRuehl" w:hAnsi="FrankRuehl" w:cs="FrankRuehl"/>
            <w:color w:val="0000FF"/>
            <w:u w:val="single"/>
          </w:rPr>
          <w:t xml:space="preserve">40 </w:t>
        </w:r>
        <w:r w:rsidRPr="00017C56">
          <w:rPr>
            <w:rFonts w:ascii="FrankRuehl" w:hAnsi="FrankRuehl" w:cs="FrankRuehl"/>
            <w:color w:val="0000FF"/>
            <w:u w:val="single"/>
            <w:rtl/>
          </w:rPr>
          <w:t>יג</w:t>
        </w:r>
      </w:hyperlink>
    </w:p>
    <w:p w14:paraId="3D65C294" w14:textId="77777777" w:rsidR="00B5770F" w:rsidRPr="00017C56" w:rsidRDefault="00B5770F" w:rsidP="00017C56">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770F" w14:paraId="6AC4217E" w14:textId="77777777" w:rsidTr="00B5770F">
        <w:trPr>
          <w:trHeight w:val="355"/>
          <w:jc w:val="center"/>
        </w:trPr>
        <w:tc>
          <w:tcPr>
            <w:tcW w:w="8820" w:type="dxa"/>
            <w:tcBorders>
              <w:top w:val="nil"/>
              <w:left w:val="nil"/>
              <w:bottom w:val="nil"/>
              <w:right w:val="nil"/>
            </w:tcBorders>
            <w:shd w:val="clear" w:color="auto" w:fill="auto"/>
          </w:tcPr>
          <w:p w14:paraId="03E67E3D" w14:textId="77777777" w:rsidR="00467323" w:rsidRPr="00467323" w:rsidRDefault="00467323" w:rsidP="00467323">
            <w:pPr>
              <w:jc w:val="center"/>
              <w:rPr>
                <w:rFonts w:ascii="David" w:hAnsi="David"/>
                <w:b/>
                <w:bCs/>
                <w:sz w:val="32"/>
                <w:szCs w:val="32"/>
                <w:u w:val="single"/>
                <w:rtl/>
              </w:rPr>
            </w:pPr>
            <w:bookmarkStart w:id="5" w:name="PsakDin" w:colFirst="0" w:colLast="0"/>
            <w:bookmarkEnd w:id="0"/>
            <w:bookmarkEnd w:id="1"/>
            <w:r w:rsidRPr="00467323">
              <w:rPr>
                <w:rFonts w:ascii="David" w:hAnsi="David"/>
                <w:b/>
                <w:bCs/>
                <w:sz w:val="32"/>
                <w:szCs w:val="32"/>
                <w:u w:val="single"/>
                <w:rtl/>
              </w:rPr>
              <w:t>גזר דין</w:t>
            </w:r>
          </w:p>
          <w:p w14:paraId="3C858ECD" w14:textId="77777777" w:rsidR="00B5770F" w:rsidRPr="00467323" w:rsidRDefault="00B5770F" w:rsidP="00467323">
            <w:pPr>
              <w:jc w:val="center"/>
              <w:rPr>
                <w:rFonts w:ascii="David" w:hAnsi="David"/>
                <w:bCs/>
                <w:sz w:val="32"/>
                <w:szCs w:val="32"/>
                <w:u w:val="single"/>
                <w:rtl/>
              </w:rPr>
            </w:pPr>
          </w:p>
        </w:tc>
      </w:tr>
      <w:bookmarkEnd w:id="5"/>
    </w:tbl>
    <w:p w14:paraId="0145C282" w14:textId="77777777" w:rsidR="00B5770F" w:rsidRPr="00B05847" w:rsidRDefault="00B5770F" w:rsidP="00B5770F">
      <w:pPr>
        <w:rPr>
          <w:rFonts w:ascii="Arial" w:hAnsi="Arial"/>
          <w:rtl/>
        </w:rPr>
      </w:pPr>
    </w:p>
    <w:p w14:paraId="6C439FB5" w14:textId="77777777" w:rsidR="00B5770F" w:rsidRPr="00541125" w:rsidRDefault="00B5770F" w:rsidP="00B5770F">
      <w:pPr>
        <w:spacing w:line="360" w:lineRule="auto"/>
        <w:jc w:val="both"/>
        <w:rPr>
          <w:rFonts w:ascii="Arial" w:hAnsi="Arial"/>
          <w:b/>
          <w:bCs/>
          <w:u w:val="single"/>
          <w:rtl/>
        </w:rPr>
      </w:pPr>
      <w:r w:rsidRPr="00541125">
        <w:rPr>
          <w:rFonts w:ascii="Arial" w:hAnsi="Arial"/>
          <w:b/>
          <w:bCs/>
          <w:u w:val="single"/>
          <w:rtl/>
        </w:rPr>
        <w:t>כללי</w:t>
      </w:r>
    </w:p>
    <w:p w14:paraId="7952E294" w14:textId="77777777" w:rsidR="00B5770F" w:rsidRPr="00541125" w:rsidRDefault="00B5770F" w:rsidP="00B5770F">
      <w:pPr>
        <w:spacing w:line="360" w:lineRule="auto"/>
        <w:jc w:val="both"/>
        <w:rPr>
          <w:rFonts w:ascii="Arial" w:hAnsi="Arial"/>
          <w:b/>
          <w:bCs/>
        </w:rPr>
      </w:pPr>
      <w:r w:rsidRPr="00541125">
        <w:rPr>
          <w:rFonts w:ascii="Arial" w:hAnsi="Arial"/>
          <w:b/>
          <w:bCs/>
          <w:rtl/>
        </w:rPr>
        <w:t xml:space="preserve">1. </w:t>
      </w:r>
      <w:bookmarkStart w:id="6" w:name="ABSTRACT_START"/>
      <w:bookmarkEnd w:id="6"/>
      <w:r w:rsidRPr="00541125">
        <w:rPr>
          <w:rFonts w:ascii="Arial" w:hAnsi="Arial"/>
          <w:rtl/>
        </w:rPr>
        <w:t xml:space="preserve">הנאשם הורשע, בהתאם להודאתו בעובדות כתב האישום המתוקן, בביצוע עבירת גידול סמים, עבירה לפי </w:t>
      </w:r>
      <w:hyperlink r:id="rId13" w:history="1">
        <w:r w:rsidR="00017C56" w:rsidRPr="00017C56">
          <w:rPr>
            <w:rFonts w:ascii="Arial" w:hAnsi="Arial"/>
            <w:b/>
            <w:bCs/>
            <w:color w:val="0000FF"/>
            <w:u w:val="single"/>
            <w:rtl/>
          </w:rPr>
          <w:t>סעיף 6</w:t>
        </w:r>
      </w:hyperlink>
      <w:r w:rsidRPr="00541125">
        <w:rPr>
          <w:rFonts w:ascii="Arial" w:hAnsi="Arial"/>
          <w:b/>
          <w:bCs/>
          <w:rtl/>
        </w:rPr>
        <w:t xml:space="preserve"> ל</w:t>
      </w:r>
      <w:hyperlink r:id="rId14" w:history="1">
        <w:r w:rsidR="00467323" w:rsidRPr="00467323">
          <w:rPr>
            <w:rFonts w:ascii="Arial" w:hAnsi="Arial"/>
            <w:b/>
            <w:bCs/>
            <w:color w:val="0000FF"/>
            <w:u w:val="single"/>
            <w:rtl/>
          </w:rPr>
          <w:t>פקודת הסמים המסוכנים</w:t>
        </w:r>
      </w:hyperlink>
      <w:r w:rsidRPr="00541125">
        <w:rPr>
          <w:rFonts w:ascii="Arial" w:hAnsi="Arial"/>
          <w:b/>
          <w:bCs/>
          <w:rtl/>
        </w:rPr>
        <w:t xml:space="preserve"> [נוסח חדש], תשל"ג - 1973 </w:t>
      </w:r>
      <w:bookmarkStart w:id="7" w:name="ABSTRACT_END"/>
      <w:bookmarkEnd w:id="7"/>
      <w:r w:rsidRPr="00541125">
        <w:rPr>
          <w:rFonts w:ascii="Arial" w:hAnsi="Arial"/>
          <w:b/>
          <w:bCs/>
          <w:rtl/>
        </w:rPr>
        <w:t>(להלן: "פקודת הסמים")</w:t>
      </w:r>
      <w:r w:rsidRPr="00541125">
        <w:rPr>
          <w:rFonts w:ascii="Arial" w:hAnsi="Arial"/>
          <w:rtl/>
        </w:rPr>
        <w:t>.</w:t>
      </w:r>
    </w:p>
    <w:p w14:paraId="7BCB4EDC" w14:textId="77777777" w:rsidR="00B5770F" w:rsidRPr="00541125" w:rsidRDefault="00B5770F" w:rsidP="00B5770F">
      <w:pPr>
        <w:spacing w:line="360" w:lineRule="auto"/>
        <w:jc w:val="both"/>
        <w:rPr>
          <w:rFonts w:ascii="Arial" w:hAnsi="Arial"/>
          <w:rtl/>
        </w:rPr>
      </w:pPr>
    </w:p>
    <w:p w14:paraId="419D3AF1" w14:textId="77777777" w:rsidR="00B5770F" w:rsidRPr="00541125" w:rsidRDefault="00B5770F" w:rsidP="00B5770F">
      <w:pPr>
        <w:spacing w:line="360" w:lineRule="auto"/>
        <w:jc w:val="both"/>
        <w:rPr>
          <w:rFonts w:ascii="Arial" w:hAnsi="Arial"/>
          <w:rtl/>
        </w:rPr>
      </w:pPr>
      <w:r w:rsidRPr="00541125">
        <w:rPr>
          <w:rFonts w:ascii="Arial" w:hAnsi="Arial"/>
          <w:rtl/>
        </w:rPr>
        <w:t>מעובדות כתב האישום המתוקן עולה כי ביום 23/06/14, בשעה 22:30 או בסמוך לכך, גידל הנאשם בעציץ, בדירה ברחוב יוהנה ז'בוטינסקי 22/14 באשדוד, סם מסוכן מסוג קנ</w:t>
      </w:r>
      <w:r>
        <w:rPr>
          <w:rFonts w:ascii="Arial" w:hAnsi="Arial"/>
          <w:rtl/>
        </w:rPr>
        <w:t xml:space="preserve">בוס במשקל של 200 גרם נטו, </w:t>
      </w:r>
      <w:r w:rsidRPr="00541125">
        <w:rPr>
          <w:rFonts w:ascii="Arial" w:hAnsi="Arial"/>
          <w:rtl/>
        </w:rPr>
        <w:t>ללא היתר כדין.</w:t>
      </w:r>
    </w:p>
    <w:p w14:paraId="47EB147B" w14:textId="77777777" w:rsidR="00B5770F" w:rsidRPr="00541125" w:rsidRDefault="00B5770F" w:rsidP="00B5770F">
      <w:pPr>
        <w:spacing w:line="360" w:lineRule="auto"/>
        <w:jc w:val="both"/>
        <w:rPr>
          <w:rFonts w:ascii="Arial" w:hAnsi="Arial"/>
          <w:rtl/>
        </w:rPr>
      </w:pPr>
      <w:r w:rsidRPr="00541125">
        <w:rPr>
          <w:rFonts w:ascii="Arial" w:hAnsi="Arial"/>
          <w:rtl/>
        </w:rPr>
        <w:t xml:space="preserve">בדירה נתפס חומר דישון, ובמקלט נתפסו פריטים ששימשו את הנאשם לביצוע העבירות הכוללים עציץ, אדנית, מנורה, מאוורר ומשקל דיגיטלי.   </w:t>
      </w:r>
    </w:p>
    <w:p w14:paraId="207D7FDD" w14:textId="77777777" w:rsidR="00B5770F" w:rsidRPr="00541125" w:rsidRDefault="00B5770F" w:rsidP="00B5770F">
      <w:pPr>
        <w:spacing w:line="360" w:lineRule="auto"/>
        <w:jc w:val="both"/>
        <w:rPr>
          <w:rFonts w:ascii="Arial" w:hAnsi="Arial"/>
          <w:b/>
          <w:bCs/>
          <w:u w:val="single"/>
          <w:rtl/>
        </w:rPr>
      </w:pPr>
      <w:r w:rsidRPr="00541125">
        <w:rPr>
          <w:rFonts w:ascii="Arial" w:hAnsi="Arial"/>
          <w:rtl/>
        </w:rPr>
        <w:t xml:space="preserve"> </w:t>
      </w:r>
    </w:p>
    <w:p w14:paraId="099EF836" w14:textId="77777777" w:rsidR="00B5770F" w:rsidRPr="00541125" w:rsidRDefault="00B5770F" w:rsidP="00B5770F">
      <w:pPr>
        <w:spacing w:line="360" w:lineRule="auto"/>
        <w:jc w:val="both"/>
        <w:rPr>
          <w:rFonts w:ascii="Arial" w:hAnsi="Arial"/>
          <w:b/>
          <w:bCs/>
          <w:u w:val="single"/>
          <w:rtl/>
        </w:rPr>
      </w:pPr>
      <w:r w:rsidRPr="00541125">
        <w:rPr>
          <w:rFonts w:ascii="Arial" w:hAnsi="Arial"/>
          <w:b/>
          <w:bCs/>
          <w:u w:val="single"/>
          <w:rtl/>
        </w:rPr>
        <w:t xml:space="preserve">הסדר הטיעון </w:t>
      </w:r>
    </w:p>
    <w:p w14:paraId="32A4E890" w14:textId="77777777" w:rsidR="00B5770F" w:rsidRPr="00541125" w:rsidRDefault="00B5770F" w:rsidP="00B5770F">
      <w:pPr>
        <w:spacing w:line="360" w:lineRule="auto"/>
        <w:jc w:val="both"/>
        <w:rPr>
          <w:rFonts w:ascii="Arial" w:hAnsi="Arial"/>
          <w:b/>
          <w:bCs/>
          <w:rtl/>
        </w:rPr>
      </w:pPr>
      <w:r w:rsidRPr="00541125">
        <w:rPr>
          <w:rFonts w:ascii="Arial" w:hAnsi="Arial"/>
          <w:b/>
          <w:bCs/>
          <w:rtl/>
        </w:rPr>
        <w:lastRenderedPageBreak/>
        <w:t>2.</w:t>
      </w:r>
      <w:r w:rsidRPr="00541125">
        <w:rPr>
          <w:rFonts w:ascii="Arial" w:hAnsi="Arial"/>
          <w:rtl/>
        </w:rPr>
        <w:t xml:space="preserve"> ביום 17/05/17 הודה הנאשם במסגרת הסדר טיעון בעובדות כתב האישום המתוקן. בהסכמת הצדדים, הופנה הנאשם לקבלת תסקיר בטרם טיעון לעונש. במעמד הצגת ההסדר הבהירה המאשימה גם אם יוגש תסקיר שלילי - תעתור לכל היותר להטיל על הנאשם עונש מאסר שלא יעלה על 6 חודשים אשר יכול וירוצה בעבודות שירות, וזאת לצד מאסר מותנה, קנס והתחייבות. ב"כ הנאשם ביקש כי שירות המבחן יבחן אפשרות ביטול הרשעתו של הנאשם.  </w:t>
      </w:r>
      <w:r w:rsidRPr="00541125">
        <w:rPr>
          <w:rFonts w:ascii="Arial" w:hAnsi="Arial"/>
          <w:b/>
          <w:bCs/>
          <w:rtl/>
        </w:rPr>
        <w:t xml:space="preserve"> </w:t>
      </w:r>
    </w:p>
    <w:p w14:paraId="7B7AB7F2" w14:textId="77777777" w:rsidR="00B5770F" w:rsidRDefault="00B5770F" w:rsidP="00B5770F">
      <w:pPr>
        <w:spacing w:line="360" w:lineRule="auto"/>
        <w:jc w:val="both"/>
        <w:rPr>
          <w:rFonts w:ascii="Arial" w:hAnsi="Arial"/>
          <w:b/>
          <w:bCs/>
          <w:rtl/>
        </w:rPr>
      </w:pPr>
    </w:p>
    <w:p w14:paraId="2DEFC4BD" w14:textId="77777777" w:rsidR="00B5770F" w:rsidRDefault="00B5770F" w:rsidP="00B5770F">
      <w:pPr>
        <w:spacing w:line="360" w:lineRule="auto"/>
        <w:jc w:val="both"/>
        <w:rPr>
          <w:rFonts w:ascii="Arial" w:hAnsi="Arial"/>
          <w:b/>
          <w:bCs/>
          <w:rtl/>
        </w:rPr>
      </w:pPr>
    </w:p>
    <w:p w14:paraId="625B4A05" w14:textId="77777777" w:rsidR="00B5770F" w:rsidRDefault="00B5770F" w:rsidP="00B5770F">
      <w:pPr>
        <w:spacing w:line="360" w:lineRule="auto"/>
        <w:jc w:val="both"/>
        <w:rPr>
          <w:rFonts w:ascii="Arial" w:hAnsi="Arial"/>
          <w:b/>
          <w:bCs/>
          <w:rtl/>
        </w:rPr>
      </w:pPr>
    </w:p>
    <w:p w14:paraId="633386F8" w14:textId="77777777" w:rsidR="00B5770F" w:rsidRPr="00541125" w:rsidRDefault="00B5770F" w:rsidP="00B5770F">
      <w:pPr>
        <w:spacing w:line="360" w:lineRule="auto"/>
        <w:jc w:val="both"/>
        <w:rPr>
          <w:rFonts w:ascii="Arial" w:hAnsi="Arial"/>
          <w:b/>
          <w:bCs/>
          <w:rtl/>
        </w:rPr>
      </w:pPr>
    </w:p>
    <w:p w14:paraId="4ACDBA2D" w14:textId="77777777" w:rsidR="00B5770F" w:rsidRPr="00541125" w:rsidRDefault="00B5770F" w:rsidP="00B5770F">
      <w:pPr>
        <w:spacing w:line="360" w:lineRule="auto"/>
        <w:jc w:val="both"/>
        <w:rPr>
          <w:rFonts w:ascii="Arial" w:hAnsi="Arial"/>
          <w:b/>
          <w:bCs/>
          <w:u w:val="single"/>
          <w:rtl/>
        </w:rPr>
      </w:pPr>
      <w:r w:rsidRPr="00541125">
        <w:rPr>
          <w:rFonts w:ascii="Arial" w:hAnsi="Arial"/>
          <w:b/>
          <w:bCs/>
          <w:u w:val="single"/>
          <w:rtl/>
        </w:rPr>
        <w:t xml:space="preserve">תסקיר שירות המבחן </w:t>
      </w:r>
    </w:p>
    <w:p w14:paraId="516C2145" w14:textId="77777777" w:rsidR="00B5770F" w:rsidRPr="00541125" w:rsidRDefault="00B5770F" w:rsidP="00B5770F">
      <w:pPr>
        <w:spacing w:line="360" w:lineRule="auto"/>
        <w:jc w:val="both"/>
        <w:rPr>
          <w:rFonts w:ascii="Arial" w:hAnsi="Arial"/>
          <w:rtl/>
        </w:rPr>
      </w:pPr>
      <w:r w:rsidRPr="00541125">
        <w:rPr>
          <w:rFonts w:ascii="Arial" w:hAnsi="Arial"/>
          <w:b/>
          <w:bCs/>
          <w:rtl/>
        </w:rPr>
        <w:t>3.</w:t>
      </w:r>
      <w:r w:rsidRPr="00541125">
        <w:rPr>
          <w:rFonts w:ascii="Arial" w:hAnsi="Arial"/>
          <w:rtl/>
        </w:rPr>
        <w:t xml:space="preserve"> מתסקיר שירות המבחן מיום 22/11/14 עלה כי הנאשם, בן 25 דאז, עלה מארגנטינה עם משפחתו בשנת 2004 לאחר אירוע טרגי שהתרחש במשפחה. הנאשם תאר קשיי הסתגלות, טען כי קיבל פטור משירות צבאי בשל אי התאמה לאחר שריצה מאסר צבאי, ועבד בעבודות מזדמנות.</w:t>
      </w:r>
    </w:p>
    <w:p w14:paraId="3C453480" w14:textId="77777777" w:rsidR="00B5770F" w:rsidRPr="00541125" w:rsidRDefault="00B5770F" w:rsidP="00B5770F">
      <w:pPr>
        <w:spacing w:line="360" w:lineRule="auto"/>
        <w:jc w:val="both"/>
        <w:rPr>
          <w:rFonts w:ascii="Arial" w:hAnsi="Arial"/>
          <w:rtl/>
        </w:rPr>
      </w:pPr>
    </w:p>
    <w:p w14:paraId="45FBE393" w14:textId="77777777" w:rsidR="00B5770F" w:rsidRPr="00541125" w:rsidRDefault="00B5770F" w:rsidP="00B5770F">
      <w:pPr>
        <w:spacing w:line="360" w:lineRule="auto"/>
        <w:jc w:val="both"/>
        <w:rPr>
          <w:rFonts w:ascii="Arial" w:hAnsi="Arial"/>
          <w:rtl/>
        </w:rPr>
      </w:pPr>
      <w:r w:rsidRPr="00541125">
        <w:rPr>
          <w:rFonts w:ascii="Arial" w:hAnsi="Arial"/>
          <w:rtl/>
        </w:rPr>
        <w:t xml:space="preserve">משנת 2010 עובד הנאשם בעבודה קבועה, ומעסיקו תאר אותו כעובד אחראי ורציני עם מוסר עבודה גבוה. </w:t>
      </w:r>
    </w:p>
    <w:p w14:paraId="6B564668" w14:textId="77777777" w:rsidR="00B5770F" w:rsidRPr="00541125" w:rsidRDefault="00B5770F" w:rsidP="00B5770F">
      <w:pPr>
        <w:spacing w:line="360" w:lineRule="auto"/>
        <w:jc w:val="both"/>
        <w:rPr>
          <w:rFonts w:ascii="Arial" w:hAnsi="Arial"/>
          <w:rtl/>
        </w:rPr>
      </w:pPr>
    </w:p>
    <w:p w14:paraId="67D7F2F9" w14:textId="77777777" w:rsidR="00B5770F" w:rsidRPr="00541125" w:rsidRDefault="00B5770F" w:rsidP="00B5770F">
      <w:pPr>
        <w:spacing w:line="360" w:lineRule="auto"/>
        <w:jc w:val="both"/>
        <w:rPr>
          <w:rFonts w:ascii="Arial" w:hAnsi="Arial"/>
          <w:rtl/>
        </w:rPr>
      </w:pPr>
      <w:r w:rsidRPr="00541125">
        <w:rPr>
          <w:rFonts w:ascii="Arial" w:hAnsi="Arial"/>
          <w:rtl/>
        </w:rPr>
        <w:t xml:space="preserve">הנאשם הודה בביצוע המיוחס לו בכתב האישום המתוקן. לטענתו, החליט לגדל את הסם לשימוש עצמי לאחר שהוציא כספים רבים </w:t>
      </w:r>
      <w:r>
        <w:rPr>
          <w:rFonts w:ascii="Arial" w:hAnsi="Arial"/>
          <w:rtl/>
        </w:rPr>
        <w:t>על הסמים מדי חודש מאז היה בן 17</w:t>
      </w:r>
      <w:r w:rsidRPr="00541125">
        <w:rPr>
          <w:rFonts w:ascii="Arial" w:hAnsi="Arial"/>
          <w:rtl/>
        </w:rPr>
        <w:t xml:space="preserve">. הנאשם </w:t>
      </w:r>
      <w:r>
        <w:rPr>
          <w:rFonts w:ascii="Arial" w:hAnsi="Arial" w:hint="cs"/>
          <w:rtl/>
        </w:rPr>
        <w:t xml:space="preserve">טען </w:t>
      </w:r>
      <w:r w:rsidRPr="00541125">
        <w:rPr>
          <w:rFonts w:ascii="Arial" w:hAnsi="Arial"/>
          <w:rtl/>
        </w:rPr>
        <w:t xml:space="preserve">כי מזה שנתיים איננו משתמש בסמים בשל סיבות בריאותיות וכלכליות, ולא רואה צורך בעזרה מקצועית בתחום זה. בדיקת שתן שמסר נמצאה נקייה משרידי סם. </w:t>
      </w:r>
    </w:p>
    <w:p w14:paraId="62912993" w14:textId="77777777" w:rsidR="00B5770F" w:rsidRPr="00541125" w:rsidRDefault="00B5770F" w:rsidP="00B5770F">
      <w:pPr>
        <w:spacing w:line="360" w:lineRule="auto"/>
        <w:jc w:val="both"/>
        <w:rPr>
          <w:rFonts w:ascii="Arial" w:hAnsi="Arial"/>
          <w:rtl/>
        </w:rPr>
      </w:pPr>
    </w:p>
    <w:p w14:paraId="75F4D48D" w14:textId="77777777" w:rsidR="00B5770F" w:rsidRPr="00541125" w:rsidRDefault="00B5770F" w:rsidP="00B5770F">
      <w:pPr>
        <w:spacing w:line="360" w:lineRule="auto"/>
        <w:jc w:val="both"/>
        <w:rPr>
          <w:rFonts w:ascii="Arial" w:hAnsi="Arial"/>
          <w:rtl/>
        </w:rPr>
      </w:pPr>
      <w:r w:rsidRPr="00541125">
        <w:rPr>
          <w:rFonts w:ascii="Arial" w:hAnsi="Arial"/>
          <w:rtl/>
        </w:rPr>
        <w:t xml:space="preserve">הנאשם הביע חרטה על מעשיו, אולם עלה רושם כי מתקשה לראות את ההשלכות הרחבות של המעשה על המשך חייו. </w:t>
      </w:r>
    </w:p>
    <w:p w14:paraId="4C8B117E" w14:textId="77777777" w:rsidR="00B5770F" w:rsidRPr="00541125" w:rsidRDefault="00B5770F" w:rsidP="00B5770F">
      <w:pPr>
        <w:spacing w:line="360" w:lineRule="auto"/>
        <w:jc w:val="both"/>
        <w:rPr>
          <w:rFonts w:ascii="Arial" w:hAnsi="Arial"/>
          <w:rtl/>
        </w:rPr>
      </w:pPr>
    </w:p>
    <w:p w14:paraId="0E2AFAC0" w14:textId="77777777" w:rsidR="00B5770F" w:rsidRPr="00541125" w:rsidRDefault="00B5770F" w:rsidP="00B5770F">
      <w:pPr>
        <w:spacing w:line="360" w:lineRule="auto"/>
        <w:jc w:val="both"/>
        <w:rPr>
          <w:rFonts w:ascii="Arial" w:hAnsi="Arial"/>
          <w:rtl/>
        </w:rPr>
      </w:pPr>
      <w:r w:rsidRPr="00541125">
        <w:rPr>
          <w:rFonts w:ascii="Arial" w:hAnsi="Arial"/>
          <w:rtl/>
        </w:rPr>
        <w:t xml:space="preserve">לאור המפורט התרשם שירות המבחן כי בהיעדר התערבות טיפולית קיים סיכון לחזרה לשימוש בסמים ולמעורבות פלילית חוזרת. משכך, נמנע שירות המבחן מהמלצה טיפולית בעניינו של הנאשם, נמנע מהמלצה לעניין הטלת של"צ, וכן נמנע מהמלצה לעניין ביטול הרשעתו של הנאשם. עם זאת, לאור היציבות במקום התעסוקה והיעדר עבר פלילי – הומלץ להטיל על הנאשם מאסר בפועל לריצוי בדרך של עבודות שירות לתקופה שאינה ברף הגבוה.  </w:t>
      </w:r>
    </w:p>
    <w:p w14:paraId="21E2416A" w14:textId="77777777" w:rsidR="00B5770F" w:rsidRPr="00541125" w:rsidRDefault="00B5770F" w:rsidP="00B5770F">
      <w:pPr>
        <w:spacing w:line="360" w:lineRule="auto"/>
        <w:jc w:val="both"/>
        <w:rPr>
          <w:rFonts w:ascii="Arial" w:hAnsi="Arial"/>
          <w:rtl/>
        </w:rPr>
      </w:pPr>
    </w:p>
    <w:p w14:paraId="7FF432AE" w14:textId="77777777" w:rsidR="00B5770F" w:rsidRPr="00541125" w:rsidRDefault="00B5770F" w:rsidP="00B5770F">
      <w:pPr>
        <w:spacing w:line="360" w:lineRule="auto"/>
        <w:jc w:val="both"/>
        <w:rPr>
          <w:rFonts w:ascii="Arial" w:hAnsi="Arial"/>
          <w:rtl/>
        </w:rPr>
      </w:pPr>
      <w:r w:rsidRPr="00541125">
        <w:rPr>
          <w:rFonts w:ascii="Arial" w:hAnsi="Arial"/>
          <w:b/>
          <w:bCs/>
          <w:rtl/>
        </w:rPr>
        <w:t>4</w:t>
      </w:r>
      <w:r w:rsidRPr="00541125">
        <w:rPr>
          <w:rFonts w:ascii="Arial" w:hAnsi="Arial"/>
          <w:rtl/>
        </w:rPr>
        <w:t xml:space="preserve">. מתסקיר שירות המבחן מיום 15/02/18 עולה כי לאחר שהנאשם שב על הצהרתו לפיה לא משתמש בסמים ולא רואה קושי אשר מצריך מעורבות טיפולית בשלב זה של חייו, </w:t>
      </w:r>
      <w:r>
        <w:rPr>
          <w:rFonts w:ascii="Arial" w:hAnsi="Arial" w:hint="cs"/>
          <w:rtl/>
        </w:rPr>
        <w:t>לא בא</w:t>
      </w:r>
      <w:r>
        <w:rPr>
          <w:rFonts w:ascii="Arial" w:hAnsi="Arial"/>
          <w:rtl/>
        </w:rPr>
        <w:t xml:space="preserve"> שירות המבחן בהמלצה טיפולית בעניינו</w:t>
      </w:r>
      <w:r w:rsidRPr="00541125">
        <w:rPr>
          <w:rFonts w:ascii="Arial" w:hAnsi="Arial"/>
          <w:rtl/>
        </w:rPr>
        <w:t xml:space="preserve">. </w:t>
      </w:r>
    </w:p>
    <w:p w14:paraId="56493FBC" w14:textId="77777777" w:rsidR="00B5770F" w:rsidRPr="00541125" w:rsidRDefault="00B5770F" w:rsidP="00B5770F">
      <w:pPr>
        <w:spacing w:line="360" w:lineRule="auto"/>
        <w:jc w:val="both"/>
        <w:rPr>
          <w:rFonts w:ascii="Arial" w:hAnsi="Arial"/>
          <w:rtl/>
        </w:rPr>
      </w:pPr>
    </w:p>
    <w:p w14:paraId="531EF952" w14:textId="77777777" w:rsidR="00B5770F" w:rsidRPr="00541125" w:rsidRDefault="00B5770F" w:rsidP="00B5770F">
      <w:pPr>
        <w:spacing w:line="360" w:lineRule="auto"/>
        <w:jc w:val="both"/>
        <w:rPr>
          <w:rFonts w:ascii="Arial" w:hAnsi="Arial"/>
          <w:rtl/>
        </w:rPr>
      </w:pPr>
      <w:r w:rsidRPr="00541125">
        <w:rPr>
          <w:rFonts w:ascii="Arial" w:hAnsi="Arial"/>
          <w:rtl/>
        </w:rPr>
        <w:lastRenderedPageBreak/>
        <w:t>עוד צוין כי בדיקת שתן נוספת שמסר הנאשם נמצאה נקיה משרידי סם, כי הנאשם ציין שחושש מכך שיתקשה לעמוד בביצוע מאסר בדרך של עבודות שירות לצד המשך עבודתו, וכי פסילת רישיונו בפועל תפגע בהתנהלותו היום – יומית.</w:t>
      </w:r>
    </w:p>
    <w:p w14:paraId="664F9973" w14:textId="77777777" w:rsidR="00B5770F" w:rsidRPr="00541125" w:rsidRDefault="00B5770F" w:rsidP="00B5770F">
      <w:pPr>
        <w:spacing w:line="360" w:lineRule="auto"/>
        <w:jc w:val="both"/>
        <w:rPr>
          <w:rFonts w:ascii="Arial" w:hAnsi="Arial"/>
          <w:b/>
          <w:bCs/>
          <w:u w:val="single"/>
          <w:rtl/>
        </w:rPr>
      </w:pPr>
    </w:p>
    <w:p w14:paraId="16BEC8BE" w14:textId="77777777" w:rsidR="00B5770F" w:rsidRPr="00541125" w:rsidRDefault="00B5770F" w:rsidP="00B5770F">
      <w:pPr>
        <w:spacing w:line="360" w:lineRule="auto"/>
        <w:jc w:val="both"/>
        <w:rPr>
          <w:rFonts w:ascii="Arial" w:hAnsi="Arial"/>
          <w:b/>
          <w:bCs/>
          <w:u w:val="single"/>
          <w:rtl/>
        </w:rPr>
      </w:pPr>
      <w:r w:rsidRPr="00541125">
        <w:rPr>
          <w:rFonts w:ascii="Arial" w:hAnsi="Arial"/>
          <w:b/>
          <w:bCs/>
          <w:u w:val="single"/>
          <w:rtl/>
        </w:rPr>
        <w:t xml:space="preserve">טיעוני הצדדים </w:t>
      </w:r>
    </w:p>
    <w:p w14:paraId="3027CD15" w14:textId="77777777" w:rsidR="00B5770F" w:rsidRPr="00541125" w:rsidRDefault="00B5770F" w:rsidP="00B5770F">
      <w:pPr>
        <w:spacing w:line="360" w:lineRule="auto"/>
        <w:jc w:val="both"/>
        <w:rPr>
          <w:rFonts w:ascii="Arial" w:hAnsi="Arial"/>
          <w:rtl/>
        </w:rPr>
      </w:pPr>
      <w:r w:rsidRPr="00541125">
        <w:rPr>
          <w:rFonts w:ascii="Arial" w:hAnsi="Arial"/>
          <w:b/>
          <w:bCs/>
          <w:rtl/>
        </w:rPr>
        <w:t>5.</w:t>
      </w:r>
      <w:r w:rsidRPr="00541125">
        <w:rPr>
          <w:rFonts w:ascii="Arial" w:hAnsi="Arial"/>
          <w:rtl/>
        </w:rPr>
        <w:t xml:space="preserve"> ביום 17/12/17 טענה ב"כ המאשימה כי מדיניות הענישה הנוהגת בעבירות מסוג זה היא להטלת מאסרים בפועל, ומאחר והגבילה עצמה לעתירה ל-6 חודשי מאסר בפועל לריצוי בדרך של עבודות שירות לצד ענישה נלוות – תעתור לרף העליון של הגבלתה זו, ל-6 חודשי מאסר בפועל אשר יכול וירוצו בעבודות שירות, לצד מאסר מותנה, פסילת רישיון נהיגה בפועל ועל תנאי, התחייבות וקנס. </w:t>
      </w:r>
    </w:p>
    <w:p w14:paraId="01F370FB" w14:textId="77777777" w:rsidR="00B5770F" w:rsidRPr="00541125" w:rsidRDefault="00B5770F" w:rsidP="00B5770F">
      <w:pPr>
        <w:spacing w:line="360" w:lineRule="auto"/>
        <w:jc w:val="both"/>
        <w:rPr>
          <w:rFonts w:ascii="Arial" w:hAnsi="Arial"/>
          <w:rtl/>
        </w:rPr>
      </w:pPr>
    </w:p>
    <w:p w14:paraId="7341F232" w14:textId="77777777" w:rsidR="00B5770F" w:rsidRPr="00541125" w:rsidRDefault="00B5770F" w:rsidP="00B5770F">
      <w:pPr>
        <w:spacing w:line="360" w:lineRule="auto"/>
        <w:jc w:val="both"/>
        <w:rPr>
          <w:rFonts w:ascii="Arial" w:hAnsi="Arial"/>
          <w:rtl/>
        </w:rPr>
      </w:pPr>
      <w:r w:rsidRPr="00541125">
        <w:rPr>
          <w:rFonts w:ascii="Arial" w:hAnsi="Arial"/>
          <w:rtl/>
        </w:rPr>
        <w:t xml:space="preserve">ב"כ המאשימה הפנתה בטיעוניה לערכים החברתיים אשר נפגעו כתוצאה מביצוע העבירה, לפוטנציאל הנזק הגלום בה, ולצורך בהעדפת שיקול הגמול וההרתעה על פני נסיבותיו האישיות של הנאשם בעבירות מסוג זה. </w:t>
      </w:r>
    </w:p>
    <w:p w14:paraId="43F55E07" w14:textId="77777777" w:rsidR="00B5770F" w:rsidRPr="00541125" w:rsidRDefault="00B5770F" w:rsidP="00B5770F">
      <w:pPr>
        <w:spacing w:line="360" w:lineRule="auto"/>
        <w:jc w:val="both"/>
        <w:rPr>
          <w:rFonts w:ascii="Arial" w:hAnsi="Arial"/>
          <w:rtl/>
        </w:rPr>
      </w:pPr>
    </w:p>
    <w:p w14:paraId="372518AC" w14:textId="77777777" w:rsidR="00B5770F" w:rsidRPr="00541125" w:rsidRDefault="00B5770F" w:rsidP="00B5770F">
      <w:pPr>
        <w:spacing w:line="360" w:lineRule="auto"/>
        <w:jc w:val="both"/>
        <w:rPr>
          <w:rFonts w:ascii="Arial" w:hAnsi="Arial"/>
          <w:rtl/>
        </w:rPr>
      </w:pPr>
      <w:r w:rsidRPr="00541125">
        <w:rPr>
          <w:rFonts w:ascii="Arial" w:hAnsi="Arial"/>
          <w:rtl/>
        </w:rPr>
        <w:t xml:space="preserve">כמו כן, הפנתה ב"כ המאשימה להתרשמות שירות המבחן לפיה הנאשם מתקשה לראות את השלכות מעשיו, להיעדר המלצה טיפולית, ולסיכון למעורבות חוזרת בפלילים ובשימוש בסמים אשר שירות המבחן התרשם מקיומם. עם זאת, הפנתה אף לגילו הצעיר של הנאשם ולעובדת היותו נעדר עבר פלילי. </w:t>
      </w:r>
    </w:p>
    <w:p w14:paraId="25304811" w14:textId="77777777" w:rsidR="00B5770F" w:rsidRPr="00541125" w:rsidRDefault="00B5770F" w:rsidP="00B5770F">
      <w:pPr>
        <w:spacing w:line="360" w:lineRule="auto"/>
        <w:jc w:val="both"/>
        <w:rPr>
          <w:rFonts w:ascii="Arial" w:hAnsi="Arial"/>
          <w:rtl/>
        </w:rPr>
      </w:pPr>
    </w:p>
    <w:p w14:paraId="484975E3" w14:textId="77777777" w:rsidR="00B5770F" w:rsidRPr="00541125" w:rsidRDefault="00B5770F" w:rsidP="00B5770F">
      <w:pPr>
        <w:spacing w:line="360" w:lineRule="auto"/>
        <w:jc w:val="both"/>
        <w:rPr>
          <w:rFonts w:ascii="Arial" w:hAnsi="Arial"/>
          <w:rtl/>
        </w:rPr>
      </w:pPr>
      <w:r w:rsidRPr="00541125">
        <w:rPr>
          <w:rFonts w:ascii="Arial" w:hAnsi="Arial"/>
          <w:b/>
          <w:bCs/>
          <w:rtl/>
        </w:rPr>
        <w:t>6</w:t>
      </w:r>
      <w:r w:rsidRPr="00541125">
        <w:rPr>
          <w:rFonts w:ascii="Arial" w:hAnsi="Arial"/>
          <w:rtl/>
        </w:rPr>
        <w:t xml:space="preserve">. לאחר שבית המשפט הסביר לנאשם את משמעות ההשתלבות בהליך טיפולי, ביקש הנאשם כי תינתן לו הזדמנות נוספת לבחון אפשרות זו מול שירות המבחן וטען כי מעוניין להשתלב בהליך מסוג זה. לבקשת ב"כ הנאשם נדחה מועד הטיעונים לעונש מטעמו.  </w:t>
      </w:r>
    </w:p>
    <w:p w14:paraId="453C6AC5" w14:textId="77777777" w:rsidR="00B5770F" w:rsidRPr="00541125" w:rsidRDefault="00B5770F" w:rsidP="00B5770F">
      <w:pPr>
        <w:spacing w:line="360" w:lineRule="auto"/>
        <w:jc w:val="both"/>
        <w:rPr>
          <w:rFonts w:ascii="Arial" w:hAnsi="Arial"/>
          <w:rtl/>
        </w:rPr>
      </w:pPr>
    </w:p>
    <w:p w14:paraId="39D8D139" w14:textId="77777777" w:rsidR="00B5770F" w:rsidRPr="00541125" w:rsidRDefault="00B5770F" w:rsidP="00B5770F">
      <w:pPr>
        <w:spacing w:line="360" w:lineRule="auto"/>
        <w:jc w:val="both"/>
        <w:rPr>
          <w:rFonts w:ascii="Arial" w:hAnsi="Arial"/>
          <w:rtl/>
        </w:rPr>
      </w:pPr>
      <w:r w:rsidRPr="00541125">
        <w:rPr>
          <w:rFonts w:ascii="Arial" w:hAnsi="Arial"/>
          <w:rtl/>
        </w:rPr>
        <w:t xml:space="preserve">מששב שירות המבחן על עמדתו, כמפורט לעיל, ולאחר דחיות רבות נוספות, כפי שיפורט בהמשך, שבה ב"כ המאשימה על עתירתה העונשית במועד הדיון אשר התקיים ביום 31/10/19, והגישה גיליונות רישום פלילי ורישום תעבורתי של הנאשם.  </w:t>
      </w:r>
    </w:p>
    <w:p w14:paraId="4DDF4063" w14:textId="77777777" w:rsidR="00B5770F" w:rsidRPr="00541125" w:rsidRDefault="00B5770F" w:rsidP="00B5770F">
      <w:pPr>
        <w:spacing w:line="360" w:lineRule="auto"/>
        <w:jc w:val="both"/>
        <w:rPr>
          <w:rFonts w:ascii="Arial" w:hAnsi="Arial"/>
          <w:rtl/>
        </w:rPr>
      </w:pPr>
    </w:p>
    <w:p w14:paraId="08B5F727" w14:textId="77777777" w:rsidR="00B5770F" w:rsidRPr="00541125" w:rsidRDefault="00B5770F" w:rsidP="00B5770F">
      <w:pPr>
        <w:spacing w:line="360" w:lineRule="auto"/>
        <w:jc w:val="both"/>
        <w:rPr>
          <w:rFonts w:ascii="Arial" w:hAnsi="Arial"/>
          <w:rtl/>
        </w:rPr>
      </w:pPr>
      <w:r w:rsidRPr="00541125">
        <w:rPr>
          <w:rFonts w:ascii="Arial" w:hAnsi="Arial"/>
          <w:b/>
          <w:bCs/>
          <w:rtl/>
        </w:rPr>
        <w:t>7</w:t>
      </w:r>
      <w:r w:rsidRPr="00541125">
        <w:rPr>
          <w:rFonts w:ascii="Arial" w:hAnsi="Arial"/>
          <w:rtl/>
        </w:rPr>
        <w:t xml:space="preserve">. ב"כ הנאשם </w:t>
      </w:r>
      <w:r>
        <w:rPr>
          <w:rFonts w:ascii="Arial" w:hAnsi="Arial" w:hint="cs"/>
          <w:rtl/>
        </w:rPr>
        <w:t>בטיעוניו מיום</w:t>
      </w:r>
      <w:r w:rsidRPr="00541125">
        <w:rPr>
          <w:rFonts w:ascii="Arial" w:hAnsi="Arial"/>
          <w:rtl/>
        </w:rPr>
        <w:t xml:space="preserve"> 31/10/19 כי מתחם הענישה מתחיל במאסר מותנה, וזאת גם מאחר ואין מחלוקת כי הסמים נועדו לצריכתו העצמית של הנאשם, ומאחר וטרם הופק סם מהעציץ שגידל הנאשם. </w:t>
      </w:r>
    </w:p>
    <w:p w14:paraId="47D736D5" w14:textId="77777777" w:rsidR="00B5770F" w:rsidRPr="00541125" w:rsidRDefault="00B5770F" w:rsidP="00B5770F">
      <w:pPr>
        <w:spacing w:line="360" w:lineRule="auto"/>
        <w:jc w:val="both"/>
        <w:rPr>
          <w:rFonts w:ascii="Arial" w:hAnsi="Arial"/>
          <w:rtl/>
        </w:rPr>
      </w:pPr>
    </w:p>
    <w:p w14:paraId="265F74E7" w14:textId="77777777" w:rsidR="00B5770F" w:rsidRPr="00541125" w:rsidRDefault="00B5770F" w:rsidP="00B5770F">
      <w:pPr>
        <w:spacing w:line="360" w:lineRule="auto"/>
        <w:jc w:val="both"/>
        <w:rPr>
          <w:rFonts w:ascii="Arial" w:hAnsi="Arial"/>
          <w:rtl/>
        </w:rPr>
      </w:pPr>
      <w:r w:rsidRPr="00541125">
        <w:rPr>
          <w:rFonts w:ascii="Arial" w:hAnsi="Arial"/>
          <w:rtl/>
        </w:rPr>
        <w:t xml:space="preserve">ב"כ הנאשם הפנה בטיעוניו לחלוף הזמן מעת ביצוע העבירה, לכך שהנאשם נעדר עבר פלילי ולא נפתחו כנגדו תיקים נוספים במהלך למעלה מ-5 השנים שחלפו מביצוע העבירה, לנסיבותיו האישיות של הנאשם אשר חווה קשיי הסתגלות בארץ ועבר אירוע טרגי, לעובדה כי הודה במיוחס לו בהזדמנות הראשונה, ולכך שמשולב היטב בתעסוקה מזה שנים. </w:t>
      </w:r>
    </w:p>
    <w:p w14:paraId="37148E7F" w14:textId="77777777" w:rsidR="00B5770F" w:rsidRPr="00541125" w:rsidRDefault="00B5770F" w:rsidP="00B5770F">
      <w:pPr>
        <w:spacing w:line="360" w:lineRule="auto"/>
        <w:jc w:val="both"/>
        <w:rPr>
          <w:rFonts w:ascii="Arial" w:hAnsi="Arial"/>
          <w:rtl/>
        </w:rPr>
      </w:pPr>
    </w:p>
    <w:p w14:paraId="2AAB6A0A" w14:textId="77777777" w:rsidR="00B5770F" w:rsidRPr="00541125" w:rsidRDefault="00B5770F" w:rsidP="00B5770F">
      <w:pPr>
        <w:spacing w:line="360" w:lineRule="auto"/>
        <w:jc w:val="both"/>
        <w:rPr>
          <w:rFonts w:ascii="Arial" w:hAnsi="Arial"/>
          <w:rtl/>
        </w:rPr>
      </w:pPr>
      <w:r w:rsidRPr="00541125">
        <w:rPr>
          <w:rFonts w:ascii="Arial" w:hAnsi="Arial"/>
          <w:rtl/>
        </w:rPr>
        <w:t>לעניין היעדר ההמלצה מטעם שירות המבחן טען ב"כ הנאשם כי בדיקת סמים שנעשתה לנאשם נמצאה תקינה והנאשם טוען כי הפסיק להשתמש בסמים ואף מוכן להיבדק שוב כעת. משכך, הנאשם אכן לא זקוק לטיפול, ויש לאפשר לו לשאת בעונש אשר לא יפגע במקור פרנסתו היציב, ומשכך להסתפק במאסר מותנה לצד קנס משמעותי ושל"צ.</w:t>
      </w:r>
    </w:p>
    <w:p w14:paraId="0D0FDB8D" w14:textId="77777777" w:rsidR="00B5770F" w:rsidRPr="00541125" w:rsidRDefault="00B5770F" w:rsidP="00B5770F">
      <w:pPr>
        <w:spacing w:line="360" w:lineRule="auto"/>
        <w:jc w:val="both"/>
        <w:rPr>
          <w:rFonts w:ascii="Arial" w:hAnsi="Arial"/>
          <w:rtl/>
        </w:rPr>
      </w:pPr>
    </w:p>
    <w:p w14:paraId="34666280" w14:textId="77777777" w:rsidR="00B5770F" w:rsidRPr="00541125" w:rsidRDefault="00B5770F" w:rsidP="00B5770F">
      <w:pPr>
        <w:spacing w:line="360" w:lineRule="auto"/>
        <w:jc w:val="both"/>
        <w:rPr>
          <w:rFonts w:ascii="Arial" w:hAnsi="Arial"/>
          <w:rtl/>
        </w:rPr>
      </w:pPr>
      <w:r w:rsidRPr="00541125">
        <w:rPr>
          <w:rFonts w:ascii="Arial" w:hAnsi="Arial"/>
          <w:rtl/>
        </w:rPr>
        <w:t>ב"כ הנאשם הפנה לפסיקה כתמיכה לעתירתו, וכן הגיש מסמכים והמלצות מטעם מעסיקו של הנאשם.</w:t>
      </w:r>
    </w:p>
    <w:p w14:paraId="56DD9DC4" w14:textId="77777777" w:rsidR="00B5770F" w:rsidRPr="00541125" w:rsidRDefault="00B5770F" w:rsidP="00B5770F">
      <w:pPr>
        <w:spacing w:line="360" w:lineRule="auto"/>
        <w:jc w:val="both"/>
        <w:rPr>
          <w:rFonts w:ascii="Arial" w:hAnsi="Arial"/>
          <w:rtl/>
        </w:rPr>
      </w:pPr>
    </w:p>
    <w:p w14:paraId="0EFA5D2B" w14:textId="77777777" w:rsidR="00B5770F" w:rsidRDefault="00B5770F" w:rsidP="00B5770F">
      <w:pPr>
        <w:spacing w:line="360" w:lineRule="auto"/>
        <w:jc w:val="both"/>
        <w:rPr>
          <w:rFonts w:ascii="Arial" w:hAnsi="Arial"/>
          <w:b/>
          <w:bCs/>
          <w:u w:val="single"/>
          <w:rtl/>
        </w:rPr>
      </w:pPr>
    </w:p>
    <w:p w14:paraId="35D502DA" w14:textId="77777777" w:rsidR="00B5770F" w:rsidRPr="00541125" w:rsidRDefault="00B5770F" w:rsidP="00B5770F">
      <w:pPr>
        <w:spacing w:line="360" w:lineRule="auto"/>
        <w:jc w:val="both"/>
        <w:rPr>
          <w:rFonts w:ascii="Arial" w:hAnsi="Arial"/>
          <w:b/>
          <w:bCs/>
          <w:u w:val="single"/>
          <w:rtl/>
        </w:rPr>
      </w:pPr>
      <w:r w:rsidRPr="00541125">
        <w:rPr>
          <w:rFonts w:ascii="Arial" w:hAnsi="Arial"/>
          <w:b/>
          <w:bCs/>
          <w:u w:val="single"/>
          <w:rtl/>
        </w:rPr>
        <w:t>קביעת מתחם העונש ההולם</w:t>
      </w:r>
    </w:p>
    <w:p w14:paraId="47DB42EE" w14:textId="77777777" w:rsidR="00B5770F" w:rsidRPr="00541125" w:rsidRDefault="00B5770F" w:rsidP="00B5770F">
      <w:pPr>
        <w:spacing w:line="360" w:lineRule="auto"/>
        <w:jc w:val="both"/>
        <w:rPr>
          <w:rFonts w:ascii="Arial" w:hAnsi="Arial"/>
          <w:rtl/>
        </w:rPr>
      </w:pPr>
      <w:r w:rsidRPr="00541125">
        <w:rPr>
          <w:rFonts w:ascii="Arial" w:hAnsi="Arial"/>
          <w:b/>
          <w:bCs/>
          <w:rtl/>
        </w:rPr>
        <w:t>8</w:t>
      </w:r>
      <w:r w:rsidRPr="00541125">
        <w:rPr>
          <w:rFonts w:ascii="Arial" w:hAnsi="Arial"/>
          <w:rtl/>
        </w:rPr>
        <w:t xml:space="preserve">. קביעת מתחם העונש ההולם למעשה העבירה נעשית בהתאם לעיקרון ההלימה תוך בחינת הערך החברתי הנפגע, מידת הפגיעה בערך זה, נסיבות ביצוע העבירה ומדיניות הענישה הנוהגת. </w:t>
      </w:r>
    </w:p>
    <w:p w14:paraId="41A38737" w14:textId="77777777" w:rsidR="00B5770F" w:rsidRPr="00541125" w:rsidRDefault="00B5770F" w:rsidP="00B5770F">
      <w:pPr>
        <w:spacing w:line="360" w:lineRule="auto"/>
        <w:jc w:val="both"/>
        <w:rPr>
          <w:rFonts w:ascii="Arial" w:hAnsi="Arial"/>
          <w:rtl/>
        </w:rPr>
      </w:pPr>
    </w:p>
    <w:p w14:paraId="39873241" w14:textId="77777777" w:rsidR="00B5770F" w:rsidRPr="00541125" w:rsidRDefault="00B5770F" w:rsidP="00B5770F">
      <w:pPr>
        <w:spacing w:line="360" w:lineRule="auto"/>
        <w:jc w:val="both"/>
        <w:rPr>
          <w:rFonts w:ascii="Arial" w:hAnsi="Arial"/>
          <w:rtl/>
        </w:rPr>
      </w:pPr>
      <w:r w:rsidRPr="00541125">
        <w:rPr>
          <w:rFonts w:ascii="Arial" w:hAnsi="Arial"/>
          <w:b/>
          <w:bCs/>
          <w:rtl/>
        </w:rPr>
        <w:t>9</w:t>
      </w:r>
      <w:r w:rsidRPr="00541125">
        <w:rPr>
          <w:rFonts w:ascii="Arial" w:hAnsi="Arial"/>
          <w:rtl/>
        </w:rPr>
        <w:t xml:space="preserve">. במקרה דנן, הערך החברתי אשר נפגע כתוצאה מביצוע העבירה הוא </w:t>
      </w:r>
      <w:r w:rsidRPr="00541125">
        <w:rPr>
          <w:rFonts w:ascii="David" w:hAnsi="David"/>
          <w:rtl/>
        </w:rPr>
        <w:t>ההגנה על שלום הציבור, בריאותו ובטחונו מפני הנזקים הישירים והעקיפים הנגרמים כתוצאה מגידול, שימוש והפצת סמים.</w:t>
      </w:r>
    </w:p>
    <w:p w14:paraId="129FC953" w14:textId="77777777" w:rsidR="00B5770F" w:rsidRPr="00541125" w:rsidRDefault="00B5770F" w:rsidP="00B5770F">
      <w:pPr>
        <w:spacing w:line="360" w:lineRule="auto"/>
        <w:jc w:val="both"/>
        <w:rPr>
          <w:rFonts w:ascii="Arial" w:hAnsi="Arial"/>
          <w:rtl/>
        </w:rPr>
      </w:pPr>
      <w:r w:rsidRPr="00541125">
        <w:rPr>
          <w:rFonts w:ascii="Arial" w:hAnsi="Arial"/>
          <w:rtl/>
        </w:rPr>
        <w:t xml:space="preserve"> </w:t>
      </w:r>
    </w:p>
    <w:p w14:paraId="16FB233C" w14:textId="77777777" w:rsidR="00B5770F" w:rsidRPr="00541125" w:rsidRDefault="00B5770F" w:rsidP="00B5770F">
      <w:pPr>
        <w:spacing w:line="360" w:lineRule="auto"/>
        <w:jc w:val="both"/>
        <w:rPr>
          <w:rFonts w:ascii="Arial" w:hAnsi="Arial"/>
          <w:rtl/>
        </w:rPr>
      </w:pPr>
      <w:r w:rsidRPr="00541125">
        <w:rPr>
          <w:rFonts w:ascii="Arial" w:hAnsi="Arial"/>
          <w:b/>
          <w:bCs/>
          <w:rtl/>
        </w:rPr>
        <w:t>10. מידת הפגיעה בערך המוגן</w:t>
      </w:r>
      <w:r w:rsidRPr="00541125">
        <w:rPr>
          <w:rFonts w:ascii="Arial" w:hAnsi="Arial"/>
          <w:rtl/>
        </w:rPr>
        <w:t xml:space="preserve"> היא ברף הנמוך</w:t>
      </w:r>
      <w:r>
        <w:rPr>
          <w:rFonts w:ascii="Arial" w:hAnsi="Arial"/>
          <w:rtl/>
        </w:rPr>
        <w:t>, וזאת בשים לב למשקל הסם ולסוגו</w:t>
      </w:r>
      <w:r w:rsidRPr="00541125">
        <w:rPr>
          <w:rFonts w:ascii="Arial" w:hAnsi="Arial"/>
          <w:rtl/>
        </w:rPr>
        <w:t>.</w:t>
      </w:r>
    </w:p>
    <w:p w14:paraId="3B838379" w14:textId="77777777" w:rsidR="00B5770F" w:rsidRPr="00541125" w:rsidRDefault="00B5770F" w:rsidP="00B5770F">
      <w:pPr>
        <w:spacing w:line="360" w:lineRule="auto"/>
        <w:jc w:val="both"/>
        <w:rPr>
          <w:rFonts w:ascii="Arial" w:hAnsi="Arial"/>
          <w:rtl/>
        </w:rPr>
      </w:pPr>
    </w:p>
    <w:p w14:paraId="3F578828" w14:textId="77777777" w:rsidR="00B5770F" w:rsidRPr="00541125" w:rsidRDefault="00B5770F" w:rsidP="00B5770F">
      <w:pPr>
        <w:spacing w:line="360" w:lineRule="auto"/>
        <w:jc w:val="both"/>
        <w:rPr>
          <w:rFonts w:ascii="Arial" w:hAnsi="Arial"/>
          <w:rtl/>
        </w:rPr>
      </w:pPr>
      <w:r w:rsidRPr="00541125">
        <w:rPr>
          <w:rFonts w:ascii="Arial" w:hAnsi="Arial"/>
          <w:b/>
          <w:bCs/>
          <w:rtl/>
        </w:rPr>
        <w:t>11.</w:t>
      </w:r>
      <w:r w:rsidRPr="00541125">
        <w:rPr>
          <w:rFonts w:ascii="Arial" w:hAnsi="Arial"/>
          <w:b/>
          <w:bCs/>
        </w:rPr>
        <w:t xml:space="preserve"> </w:t>
      </w:r>
      <w:r w:rsidRPr="00541125">
        <w:rPr>
          <w:rFonts w:ascii="Arial" w:hAnsi="Arial"/>
          <w:rtl/>
        </w:rPr>
        <w:t xml:space="preserve">בחינת </w:t>
      </w:r>
      <w:r w:rsidRPr="00541125">
        <w:rPr>
          <w:rFonts w:ascii="Arial" w:hAnsi="Arial"/>
          <w:b/>
          <w:bCs/>
          <w:rtl/>
        </w:rPr>
        <w:t xml:space="preserve">מדיניות הענישה הנוהגת </w:t>
      </w:r>
      <w:r w:rsidRPr="00541125">
        <w:rPr>
          <w:rFonts w:ascii="Arial" w:hAnsi="Arial"/>
          <w:rtl/>
        </w:rPr>
        <w:t>מעלה כי במקרים דומים הוטלו על נאשמים עונשים החל ממאסר מותנה ועד למאסר בפועל, ובמקרים חריגים אף נמנעו מהרשעה, כמפורט להלן:</w:t>
      </w:r>
    </w:p>
    <w:p w14:paraId="1C0F4026" w14:textId="77777777" w:rsidR="00B5770F" w:rsidRPr="00541125" w:rsidRDefault="00B5770F" w:rsidP="00B5770F">
      <w:pPr>
        <w:spacing w:line="360" w:lineRule="auto"/>
        <w:jc w:val="both"/>
        <w:rPr>
          <w:rFonts w:ascii="Arial" w:hAnsi="Arial"/>
          <w:rtl/>
        </w:rPr>
      </w:pPr>
      <w:r w:rsidRPr="00541125">
        <w:rPr>
          <w:rFonts w:ascii="Arial" w:hAnsi="Arial"/>
          <w:rtl/>
        </w:rPr>
        <w:t>א. ב</w:t>
      </w:r>
      <w:r w:rsidRPr="00541125">
        <w:rPr>
          <w:rFonts w:ascii="Arial" w:hAnsi="Arial"/>
          <w:b/>
          <w:bCs/>
          <w:rtl/>
        </w:rPr>
        <w:t xml:space="preserve">ע"פ (ב"ש) 50721-06-18 שטרר נגד מדינת ישראל (17/10/18), </w:t>
      </w:r>
      <w:r w:rsidRPr="00541125">
        <w:rPr>
          <w:rFonts w:ascii="Arial" w:hAnsi="Arial"/>
          <w:rtl/>
        </w:rPr>
        <w:t>נדחה ערעורו של נאשם שהורשע בהתאם להודאתו בביצוע עבירות גידול סם מסוכן והחזקת סמים מסוכנים במשקל של כ- 250 גרם בתוך ביתו תוך שימוש בגופי תאורה וצנרת מתאימים, וזאת על אף תסקיר שהמליץ על ביטול ההרשעה. בית משפט השלום הטיל על הנאשם מאסרים מותנים לצד קנס, של"צ וצו מבחן. בית המשפט המחוזי קבע כי בית משפט קמא שקל את ההיבט השיקומי והקל בעונשו של הנאשם באופן שבא לידי ביטוי בכך שנמנע מלהטיל עליו מאסר בפועל, ולו בדרך של עבודות שירות. בקשת רשות ערעור שהוגשה מטעם הנאשם (</w:t>
      </w:r>
      <w:hyperlink r:id="rId15" w:history="1">
        <w:r w:rsidR="00467323" w:rsidRPr="00467323">
          <w:rPr>
            <w:rFonts w:ascii="Arial" w:hAnsi="Arial"/>
            <w:b/>
            <w:bCs/>
            <w:color w:val="0000FF"/>
            <w:u w:val="single"/>
            <w:rtl/>
          </w:rPr>
          <w:t>רע"פ 8458/18</w:t>
        </w:r>
      </w:hyperlink>
      <w:r w:rsidRPr="00541125">
        <w:rPr>
          <w:rFonts w:ascii="Arial" w:hAnsi="Arial"/>
          <w:rtl/>
        </w:rPr>
        <w:t xml:space="preserve">) נדחתה. </w:t>
      </w:r>
    </w:p>
    <w:p w14:paraId="101CAE93" w14:textId="77777777" w:rsidR="00B5770F" w:rsidRPr="00541125" w:rsidRDefault="00B5770F" w:rsidP="00B5770F">
      <w:pPr>
        <w:spacing w:line="360" w:lineRule="auto"/>
        <w:jc w:val="both"/>
        <w:rPr>
          <w:rFonts w:ascii="Arial" w:hAnsi="Arial"/>
          <w:rtl/>
        </w:rPr>
      </w:pPr>
      <w:r w:rsidRPr="00541125">
        <w:rPr>
          <w:rFonts w:ascii="Arial" w:hAnsi="Arial"/>
          <w:rtl/>
        </w:rPr>
        <w:t>ב. ב</w:t>
      </w:r>
      <w:hyperlink r:id="rId16" w:history="1">
        <w:r w:rsidR="00467323" w:rsidRPr="00467323">
          <w:rPr>
            <w:rFonts w:ascii="Arial" w:hAnsi="Arial"/>
            <w:b/>
            <w:bCs/>
            <w:color w:val="0000FF"/>
            <w:u w:val="single"/>
            <w:rtl/>
          </w:rPr>
          <w:t>עפ"ג (חי') 43046-12-15</w:t>
        </w:r>
      </w:hyperlink>
      <w:r w:rsidRPr="00541125">
        <w:rPr>
          <w:rFonts w:ascii="Arial" w:hAnsi="Arial"/>
          <w:b/>
          <w:bCs/>
          <w:rtl/>
        </w:rPr>
        <w:t xml:space="preserve"> גולדברג נגד מדינת ישראל (24/01/16), </w:t>
      </w:r>
      <w:r w:rsidRPr="00541125">
        <w:rPr>
          <w:rFonts w:ascii="Arial" w:hAnsi="Arial"/>
          <w:rtl/>
        </w:rPr>
        <w:t>עונש מאסר בפועל בן 5 חודשים (שכלל הפעלת מאסר מותנה) הומר במסגרת הערעור לעונש מאסר לריצוי בדרך של עבודות שירות, וזאת בגין גידול של כ- 537 גרם קנביס ב-37 שתילים, וכן החזקת סם במשקל של 12.28 גרם.</w:t>
      </w:r>
    </w:p>
    <w:p w14:paraId="3761FCCB" w14:textId="77777777" w:rsidR="00B5770F" w:rsidRPr="00541125" w:rsidRDefault="00B5770F" w:rsidP="00B5770F">
      <w:pPr>
        <w:spacing w:line="360" w:lineRule="auto"/>
        <w:jc w:val="both"/>
        <w:rPr>
          <w:rFonts w:ascii="Arial" w:hAnsi="Arial"/>
          <w:rtl/>
        </w:rPr>
      </w:pPr>
      <w:r w:rsidRPr="00541125">
        <w:rPr>
          <w:rFonts w:ascii="Arial" w:hAnsi="Arial"/>
          <w:rtl/>
        </w:rPr>
        <w:t>ג. ב</w:t>
      </w:r>
      <w:hyperlink r:id="rId17" w:history="1">
        <w:r w:rsidR="00467323" w:rsidRPr="00467323">
          <w:rPr>
            <w:rFonts w:ascii="Arial" w:hAnsi="Arial"/>
            <w:b/>
            <w:bCs/>
            <w:color w:val="0000FF"/>
            <w:u w:val="single"/>
            <w:rtl/>
          </w:rPr>
          <w:t>ע"פ (ב"ש) 67356-10-13</w:t>
        </w:r>
      </w:hyperlink>
      <w:r w:rsidRPr="00541125">
        <w:rPr>
          <w:rFonts w:ascii="Arial" w:hAnsi="Arial"/>
          <w:b/>
          <w:bCs/>
          <w:rtl/>
        </w:rPr>
        <w:t xml:space="preserve"> סמנצקו נגד מדינת ישראל (08/01/14), </w:t>
      </w:r>
      <w:r w:rsidRPr="00541125">
        <w:rPr>
          <w:rFonts w:ascii="Arial" w:hAnsi="Arial"/>
          <w:rtl/>
        </w:rPr>
        <w:t>נדחה ערעורו של נאשם שהורשע בהתאם להודאתו בביצוע עבירות גידול סם מסוכן והחזקת כלים לשם כך, לאחר שגידל, יחד עם אחר, 3 שתילים של סם מסוג קנאבוס במשקל כולל של 1,700 גרם נטו, תוך שימוש בציוד רב לשם כך. בית משפט השלום הטיל על הנאשם מאסר מותנה למשך 6 חודשים לצד קנס, חתימה על התחייבות, של"צ וצו מבחן. בית המשפט המחוזי קבע כי צדק בית משפט קמא שלא אימץ המלצת שירות המבחן ולא ביטל הרשעתו של הנאשם.</w:t>
      </w:r>
    </w:p>
    <w:p w14:paraId="452BC4D9" w14:textId="77777777" w:rsidR="00B5770F" w:rsidRPr="00541125" w:rsidRDefault="00B5770F" w:rsidP="00B5770F">
      <w:pPr>
        <w:spacing w:line="360" w:lineRule="auto"/>
        <w:jc w:val="both"/>
        <w:rPr>
          <w:rFonts w:ascii="Arial" w:hAnsi="Arial"/>
          <w:rtl/>
        </w:rPr>
      </w:pPr>
      <w:r w:rsidRPr="00541125">
        <w:rPr>
          <w:rFonts w:ascii="Arial" w:hAnsi="Arial"/>
          <w:rtl/>
        </w:rPr>
        <w:t>ד. ב</w:t>
      </w:r>
      <w:hyperlink r:id="rId18" w:history="1">
        <w:r w:rsidR="00467323" w:rsidRPr="00467323">
          <w:rPr>
            <w:rFonts w:ascii="Arial" w:hAnsi="Arial"/>
            <w:b/>
            <w:bCs/>
            <w:color w:val="0000FF"/>
            <w:u w:val="single"/>
            <w:rtl/>
          </w:rPr>
          <w:t>עפ"ג (מרכז) 10700-11-16</w:t>
        </w:r>
      </w:hyperlink>
      <w:r w:rsidRPr="00541125">
        <w:rPr>
          <w:rFonts w:ascii="Arial" w:hAnsi="Arial"/>
          <w:b/>
          <w:bCs/>
          <w:rtl/>
        </w:rPr>
        <w:t xml:space="preserve"> מדינת ישראל נגד טולידו (17/01/17), </w:t>
      </w:r>
      <w:r w:rsidRPr="00541125">
        <w:rPr>
          <w:rFonts w:ascii="Arial" w:hAnsi="Arial"/>
          <w:rtl/>
        </w:rPr>
        <w:t xml:space="preserve">התקבל ערעורה של המאשימה על קולת עונשו של נאשם אשר הורשע, בהתאם להודאתו בגידול סם מסוכן מסוג קנאבוס במשקל של כ-900 גרם והחזקת כלים לשם כך וכן בהחזקת מנת חשיש שלא כדין, אשר בגינן הוטל עליו מאסרים מותנים, של"צ, קנס וצו מבחן. בית המשפט המחוזי קבע כי האינטרס הציבורי איננו מאפשר נתינת משקל כה משמעותי לשיקול השיקום, ומשכך החמיר עונשו של הנאשם והטיל עליו 4 חודשי מאסר לריצוי בדרך של עבודות שירות. </w:t>
      </w:r>
    </w:p>
    <w:p w14:paraId="3B2B8F26" w14:textId="77777777" w:rsidR="00B5770F" w:rsidRPr="00541125" w:rsidRDefault="00B5770F" w:rsidP="00B5770F">
      <w:pPr>
        <w:spacing w:line="360" w:lineRule="auto"/>
        <w:jc w:val="both"/>
        <w:rPr>
          <w:rFonts w:ascii="Arial" w:hAnsi="Arial"/>
          <w:rtl/>
        </w:rPr>
      </w:pPr>
      <w:r w:rsidRPr="00541125">
        <w:rPr>
          <w:rFonts w:ascii="Arial" w:hAnsi="Arial"/>
          <w:rtl/>
        </w:rPr>
        <w:t>ה. ב</w:t>
      </w:r>
      <w:hyperlink r:id="rId19" w:history="1">
        <w:r w:rsidR="00467323" w:rsidRPr="00467323">
          <w:rPr>
            <w:rFonts w:ascii="Arial" w:hAnsi="Arial"/>
            <w:b/>
            <w:bCs/>
            <w:color w:val="0000FF"/>
            <w:u w:val="single"/>
            <w:rtl/>
          </w:rPr>
          <w:t>ת"פ (נצ') 3456-12-15</w:t>
        </w:r>
      </w:hyperlink>
      <w:r w:rsidRPr="00541125">
        <w:rPr>
          <w:rFonts w:ascii="Arial" w:hAnsi="Arial"/>
          <w:b/>
          <w:bCs/>
          <w:rtl/>
        </w:rPr>
        <w:t xml:space="preserve"> מדינת ישראל נגד רחימה (26/12/17)</w:t>
      </w:r>
      <w:r w:rsidRPr="00541125">
        <w:rPr>
          <w:rFonts w:ascii="Arial" w:hAnsi="Arial"/>
          <w:rtl/>
        </w:rPr>
        <w:t xml:space="preserve"> הרשיע בית המשפט את הנאשם בהתאם להודאתו בכתב האישום בגידול סם מסוג קנבוס במשקל של כ-119 גרם, תוך שימוש בציוד לשם כך. על אף ששירות המבחן המליץ להטיל על הנאשם מאסר קצר לריצוי בעבודות שירות, וזאת בשל התנגדותו של הנאשם להשתלב בהליך טיפולי. בית המשפט קבע מתחם ענישה הנע בין מאסר מותנה ל-12 חודשי מאסר בפועל, והטיל על הנאשם מאסרים מותנים וקנס, וזאת בין היתר בשל היעדר עבר פלילי והצהרת הנאשם כי הפסיק לצרוך סמים במקביל לתהליך התקרבותו לדת, ועל אף שלא נעשו בדיקות שתן שיתמכו בהצהרתו. </w:t>
      </w:r>
    </w:p>
    <w:p w14:paraId="111F883D" w14:textId="77777777" w:rsidR="00B5770F" w:rsidRPr="00541125" w:rsidRDefault="00B5770F" w:rsidP="00B5770F">
      <w:pPr>
        <w:spacing w:line="360" w:lineRule="auto"/>
        <w:jc w:val="both"/>
        <w:rPr>
          <w:rFonts w:ascii="Arial" w:hAnsi="Arial"/>
          <w:rtl/>
        </w:rPr>
      </w:pPr>
    </w:p>
    <w:p w14:paraId="01BA4110" w14:textId="77777777" w:rsidR="00B5770F" w:rsidRDefault="00B5770F" w:rsidP="00B5770F">
      <w:pPr>
        <w:spacing w:line="360" w:lineRule="auto"/>
        <w:jc w:val="both"/>
        <w:rPr>
          <w:rFonts w:ascii="Arial" w:hAnsi="Arial"/>
          <w:rtl/>
        </w:rPr>
      </w:pPr>
      <w:r w:rsidRPr="00541125">
        <w:rPr>
          <w:rFonts w:ascii="Arial" w:hAnsi="Arial"/>
          <w:b/>
          <w:bCs/>
          <w:rtl/>
        </w:rPr>
        <w:t>12</w:t>
      </w:r>
      <w:r w:rsidRPr="00541125">
        <w:rPr>
          <w:rFonts w:ascii="Arial" w:hAnsi="Arial"/>
          <w:rtl/>
        </w:rPr>
        <w:t xml:space="preserve">. </w:t>
      </w:r>
      <w:r w:rsidRPr="00541125">
        <w:rPr>
          <w:rFonts w:ascii="David" w:hAnsi="David"/>
          <w:rtl/>
        </w:rPr>
        <w:t xml:space="preserve">במסגרת </w:t>
      </w:r>
      <w:r w:rsidRPr="00541125">
        <w:rPr>
          <w:rFonts w:ascii="David" w:hAnsi="David"/>
          <w:b/>
          <w:bCs/>
          <w:rtl/>
        </w:rPr>
        <w:t>הנסיבות הקשורות בביצוע העבירה</w:t>
      </w:r>
      <w:r w:rsidRPr="00541125">
        <w:rPr>
          <w:rFonts w:ascii="David" w:hAnsi="David"/>
          <w:rtl/>
        </w:rPr>
        <w:t xml:space="preserve"> (</w:t>
      </w:r>
      <w:hyperlink r:id="rId20" w:history="1">
        <w:r w:rsidR="00017C56" w:rsidRPr="00017C56">
          <w:rPr>
            <w:rFonts w:ascii="David" w:hAnsi="David"/>
            <w:b/>
            <w:bCs/>
            <w:color w:val="0000FF"/>
            <w:u w:val="single"/>
            <w:rtl/>
          </w:rPr>
          <w:t>סעיף 40ט</w:t>
        </w:r>
      </w:hyperlink>
      <w:r w:rsidRPr="00541125">
        <w:rPr>
          <w:rFonts w:ascii="David" w:hAnsi="David"/>
          <w:b/>
          <w:bCs/>
          <w:rtl/>
        </w:rPr>
        <w:t xml:space="preserve"> לחוק</w:t>
      </w:r>
      <w:r w:rsidRPr="00541125">
        <w:rPr>
          <w:rFonts w:ascii="David" w:hAnsi="David"/>
          <w:rtl/>
        </w:rPr>
        <w:t xml:space="preserve">) יש לתת את הדעת לתכנון שקדם לביצוע העבירות הכולל הן את רכישת הידע הרלוונטי והן את רכישת הציוד כמפורט בכתב האישום. כמו כן, יש לתת את הדעת לכך שהנאשם הוא המבצע היחיד </w:t>
      </w:r>
      <w:r>
        <w:rPr>
          <w:rFonts w:ascii="David" w:hAnsi="David" w:hint="cs"/>
          <w:rtl/>
        </w:rPr>
        <w:t xml:space="preserve">של </w:t>
      </w:r>
      <w:r w:rsidRPr="00541125">
        <w:rPr>
          <w:rFonts w:ascii="David" w:hAnsi="David"/>
          <w:rtl/>
        </w:rPr>
        <w:t xml:space="preserve"> העבירה ולנזק שנגרם ושעלול להיגרם מגידול ושימוש בסמים מסוכנים. מאידך גיסא</w:t>
      </w:r>
      <w:r w:rsidRPr="00541125">
        <w:rPr>
          <w:rFonts w:ascii="Arial" w:hAnsi="Arial"/>
          <w:rtl/>
        </w:rPr>
        <w:t xml:space="preserve"> יש לתת את הדעת לכך </w:t>
      </w:r>
      <w:r>
        <w:rPr>
          <w:rFonts w:ascii="Arial" w:hAnsi="Arial" w:hint="cs"/>
          <w:rtl/>
        </w:rPr>
        <w:t xml:space="preserve">שהסם גודל בביתו של הנאשם ואין אינדיקציה להפצת הסם. </w:t>
      </w:r>
    </w:p>
    <w:p w14:paraId="615EBF6E" w14:textId="77777777" w:rsidR="00B5770F" w:rsidRPr="00541125" w:rsidRDefault="00B5770F" w:rsidP="00B5770F">
      <w:pPr>
        <w:spacing w:line="360" w:lineRule="auto"/>
        <w:jc w:val="both"/>
        <w:rPr>
          <w:rFonts w:ascii="Arial" w:hAnsi="Arial"/>
          <w:rtl/>
        </w:rPr>
      </w:pPr>
    </w:p>
    <w:p w14:paraId="0AE2B6C8" w14:textId="77777777" w:rsidR="00B5770F" w:rsidRPr="00541125" w:rsidRDefault="00B5770F" w:rsidP="00B5770F">
      <w:pPr>
        <w:spacing w:line="360" w:lineRule="auto"/>
        <w:contextualSpacing/>
        <w:jc w:val="both"/>
        <w:rPr>
          <w:rFonts w:ascii="David" w:hAnsi="David"/>
          <w:rtl/>
        </w:rPr>
      </w:pPr>
      <w:r w:rsidRPr="00541125">
        <w:rPr>
          <w:rFonts w:ascii="David" w:hAnsi="David"/>
          <w:b/>
          <w:bCs/>
          <w:rtl/>
        </w:rPr>
        <w:t>13</w:t>
      </w:r>
      <w:r w:rsidRPr="00541125">
        <w:rPr>
          <w:rFonts w:ascii="David" w:hAnsi="David"/>
          <w:rtl/>
        </w:rPr>
        <w:t>. בהתאם לתיקון 113 ל</w:t>
      </w:r>
      <w:hyperlink r:id="rId21" w:history="1">
        <w:r w:rsidR="00467323" w:rsidRPr="00467323">
          <w:rPr>
            <w:rFonts w:ascii="David" w:hAnsi="David"/>
            <w:color w:val="0000FF"/>
            <w:u w:val="single"/>
            <w:rtl/>
          </w:rPr>
          <w:t>חוק העונשין</w:t>
        </w:r>
      </w:hyperlink>
      <w:r w:rsidRPr="00541125">
        <w:rPr>
          <w:rFonts w:ascii="David" w:hAnsi="David"/>
          <w:rtl/>
        </w:rPr>
        <w:t xml:space="preserve"> (</w:t>
      </w:r>
      <w:r w:rsidRPr="00541125">
        <w:rPr>
          <w:rFonts w:ascii="David" w:hAnsi="David"/>
          <w:b/>
          <w:bCs/>
          <w:rtl/>
        </w:rPr>
        <w:t xml:space="preserve">סעיף </w:t>
      </w:r>
      <w:hyperlink r:id="rId22" w:history="1">
        <w:r w:rsidR="00017C56" w:rsidRPr="00017C56">
          <w:rPr>
            <w:rFonts w:ascii="David" w:hAnsi="David"/>
            <w:b/>
            <w:bCs/>
            <w:color w:val="0000FF"/>
            <w:u w:val="single"/>
            <w:rtl/>
          </w:rPr>
          <w:t>40 יג</w:t>
        </w:r>
      </w:hyperlink>
      <w:r w:rsidRPr="00541125">
        <w:rPr>
          <w:rFonts w:ascii="David" w:hAnsi="David"/>
          <w:rtl/>
        </w:rPr>
        <w:t>) מצאתי כי מתחם העונש ההולם</w:t>
      </w:r>
      <w:r>
        <w:rPr>
          <w:rFonts w:ascii="Arial" w:hAnsi="Arial"/>
          <w:b/>
          <w:bCs/>
          <w:rtl/>
        </w:rPr>
        <w:t xml:space="preserve"> נע בין מאסר מותנה ועד ל-</w:t>
      </w:r>
      <w:r>
        <w:rPr>
          <w:rFonts w:ascii="Arial" w:hAnsi="Arial" w:hint="cs"/>
          <w:b/>
          <w:bCs/>
          <w:rtl/>
        </w:rPr>
        <w:t xml:space="preserve">8 </w:t>
      </w:r>
      <w:r w:rsidRPr="00541125">
        <w:rPr>
          <w:rFonts w:ascii="Arial" w:hAnsi="Arial"/>
          <w:b/>
          <w:bCs/>
          <w:rtl/>
        </w:rPr>
        <w:t>חודשי מאסר בפועל</w:t>
      </w:r>
      <w:r w:rsidRPr="00541125">
        <w:rPr>
          <w:rFonts w:ascii="Arial" w:hAnsi="Arial"/>
          <w:rtl/>
        </w:rPr>
        <w:t xml:space="preserve">. </w:t>
      </w:r>
    </w:p>
    <w:p w14:paraId="368ADCA4" w14:textId="77777777" w:rsidR="00B5770F" w:rsidRPr="00541125" w:rsidRDefault="00B5770F" w:rsidP="00B5770F">
      <w:pPr>
        <w:spacing w:after="160" w:line="259" w:lineRule="auto"/>
        <w:rPr>
          <w:rFonts w:ascii="Calibri" w:hAnsi="Calibri" w:cs="Arial"/>
          <w:sz w:val="22"/>
          <w:szCs w:val="22"/>
          <w:rtl/>
        </w:rPr>
      </w:pPr>
    </w:p>
    <w:p w14:paraId="083F4C15" w14:textId="77777777" w:rsidR="00B5770F" w:rsidRPr="00541125" w:rsidRDefault="00B5770F" w:rsidP="00B5770F">
      <w:pPr>
        <w:spacing w:line="360" w:lineRule="auto"/>
        <w:jc w:val="both"/>
        <w:rPr>
          <w:rFonts w:ascii="David" w:hAnsi="David"/>
          <w:rtl/>
        </w:rPr>
      </w:pPr>
      <w:r w:rsidRPr="00541125">
        <w:rPr>
          <w:rFonts w:ascii="David" w:hAnsi="David"/>
          <w:b/>
          <w:bCs/>
          <w:rtl/>
        </w:rPr>
        <w:t>14</w:t>
      </w:r>
      <w:r w:rsidRPr="00541125">
        <w:rPr>
          <w:rFonts w:ascii="David" w:hAnsi="David"/>
          <w:rtl/>
        </w:rPr>
        <w:t xml:space="preserve">. במקרה דנן, לא קיימים שיקולים המצדיקים </w:t>
      </w:r>
      <w:r w:rsidRPr="00541125">
        <w:rPr>
          <w:rFonts w:ascii="David" w:hAnsi="David"/>
          <w:b/>
          <w:bCs/>
          <w:rtl/>
        </w:rPr>
        <w:t>סטייה מהמתחם</w:t>
      </w:r>
      <w:r w:rsidRPr="00541125">
        <w:rPr>
          <w:rFonts w:ascii="David" w:hAnsi="David"/>
          <w:rtl/>
        </w:rPr>
        <w:t xml:space="preserve"> לחומרא או לקולא.</w:t>
      </w:r>
    </w:p>
    <w:p w14:paraId="7F56868F" w14:textId="77777777" w:rsidR="00B5770F" w:rsidRPr="00541125" w:rsidRDefault="00B5770F" w:rsidP="00B5770F">
      <w:pPr>
        <w:spacing w:line="360" w:lineRule="auto"/>
        <w:jc w:val="both"/>
        <w:rPr>
          <w:rFonts w:ascii="David" w:hAnsi="David"/>
          <w:rtl/>
        </w:rPr>
      </w:pPr>
    </w:p>
    <w:p w14:paraId="35752059" w14:textId="77777777" w:rsidR="00B5770F" w:rsidRPr="00541125" w:rsidRDefault="00B5770F" w:rsidP="00B5770F">
      <w:pPr>
        <w:spacing w:line="360" w:lineRule="auto"/>
        <w:jc w:val="both"/>
        <w:rPr>
          <w:rFonts w:ascii="David" w:hAnsi="David"/>
          <w:rtl/>
        </w:rPr>
      </w:pPr>
      <w:r w:rsidRPr="00541125">
        <w:rPr>
          <w:rFonts w:ascii="David" w:hAnsi="David"/>
          <w:b/>
          <w:bCs/>
          <w:u w:val="single"/>
          <w:rtl/>
        </w:rPr>
        <w:t>גזירת העונש המתאים לנאשם</w:t>
      </w:r>
      <w:r w:rsidRPr="00541125">
        <w:rPr>
          <w:rFonts w:ascii="David" w:hAnsi="David"/>
          <w:rtl/>
        </w:rPr>
        <w:t>:</w:t>
      </w:r>
    </w:p>
    <w:p w14:paraId="6966CEAC" w14:textId="77777777" w:rsidR="00B5770F" w:rsidRPr="00541125" w:rsidRDefault="00B5770F" w:rsidP="00B5770F">
      <w:pPr>
        <w:spacing w:line="360" w:lineRule="auto"/>
        <w:jc w:val="both"/>
        <w:rPr>
          <w:rFonts w:ascii="David" w:hAnsi="David"/>
          <w:rtl/>
        </w:rPr>
      </w:pPr>
      <w:r w:rsidRPr="00541125">
        <w:rPr>
          <w:rFonts w:ascii="David" w:hAnsi="David"/>
          <w:b/>
          <w:bCs/>
          <w:rtl/>
        </w:rPr>
        <w:t>15.</w:t>
      </w:r>
      <w:r w:rsidRPr="00541125">
        <w:rPr>
          <w:rFonts w:ascii="David" w:hAnsi="David"/>
          <w:rtl/>
        </w:rPr>
        <w:t xml:space="preserve"> בגזירת העונש המתאים לנאשם, בגדרי מתחם העונש ההולם, יש להתחשב בנסיבות שאינן קשורות בביצוע העבירה (</w:t>
      </w:r>
      <w:r w:rsidRPr="00541125">
        <w:rPr>
          <w:rFonts w:ascii="David" w:hAnsi="David"/>
          <w:b/>
          <w:bCs/>
          <w:rtl/>
        </w:rPr>
        <w:t xml:space="preserve">סעיף </w:t>
      </w:r>
      <w:hyperlink r:id="rId23" w:history="1">
        <w:r w:rsidR="00017C56" w:rsidRPr="00017C56">
          <w:rPr>
            <w:rFonts w:ascii="David" w:hAnsi="David"/>
            <w:b/>
            <w:bCs/>
            <w:color w:val="0000FF"/>
            <w:u w:val="single"/>
            <w:rtl/>
          </w:rPr>
          <w:t>40 יא'</w:t>
        </w:r>
      </w:hyperlink>
      <w:r w:rsidRPr="00541125">
        <w:rPr>
          <w:rFonts w:ascii="David" w:hAnsi="David"/>
          <w:b/>
          <w:bCs/>
          <w:rtl/>
        </w:rPr>
        <w:t>)</w:t>
      </w:r>
      <w:r w:rsidRPr="00541125">
        <w:rPr>
          <w:rFonts w:ascii="David" w:hAnsi="David"/>
          <w:rtl/>
        </w:rPr>
        <w:t xml:space="preserve">. </w:t>
      </w:r>
    </w:p>
    <w:p w14:paraId="28137C3F" w14:textId="77777777" w:rsidR="00B5770F" w:rsidRPr="00541125" w:rsidRDefault="00B5770F" w:rsidP="00B5770F">
      <w:pPr>
        <w:spacing w:line="360" w:lineRule="auto"/>
        <w:jc w:val="both"/>
        <w:rPr>
          <w:rFonts w:ascii="David" w:hAnsi="David"/>
          <w:rtl/>
        </w:rPr>
      </w:pPr>
    </w:p>
    <w:p w14:paraId="0E92359C" w14:textId="77777777" w:rsidR="00B5770F" w:rsidRPr="00541125" w:rsidRDefault="00B5770F" w:rsidP="00B5770F">
      <w:pPr>
        <w:spacing w:line="360" w:lineRule="auto"/>
        <w:jc w:val="both"/>
        <w:rPr>
          <w:rFonts w:ascii="David" w:hAnsi="David"/>
          <w:rtl/>
        </w:rPr>
      </w:pPr>
      <w:r w:rsidRPr="00541125">
        <w:rPr>
          <w:rFonts w:ascii="David" w:hAnsi="David"/>
          <w:rtl/>
        </w:rPr>
        <w:t>במסגרת זו מן הראוי לתת את הדעת לשיקולים הבאים –</w:t>
      </w:r>
    </w:p>
    <w:p w14:paraId="1A1F6868" w14:textId="77777777" w:rsidR="00B5770F" w:rsidRPr="00541125" w:rsidRDefault="00B5770F" w:rsidP="00B5770F">
      <w:pPr>
        <w:numPr>
          <w:ilvl w:val="0"/>
          <w:numId w:val="2"/>
        </w:numPr>
        <w:spacing w:line="360" w:lineRule="auto"/>
        <w:ind w:left="419" w:hanging="357"/>
        <w:contextualSpacing/>
        <w:jc w:val="both"/>
        <w:rPr>
          <w:rFonts w:ascii="Calibri" w:hAnsi="Calibri"/>
          <w:b/>
          <w:bCs/>
        </w:rPr>
      </w:pPr>
      <w:r w:rsidRPr="00541125">
        <w:rPr>
          <w:rFonts w:ascii="Calibri" w:hAnsi="Calibri" w:hint="eastAsia"/>
          <w:b/>
          <w:bCs/>
          <w:rtl/>
        </w:rPr>
        <w:t>נטילת</w:t>
      </w:r>
      <w:r w:rsidRPr="00541125">
        <w:rPr>
          <w:rFonts w:ascii="Calibri" w:hAnsi="Calibri"/>
          <w:b/>
          <w:bCs/>
          <w:rtl/>
        </w:rPr>
        <w:t xml:space="preserve"> </w:t>
      </w:r>
      <w:r w:rsidRPr="00541125">
        <w:rPr>
          <w:rFonts w:ascii="Calibri" w:hAnsi="Calibri" w:hint="eastAsia"/>
          <w:b/>
          <w:bCs/>
          <w:rtl/>
        </w:rPr>
        <w:t>האחריות</w:t>
      </w:r>
      <w:r w:rsidRPr="00541125">
        <w:rPr>
          <w:rFonts w:ascii="Calibri" w:hAnsi="Calibri"/>
          <w:b/>
          <w:bCs/>
          <w:rtl/>
        </w:rPr>
        <w:t xml:space="preserve"> </w:t>
      </w:r>
      <w:r w:rsidRPr="00541125">
        <w:rPr>
          <w:rFonts w:ascii="Calibri" w:hAnsi="Calibri" w:hint="eastAsia"/>
          <w:b/>
          <w:bCs/>
          <w:rtl/>
        </w:rPr>
        <w:t>של</w:t>
      </w:r>
      <w:r w:rsidRPr="00541125">
        <w:rPr>
          <w:rFonts w:ascii="Calibri" w:hAnsi="Calibri"/>
          <w:b/>
          <w:bCs/>
          <w:rtl/>
        </w:rPr>
        <w:t xml:space="preserve"> </w:t>
      </w:r>
      <w:r w:rsidRPr="00541125">
        <w:rPr>
          <w:rFonts w:ascii="Calibri" w:hAnsi="Calibri" w:hint="eastAsia"/>
          <w:b/>
          <w:bCs/>
          <w:rtl/>
        </w:rPr>
        <w:t>הנאשם</w:t>
      </w:r>
      <w:r w:rsidRPr="00541125">
        <w:rPr>
          <w:rFonts w:ascii="Calibri" w:hAnsi="Calibri"/>
          <w:b/>
          <w:bCs/>
          <w:rtl/>
        </w:rPr>
        <w:t xml:space="preserve"> </w:t>
      </w:r>
      <w:r w:rsidRPr="00541125">
        <w:rPr>
          <w:rFonts w:ascii="Calibri" w:hAnsi="Calibri" w:hint="eastAsia"/>
          <w:b/>
          <w:bCs/>
          <w:rtl/>
        </w:rPr>
        <w:t>על</w:t>
      </w:r>
      <w:r w:rsidRPr="00541125">
        <w:rPr>
          <w:rFonts w:ascii="Calibri" w:hAnsi="Calibri"/>
          <w:b/>
          <w:bCs/>
          <w:rtl/>
        </w:rPr>
        <w:t xml:space="preserve"> </w:t>
      </w:r>
      <w:r w:rsidRPr="00541125">
        <w:rPr>
          <w:rFonts w:ascii="Calibri" w:hAnsi="Calibri" w:hint="eastAsia"/>
          <w:b/>
          <w:bCs/>
          <w:rtl/>
        </w:rPr>
        <w:t>מעשיו</w:t>
      </w:r>
      <w:r w:rsidRPr="00541125">
        <w:rPr>
          <w:rFonts w:ascii="Calibri" w:hAnsi="Calibri"/>
          <w:b/>
          <w:bCs/>
          <w:rtl/>
        </w:rPr>
        <w:t xml:space="preserve"> </w:t>
      </w:r>
      <w:r w:rsidRPr="00541125">
        <w:rPr>
          <w:rFonts w:ascii="Calibri" w:hAnsi="Calibri" w:hint="eastAsia"/>
          <w:b/>
          <w:bCs/>
          <w:rtl/>
        </w:rPr>
        <w:t>וחזרתו</w:t>
      </w:r>
      <w:r w:rsidRPr="00541125">
        <w:rPr>
          <w:rFonts w:ascii="Calibri" w:hAnsi="Calibri"/>
          <w:b/>
          <w:bCs/>
          <w:rtl/>
        </w:rPr>
        <w:t xml:space="preserve"> </w:t>
      </w:r>
      <w:r w:rsidRPr="00541125">
        <w:rPr>
          <w:rFonts w:ascii="Calibri" w:hAnsi="Calibri" w:hint="eastAsia"/>
          <w:b/>
          <w:bCs/>
          <w:rtl/>
        </w:rPr>
        <w:t>למוטב</w:t>
      </w:r>
      <w:r w:rsidRPr="00541125">
        <w:rPr>
          <w:rFonts w:ascii="Calibri" w:hAnsi="Calibri"/>
          <w:b/>
          <w:bCs/>
          <w:rtl/>
        </w:rPr>
        <w:t xml:space="preserve"> </w:t>
      </w:r>
      <w:r w:rsidRPr="00541125">
        <w:rPr>
          <w:rFonts w:ascii="Calibri" w:hAnsi="Calibri" w:hint="eastAsia"/>
          <w:b/>
          <w:bCs/>
          <w:rtl/>
        </w:rPr>
        <w:t>או</w:t>
      </w:r>
      <w:r w:rsidRPr="00541125">
        <w:rPr>
          <w:rFonts w:ascii="Calibri" w:hAnsi="Calibri"/>
          <w:b/>
          <w:bCs/>
          <w:rtl/>
        </w:rPr>
        <w:t xml:space="preserve"> </w:t>
      </w:r>
      <w:r w:rsidRPr="00541125">
        <w:rPr>
          <w:rFonts w:ascii="Calibri" w:hAnsi="Calibri" w:hint="eastAsia"/>
          <w:b/>
          <w:bCs/>
          <w:rtl/>
        </w:rPr>
        <w:t>מאמציו</w:t>
      </w:r>
      <w:r w:rsidRPr="00541125">
        <w:rPr>
          <w:rFonts w:ascii="Calibri" w:hAnsi="Calibri"/>
          <w:b/>
          <w:bCs/>
          <w:rtl/>
        </w:rPr>
        <w:t xml:space="preserve"> </w:t>
      </w:r>
      <w:r w:rsidRPr="00541125">
        <w:rPr>
          <w:rFonts w:ascii="Calibri" w:hAnsi="Calibri" w:hint="eastAsia"/>
          <w:b/>
          <w:bCs/>
          <w:rtl/>
        </w:rPr>
        <w:t>לחזור</w:t>
      </w:r>
      <w:r w:rsidRPr="00541125">
        <w:rPr>
          <w:rFonts w:ascii="Calibri" w:hAnsi="Calibri"/>
          <w:b/>
          <w:bCs/>
          <w:rtl/>
        </w:rPr>
        <w:t xml:space="preserve"> </w:t>
      </w:r>
      <w:r w:rsidRPr="00541125">
        <w:rPr>
          <w:rFonts w:ascii="Calibri" w:hAnsi="Calibri" w:hint="eastAsia"/>
          <w:b/>
          <w:bCs/>
          <w:rtl/>
        </w:rPr>
        <w:t>למוטב</w:t>
      </w:r>
      <w:r w:rsidRPr="00541125">
        <w:rPr>
          <w:rFonts w:ascii="Calibri" w:hAnsi="Calibri"/>
          <w:b/>
          <w:bCs/>
          <w:rtl/>
        </w:rPr>
        <w:t xml:space="preserve"> - </w:t>
      </w:r>
      <w:r w:rsidRPr="00541125">
        <w:rPr>
          <w:rFonts w:ascii="David" w:hAnsi="David"/>
          <w:rtl/>
        </w:rPr>
        <w:t xml:space="preserve">הנאשם נטל אחריות על מעשיו, הודה בעבירה אשר ביצע, ולדבריו הפסיק לעשות שימוש בסמים מזה מספר שנים, טענה אשר נתמכה בשתי בדיקות שתן שמסר ושנמצאו נקיות. </w:t>
      </w:r>
    </w:p>
    <w:p w14:paraId="41F5233D" w14:textId="77777777" w:rsidR="00B5770F" w:rsidRPr="00541125" w:rsidRDefault="00B5770F" w:rsidP="00B5770F">
      <w:pPr>
        <w:spacing w:line="360" w:lineRule="auto"/>
        <w:ind w:left="419"/>
        <w:contextualSpacing/>
        <w:jc w:val="both"/>
        <w:rPr>
          <w:rFonts w:ascii="David" w:hAnsi="David"/>
          <w:rtl/>
        </w:rPr>
      </w:pPr>
      <w:r w:rsidRPr="00541125">
        <w:rPr>
          <w:rFonts w:ascii="Calibri" w:hAnsi="Calibri" w:hint="eastAsia"/>
          <w:rtl/>
        </w:rPr>
        <w:t>לא</w:t>
      </w:r>
      <w:r w:rsidRPr="00541125">
        <w:rPr>
          <w:rFonts w:ascii="Calibri" w:hAnsi="Calibri"/>
          <w:rtl/>
        </w:rPr>
        <w:t xml:space="preserve"> </w:t>
      </w:r>
      <w:r w:rsidRPr="00541125">
        <w:rPr>
          <w:rFonts w:ascii="Calibri" w:hAnsi="Calibri" w:hint="eastAsia"/>
          <w:rtl/>
        </w:rPr>
        <w:t>מצאתי</w:t>
      </w:r>
      <w:r w:rsidRPr="00541125">
        <w:rPr>
          <w:rFonts w:ascii="Calibri" w:hAnsi="Calibri"/>
          <w:rtl/>
        </w:rPr>
        <w:t xml:space="preserve"> </w:t>
      </w:r>
      <w:r w:rsidRPr="00541125">
        <w:rPr>
          <w:rFonts w:ascii="Calibri" w:hAnsi="Calibri" w:hint="eastAsia"/>
          <w:rtl/>
        </w:rPr>
        <w:t>כי</w:t>
      </w:r>
      <w:r w:rsidRPr="00541125">
        <w:rPr>
          <w:rFonts w:ascii="Calibri" w:hAnsi="Calibri"/>
          <w:rtl/>
        </w:rPr>
        <w:t xml:space="preserve"> </w:t>
      </w:r>
      <w:r w:rsidRPr="00541125">
        <w:rPr>
          <w:rFonts w:ascii="Calibri" w:hAnsi="Calibri" w:hint="eastAsia"/>
          <w:rtl/>
        </w:rPr>
        <w:t>יש</w:t>
      </w:r>
      <w:r w:rsidRPr="00541125">
        <w:rPr>
          <w:rFonts w:ascii="Calibri" w:hAnsi="Calibri"/>
          <w:rtl/>
        </w:rPr>
        <w:t xml:space="preserve"> </w:t>
      </w:r>
      <w:r w:rsidRPr="00541125">
        <w:rPr>
          <w:rFonts w:ascii="Calibri" w:hAnsi="Calibri" w:hint="eastAsia"/>
          <w:rtl/>
        </w:rPr>
        <w:t>ליחס</w:t>
      </w:r>
      <w:r w:rsidRPr="00541125">
        <w:rPr>
          <w:rFonts w:ascii="Calibri" w:hAnsi="Calibri"/>
          <w:rtl/>
        </w:rPr>
        <w:t xml:space="preserve"> </w:t>
      </w:r>
      <w:r w:rsidRPr="00541125">
        <w:rPr>
          <w:rFonts w:ascii="Calibri" w:hAnsi="Calibri" w:hint="eastAsia"/>
          <w:rtl/>
        </w:rPr>
        <w:t>משקל</w:t>
      </w:r>
      <w:r w:rsidRPr="00541125">
        <w:rPr>
          <w:rFonts w:ascii="Calibri" w:hAnsi="Calibri"/>
          <w:rtl/>
        </w:rPr>
        <w:t xml:space="preserve"> </w:t>
      </w:r>
      <w:r w:rsidRPr="00541125">
        <w:rPr>
          <w:rFonts w:ascii="Calibri" w:hAnsi="Calibri" w:hint="eastAsia"/>
          <w:rtl/>
        </w:rPr>
        <w:t>משמעותי</w:t>
      </w:r>
      <w:r w:rsidRPr="00541125">
        <w:rPr>
          <w:rFonts w:ascii="Calibri" w:hAnsi="Calibri"/>
          <w:rtl/>
        </w:rPr>
        <w:t xml:space="preserve"> </w:t>
      </w:r>
      <w:r w:rsidRPr="00541125">
        <w:rPr>
          <w:rFonts w:ascii="Calibri" w:hAnsi="Calibri" w:hint="eastAsia"/>
          <w:rtl/>
        </w:rPr>
        <w:t>להיעדר</w:t>
      </w:r>
      <w:r w:rsidRPr="00541125">
        <w:rPr>
          <w:rFonts w:ascii="Calibri" w:hAnsi="Calibri"/>
          <w:rtl/>
        </w:rPr>
        <w:t xml:space="preserve"> </w:t>
      </w:r>
      <w:r w:rsidRPr="00541125">
        <w:rPr>
          <w:rFonts w:ascii="Calibri" w:hAnsi="Calibri" w:hint="eastAsia"/>
          <w:rtl/>
        </w:rPr>
        <w:t>השתלבותו</w:t>
      </w:r>
      <w:r w:rsidRPr="00541125">
        <w:rPr>
          <w:rFonts w:ascii="Calibri" w:hAnsi="Calibri"/>
          <w:rtl/>
        </w:rPr>
        <w:t xml:space="preserve"> </w:t>
      </w:r>
      <w:r w:rsidRPr="00541125">
        <w:rPr>
          <w:rFonts w:ascii="Calibri" w:hAnsi="Calibri" w:hint="eastAsia"/>
          <w:rtl/>
        </w:rPr>
        <w:t>של</w:t>
      </w:r>
      <w:r w:rsidRPr="00541125">
        <w:rPr>
          <w:rFonts w:ascii="Calibri" w:hAnsi="Calibri"/>
          <w:rtl/>
        </w:rPr>
        <w:t xml:space="preserve"> </w:t>
      </w:r>
      <w:r w:rsidRPr="00541125">
        <w:rPr>
          <w:rFonts w:ascii="Calibri" w:hAnsi="Calibri" w:hint="eastAsia"/>
          <w:rtl/>
        </w:rPr>
        <w:t>הנאשם</w:t>
      </w:r>
      <w:r w:rsidRPr="00541125">
        <w:rPr>
          <w:rFonts w:ascii="Calibri" w:hAnsi="Calibri"/>
          <w:rtl/>
        </w:rPr>
        <w:t xml:space="preserve"> </w:t>
      </w:r>
      <w:r w:rsidRPr="00541125">
        <w:rPr>
          <w:rFonts w:ascii="Calibri" w:hAnsi="Calibri" w:hint="eastAsia"/>
          <w:rtl/>
        </w:rPr>
        <w:t>בהליך</w:t>
      </w:r>
      <w:r w:rsidRPr="00541125">
        <w:rPr>
          <w:rFonts w:ascii="Calibri" w:hAnsi="Calibri"/>
          <w:rtl/>
        </w:rPr>
        <w:t xml:space="preserve"> </w:t>
      </w:r>
      <w:r w:rsidRPr="00541125">
        <w:rPr>
          <w:rFonts w:ascii="Calibri" w:hAnsi="Calibri" w:hint="eastAsia"/>
          <w:rtl/>
        </w:rPr>
        <w:t>טיפולי</w:t>
      </w:r>
      <w:r w:rsidRPr="00541125">
        <w:rPr>
          <w:rFonts w:ascii="Calibri" w:hAnsi="Calibri"/>
          <w:rtl/>
        </w:rPr>
        <w:t xml:space="preserve"> </w:t>
      </w:r>
      <w:r w:rsidRPr="00541125">
        <w:rPr>
          <w:rFonts w:ascii="Calibri" w:hAnsi="Calibri" w:hint="eastAsia"/>
          <w:rtl/>
        </w:rPr>
        <w:t>ולהיעדר</w:t>
      </w:r>
      <w:r w:rsidRPr="00541125">
        <w:rPr>
          <w:rFonts w:ascii="Calibri" w:hAnsi="Calibri"/>
          <w:rtl/>
        </w:rPr>
        <w:t xml:space="preserve"> </w:t>
      </w:r>
      <w:r w:rsidRPr="00541125">
        <w:rPr>
          <w:rFonts w:ascii="Calibri" w:hAnsi="Calibri" w:hint="eastAsia"/>
          <w:rtl/>
        </w:rPr>
        <w:t>המלצה</w:t>
      </w:r>
      <w:r w:rsidRPr="00541125">
        <w:rPr>
          <w:rFonts w:ascii="Calibri" w:hAnsi="Calibri"/>
          <w:rtl/>
        </w:rPr>
        <w:t xml:space="preserve"> </w:t>
      </w:r>
      <w:r w:rsidRPr="00541125">
        <w:rPr>
          <w:rFonts w:ascii="Calibri" w:hAnsi="Calibri" w:hint="eastAsia"/>
          <w:rtl/>
        </w:rPr>
        <w:t>טיפולית</w:t>
      </w:r>
      <w:r w:rsidRPr="00541125">
        <w:rPr>
          <w:rFonts w:ascii="Calibri" w:hAnsi="Calibri"/>
          <w:rtl/>
        </w:rPr>
        <w:t xml:space="preserve"> </w:t>
      </w:r>
      <w:r w:rsidRPr="00541125">
        <w:rPr>
          <w:rFonts w:ascii="Calibri" w:hAnsi="Calibri" w:hint="eastAsia"/>
          <w:rtl/>
        </w:rPr>
        <w:t>מטעם</w:t>
      </w:r>
      <w:r w:rsidRPr="00541125">
        <w:rPr>
          <w:rFonts w:ascii="Calibri" w:hAnsi="Calibri"/>
          <w:rtl/>
        </w:rPr>
        <w:t xml:space="preserve"> </w:t>
      </w:r>
      <w:r w:rsidRPr="00541125">
        <w:rPr>
          <w:rFonts w:ascii="Calibri" w:hAnsi="Calibri" w:hint="eastAsia"/>
          <w:rtl/>
        </w:rPr>
        <w:t>שירות</w:t>
      </w:r>
      <w:r w:rsidRPr="00541125">
        <w:rPr>
          <w:rFonts w:ascii="Calibri" w:hAnsi="Calibri"/>
          <w:rtl/>
        </w:rPr>
        <w:t xml:space="preserve"> </w:t>
      </w:r>
      <w:r w:rsidRPr="00541125">
        <w:rPr>
          <w:rFonts w:ascii="Calibri" w:hAnsi="Calibri" w:hint="eastAsia"/>
          <w:rtl/>
        </w:rPr>
        <w:t>המבחן</w:t>
      </w:r>
      <w:r w:rsidRPr="00541125">
        <w:rPr>
          <w:rFonts w:ascii="Calibri" w:hAnsi="Calibri"/>
          <w:rtl/>
        </w:rPr>
        <w:t xml:space="preserve"> </w:t>
      </w:r>
      <w:r w:rsidRPr="00541125">
        <w:rPr>
          <w:rFonts w:ascii="Calibri" w:hAnsi="Calibri" w:hint="eastAsia"/>
          <w:rtl/>
        </w:rPr>
        <w:t>בעניינו</w:t>
      </w:r>
      <w:r w:rsidRPr="00541125">
        <w:rPr>
          <w:rFonts w:ascii="Calibri" w:hAnsi="Calibri"/>
          <w:rtl/>
        </w:rPr>
        <w:t xml:space="preserve"> </w:t>
      </w:r>
      <w:r w:rsidRPr="00541125">
        <w:rPr>
          <w:rFonts w:ascii="Calibri" w:hAnsi="Calibri" w:hint="eastAsia"/>
          <w:rtl/>
        </w:rPr>
        <w:t>של</w:t>
      </w:r>
      <w:r w:rsidRPr="00541125">
        <w:rPr>
          <w:rFonts w:ascii="Calibri" w:hAnsi="Calibri"/>
          <w:rtl/>
        </w:rPr>
        <w:t xml:space="preserve"> </w:t>
      </w:r>
      <w:r w:rsidRPr="00541125">
        <w:rPr>
          <w:rFonts w:ascii="Calibri" w:hAnsi="Calibri" w:hint="eastAsia"/>
          <w:rtl/>
        </w:rPr>
        <w:t>נאשם</w:t>
      </w:r>
      <w:r w:rsidRPr="00541125">
        <w:rPr>
          <w:rFonts w:ascii="Calibri" w:hAnsi="Calibri"/>
          <w:rtl/>
        </w:rPr>
        <w:t xml:space="preserve"> </w:t>
      </w:r>
      <w:r w:rsidRPr="00541125">
        <w:rPr>
          <w:rFonts w:ascii="Calibri" w:hAnsi="Calibri" w:hint="eastAsia"/>
          <w:rtl/>
        </w:rPr>
        <w:t>זה</w:t>
      </w:r>
      <w:r w:rsidRPr="00541125">
        <w:rPr>
          <w:rFonts w:ascii="Calibri" w:hAnsi="Calibri"/>
          <w:rtl/>
        </w:rPr>
        <w:t xml:space="preserve">, </w:t>
      </w:r>
      <w:r w:rsidRPr="00541125">
        <w:rPr>
          <w:rFonts w:ascii="Calibri" w:hAnsi="Calibri" w:hint="eastAsia"/>
          <w:rtl/>
        </w:rPr>
        <w:t>וזאת</w:t>
      </w:r>
      <w:r w:rsidRPr="00541125">
        <w:rPr>
          <w:rFonts w:ascii="Calibri" w:hAnsi="Calibri"/>
          <w:rtl/>
        </w:rPr>
        <w:t xml:space="preserve"> </w:t>
      </w:r>
      <w:r w:rsidRPr="00541125">
        <w:rPr>
          <w:rFonts w:ascii="Calibri" w:hAnsi="Calibri" w:hint="eastAsia"/>
          <w:rtl/>
        </w:rPr>
        <w:t>מאחר</w:t>
      </w:r>
      <w:r w:rsidRPr="00541125">
        <w:rPr>
          <w:rFonts w:ascii="Calibri" w:hAnsi="Calibri"/>
          <w:rtl/>
        </w:rPr>
        <w:t xml:space="preserve"> </w:t>
      </w:r>
      <w:r w:rsidRPr="00541125">
        <w:rPr>
          <w:rFonts w:ascii="Calibri" w:hAnsi="Calibri" w:hint="eastAsia"/>
          <w:rtl/>
        </w:rPr>
        <w:t>ולטענת</w:t>
      </w:r>
      <w:r w:rsidRPr="00541125">
        <w:rPr>
          <w:rFonts w:ascii="Calibri" w:hAnsi="Calibri"/>
          <w:rtl/>
        </w:rPr>
        <w:t xml:space="preserve"> </w:t>
      </w:r>
      <w:r w:rsidRPr="00541125">
        <w:rPr>
          <w:rFonts w:ascii="Calibri" w:hAnsi="Calibri" w:hint="eastAsia"/>
          <w:rtl/>
        </w:rPr>
        <w:t>הנאשם</w:t>
      </w:r>
      <w:r w:rsidRPr="00541125">
        <w:rPr>
          <w:rFonts w:ascii="Calibri" w:hAnsi="Calibri"/>
          <w:rtl/>
        </w:rPr>
        <w:t xml:space="preserve">, </w:t>
      </w:r>
      <w:r w:rsidRPr="00541125">
        <w:rPr>
          <w:rFonts w:ascii="Calibri" w:hAnsi="Calibri" w:hint="eastAsia"/>
          <w:rtl/>
        </w:rPr>
        <w:t>בעת</w:t>
      </w:r>
      <w:r w:rsidRPr="00541125">
        <w:rPr>
          <w:rFonts w:ascii="Calibri" w:hAnsi="Calibri"/>
          <w:rtl/>
        </w:rPr>
        <w:t xml:space="preserve"> </w:t>
      </w:r>
      <w:r w:rsidRPr="00541125">
        <w:rPr>
          <w:rFonts w:ascii="Calibri" w:hAnsi="Calibri" w:hint="eastAsia"/>
          <w:rtl/>
        </w:rPr>
        <w:t>שהוצעה</w:t>
      </w:r>
      <w:r w:rsidRPr="00541125">
        <w:rPr>
          <w:rFonts w:ascii="Calibri" w:hAnsi="Calibri"/>
          <w:rtl/>
        </w:rPr>
        <w:t xml:space="preserve"> </w:t>
      </w:r>
      <w:r w:rsidRPr="00541125">
        <w:rPr>
          <w:rFonts w:ascii="Calibri" w:hAnsi="Calibri" w:hint="eastAsia"/>
          <w:rtl/>
        </w:rPr>
        <w:t>לו</w:t>
      </w:r>
      <w:r w:rsidRPr="00541125">
        <w:rPr>
          <w:rFonts w:ascii="Calibri" w:hAnsi="Calibri"/>
          <w:rtl/>
        </w:rPr>
        <w:t xml:space="preserve"> </w:t>
      </w:r>
      <w:r w:rsidRPr="00541125">
        <w:rPr>
          <w:rFonts w:ascii="Calibri" w:hAnsi="Calibri" w:hint="eastAsia"/>
          <w:rtl/>
        </w:rPr>
        <w:t>השתלבות</w:t>
      </w:r>
      <w:r w:rsidRPr="00541125">
        <w:rPr>
          <w:rFonts w:ascii="Calibri" w:hAnsi="Calibri"/>
          <w:rtl/>
        </w:rPr>
        <w:t xml:space="preserve"> </w:t>
      </w:r>
      <w:r w:rsidRPr="00541125">
        <w:rPr>
          <w:rFonts w:ascii="Calibri" w:hAnsi="Calibri" w:hint="eastAsia"/>
          <w:rtl/>
        </w:rPr>
        <w:t>בהליך</w:t>
      </w:r>
      <w:r w:rsidRPr="00541125">
        <w:rPr>
          <w:rFonts w:ascii="Calibri" w:hAnsi="Calibri"/>
          <w:rtl/>
        </w:rPr>
        <w:t xml:space="preserve"> </w:t>
      </w:r>
      <w:r w:rsidRPr="00541125">
        <w:rPr>
          <w:rFonts w:ascii="Calibri" w:hAnsi="Calibri" w:hint="eastAsia"/>
          <w:rtl/>
        </w:rPr>
        <w:t>טיפולי</w:t>
      </w:r>
      <w:r w:rsidRPr="00541125">
        <w:rPr>
          <w:rFonts w:ascii="Calibri" w:hAnsi="Calibri"/>
          <w:rtl/>
        </w:rPr>
        <w:t xml:space="preserve"> </w:t>
      </w:r>
      <w:r w:rsidRPr="00541125">
        <w:rPr>
          <w:rFonts w:ascii="Calibri" w:hAnsi="Calibri" w:hint="eastAsia"/>
          <w:rtl/>
        </w:rPr>
        <w:t>בתחום</w:t>
      </w:r>
      <w:r w:rsidRPr="00541125">
        <w:rPr>
          <w:rFonts w:ascii="Calibri" w:hAnsi="Calibri"/>
          <w:rtl/>
        </w:rPr>
        <w:t xml:space="preserve"> </w:t>
      </w:r>
      <w:r w:rsidRPr="00541125">
        <w:rPr>
          <w:rFonts w:ascii="Calibri" w:hAnsi="Calibri" w:hint="eastAsia"/>
          <w:rtl/>
        </w:rPr>
        <w:t>הסמים</w:t>
      </w:r>
      <w:r w:rsidRPr="00541125">
        <w:rPr>
          <w:rFonts w:ascii="Calibri" w:hAnsi="Calibri"/>
          <w:rtl/>
        </w:rPr>
        <w:t xml:space="preserve">, </w:t>
      </w:r>
      <w:r w:rsidRPr="00541125">
        <w:rPr>
          <w:rFonts w:ascii="Calibri" w:hAnsi="Calibri" w:hint="eastAsia"/>
          <w:rtl/>
        </w:rPr>
        <w:t>כבר</w:t>
      </w:r>
      <w:r w:rsidRPr="00541125">
        <w:rPr>
          <w:rFonts w:ascii="Calibri" w:hAnsi="Calibri"/>
          <w:rtl/>
        </w:rPr>
        <w:t xml:space="preserve"> </w:t>
      </w:r>
      <w:r w:rsidRPr="00541125">
        <w:rPr>
          <w:rFonts w:ascii="Calibri" w:hAnsi="Calibri" w:hint="eastAsia"/>
          <w:rtl/>
        </w:rPr>
        <w:t>לא</w:t>
      </w:r>
      <w:r w:rsidRPr="00541125">
        <w:rPr>
          <w:rFonts w:ascii="Calibri" w:hAnsi="Calibri"/>
          <w:rtl/>
        </w:rPr>
        <w:t xml:space="preserve"> </w:t>
      </w:r>
      <w:r w:rsidRPr="00541125">
        <w:rPr>
          <w:rFonts w:ascii="Calibri" w:hAnsi="Calibri" w:hint="eastAsia"/>
          <w:rtl/>
        </w:rPr>
        <w:t>עשה</w:t>
      </w:r>
      <w:r w:rsidRPr="00541125">
        <w:rPr>
          <w:rFonts w:ascii="Calibri" w:hAnsi="Calibri"/>
          <w:rtl/>
        </w:rPr>
        <w:t xml:space="preserve"> </w:t>
      </w:r>
      <w:r w:rsidRPr="00541125">
        <w:rPr>
          <w:rFonts w:ascii="Calibri" w:hAnsi="Calibri" w:hint="eastAsia"/>
          <w:rtl/>
        </w:rPr>
        <w:t>שימוש</w:t>
      </w:r>
      <w:r w:rsidRPr="00541125">
        <w:rPr>
          <w:rFonts w:ascii="Calibri" w:hAnsi="Calibri"/>
          <w:rtl/>
        </w:rPr>
        <w:t xml:space="preserve"> </w:t>
      </w:r>
      <w:r w:rsidRPr="00541125">
        <w:rPr>
          <w:rFonts w:ascii="Calibri" w:hAnsi="Calibri" w:hint="eastAsia"/>
          <w:rtl/>
        </w:rPr>
        <w:t>בהם</w:t>
      </w:r>
      <w:r w:rsidRPr="00541125">
        <w:rPr>
          <w:rFonts w:ascii="Calibri" w:hAnsi="Calibri"/>
          <w:rtl/>
        </w:rPr>
        <w:t xml:space="preserve"> </w:t>
      </w:r>
      <w:r w:rsidRPr="00541125">
        <w:rPr>
          <w:rFonts w:ascii="Calibri" w:hAnsi="Calibri" w:hint="eastAsia"/>
          <w:rtl/>
        </w:rPr>
        <w:t>במשך</w:t>
      </w:r>
      <w:r w:rsidRPr="00541125">
        <w:rPr>
          <w:rFonts w:ascii="Calibri" w:hAnsi="Calibri"/>
          <w:rtl/>
        </w:rPr>
        <w:t xml:space="preserve"> </w:t>
      </w:r>
      <w:r w:rsidRPr="00541125">
        <w:rPr>
          <w:rFonts w:ascii="Calibri" w:hAnsi="Calibri" w:hint="eastAsia"/>
          <w:rtl/>
        </w:rPr>
        <w:t>שנתיים</w:t>
      </w:r>
      <w:r w:rsidRPr="00541125">
        <w:rPr>
          <w:rFonts w:ascii="Calibri" w:hAnsi="Calibri"/>
          <w:rtl/>
        </w:rPr>
        <w:t>.</w:t>
      </w:r>
      <w:r w:rsidRPr="00541125">
        <w:rPr>
          <w:rFonts w:ascii="David" w:hAnsi="David"/>
          <w:rtl/>
        </w:rPr>
        <w:t xml:space="preserve"> </w:t>
      </w:r>
    </w:p>
    <w:p w14:paraId="7455C39B" w14:textId="77777777" w:rsidR="00B5770F" w:rsidRPr="00541125" w:rsidRDefault="00B5770F" w:rsidP="00B5770F">
      <w:pPr>
        <w:spacing w:line="360" w:lineRule="auto"/>
        <w:ind w:left="419"/>
        <w:contextualSpacing/>
        <w:jc w:val="both"/>
        <w:rPr>
          <w:rFonts w:ascii="Calibri" w:hAnsi="Calibri"/>
          <w:b/>
          <w:bCs/>
          <w:rtl/>
        </w:rPr>
      </w:pPr>
      <w:r w:rsidRPr="00541125">
        <w:rPr>
          <w:rFonts w:ascii="David" w:hAnsi="David"/>
          <w:rtl/>
        </w:rPr>
        <w:t xml:space="preserve">כמו כן, </w:t>
      </w:r>
      <w:r w:rsidRPr="00541125">
        <w:rPr>
          <w:rFonts w:ascii="Calibri" w:hAnsi="Calibri" w:hint="eastAsia"/>
          <w:rtl/>
        </w:rPr>
        <w:t>מ</w:t>
      </w:r>
      <w:r w:rsidRPr="00541125">
        <w:rPr>
          <w:rFonts w:ascii="Calibri" w:hAnsi="Calibri" w:hint="eastAsia"/>
          <w:b/>
          <w:bCs/>
          <w:rtl/>
        </w:rPr>
        <w:t>נ</w:t>
      </w:r>
      <w:r w:rsidRPr="00541125">
        <w:rPr>
          <w:rFonts w:ascii="Calibri" w:hAnsi="Calibri"/>
          <w:b/>
          <w:bCs/>
          <w:rtl/>
        </w:rPr>
        <w:t xml:space="preserve">/1, </w:t>
      </w:r>
      <w:r w:rsidRPr="00541125">
        <w:rPr>
          <w:rFonts w:ascii="Calibri" w:hAnsi="Calibri" w:hint="eastAsia"/>
          <w:b/>
          <w:bCs/>
          <w:rtl/>
        </w:rPr>
        <w:t>נ</w:t>
      </w:r>
      <w:r w:rsidRPr="00541125">
        <w:rPr>
          <w:rFonts w:ascii="Calibri" w:hAnsi="Calibri"/>
          <w:b/>
          <w:bCs/>
          <w:rtl/>
        </w:rPr>
        <w:t xml:space="preserve">/2 </w:t>
      </w:r>
      <w:r w:rsidRPr="00541125">
        <w:rPr>
          <w:rFonts w:ascii="Calibri" w:hAnsi="Calibri" w:hint="eastAsia"/>
          <w:rtl/>
        </w:rPr>
        <w:t>ו</w:t>
      </w:r>
      <w:r w:rsidRPr="00541125">
        <w:rPr>
          <w:rFonts w:ascii="Calibri" w:hAnsi="Calibri"/>
          <w:rtl/>
        </w:rPr>
        <w:t>-</w:t>
      </w:r>
      <w:r w:rsidRPr="00541125">
        <w:rPr>
          <w:rFonts w:ascii="Calibri" w:hAnsi="Calibri" w:hint="eastAsia"/>
          <w:b/>
          <w:bCs/>
          <w:rtl/>
        </w:rPr>
        <w:t>נ</w:t>
      </w:r>
      <w:r w:rsidRPr="00541125">
        <w:rPr>
          <w:rFonts w:ascii="Calibri" w:hAnsi="Calibri"/>
          <w:b/>
          <w:bCs/>
          <w:rtl/>
        </w:rPr>
        <w:t xml:space="preserve">/3 </w:t>
      </w:r>
      <w:r w:rsidRPr="00541125">
        <w:rPr>
          <w:rFonts w:ascii="Calibri" w:hAnsi="Calibri" w:hint="eastAsia"/>
          <w:rtl/>
        </w:rPr>
        <w:t>עולה</w:t>
      </w:r>
      <w:r w:rsidRPr="00541125">
        <w:rPr>
          <w:rFonts w:ascii="Calibri" w:hAnsi="Calibri"/>
          <w:rtl/>
        </w:rPr>
        <w:t xml:space="preserve"> </w:t>
      </w:r>
      <w:r w:rsidRPr="00541125">
        <w:rPr>
          <w:rFonts w:ascii="Calibri" w:hAnsi="Calibri" w:hint="eastAsia"/>
          <w:rtl/>
        </w:rPr>
        <w:t>כי</w:t>
      </w:r>
      <w:r w:rsidRPr="00541125">
        <w:rPr>
          <w:rFonts w:ascii="Calibri" w:hAnsi="Calibri"/>
          <w:rtl/>
        </w:rPr>
        <w:t xml:space="preserve"> </w:t>
      </w:r>
      <w:r w:rsidRPr="00541125">
        <w:rPr>
          <w:rFonts w:ascii="Calibri" w:hAnsi="Calibri" w:hint="eastAsia"/>
          <w:rtl/>
        </w:rPr>
        <w:t>הנאשם</w:t>
      </w:r>
      <w:r w:rsidRPr="00541125">
        <w:rPr>
          <w:rFonts w:ascii="Calibri" w:hAnsi="Calibri"/>
          <w:rtl/>
        </w:rPr>
        <w:t xml:space="preserve"> </w:t>
      </w:r>
      <w:r w:rsidRPr="00541125">
        <w:rPr>
          <w:rFonts w:ascii="Calibri" w:hAnsi="Calibri" w:hint="eastAsia"/>
          <w:rtl/>
        </w:rPr>
        <w:t>משולב</w:t>
      </w:r>
      <w:r w:rsidRPr="00541125">
        <w:rPr>
          <w:rFonts w:ascii="Calibri" w:hAnsi="Calibri"/>
          <w:rtl/>
        </w:rPr>
        <w:t xml:space="preserve"> </w:t>
      </w:r>
      <w:r w:rsidRPr="00541125">
        <w:rPr>
          <w:rFonts w:ascii="Calibri" w:hAnsi="Calibri" w:hint="eastAsia"/>
          <w:rtl/>
        </w:rPr>
        <w:t>היטב</w:t>
      </w:r>
      <w:r w:rsidRPr="00541125">
        <w:rPr>
          <w:rFonts w:ascii="Calibri" w:hAnsi="Calibri"/>
          <w:rtl/>
        </w:rPr>
        <w:t xml:space="preserve"> </w:t>
      </w:r>
      <w:r w:rsidRPr="00541125">
        <w:rPr>
          <w:rFonts w:ascii="Calibri" w:hAnsi="Calibri" w:hint="eastAsia"/>
          <w:rtl/>
        </w:rPr>
        <w:t>בתעסוקה</w:t>
      </w:r>
      <w:r w:rsidRPr="00541125">
        <w:rPr>
          <w:rFonts w:ascii="Calibri" w:hAnsi="Calibri"/>
          <w:rtl/>
        </w:rPr>
        <w:t xml:space="preserve"> - </w:t>
      </w:r>
      <w:r w:rsidRPr="00541125">
        <w:rPr>
          <w:rFonts w:ascii="Calibri" w:hAnsi="Calibri" w:hint="eastAsia"/>
          <w:rtl/>
        </w:rPr>
        <w:t>מועסק</w:t>
      </w:r>
      <w:r w:rsidRPr="00541125">
        <w:rPr>
          <w:rFonts w:ascii="Calibri" w:hAnsi="Calibri"/>
          <w:rtl/>
        </w:rPr>
        <w:t xml:space="preserve"> </w:t>
      </w:r>
      <w:r w:rsidRPr="00541125">
        <w:rPr>
          <w:rFonts w:ascii="Calibri" w:hAnsi="Calibri" w:hint="eastAsia"/>
          <w:rtl/>
        </w:rPr>
        <w:t>באותו</w:t>
      </w:r>
      <w:r w:rsidRPr="00541125">
        <w:rPr>
          <w:rFonts w:ascii="Calibri" w:hAnsi="Calibri"/>
          <w:rtl/>
        </w:rPr>
        <w:t xml:space="preserve"> </w:t>
      </w:r>
      <w:r w:rsidRPr="00541125">
        <w:rPr>
          <w:rFonts w:ascii="Calibri" w:hAnsi="Calibri" w:hint="eastAsia"/>
          <w:rtl/>
        </w:rPr>
        <w:t>מקום</w:t>
      </w:r>
      <w:r w:rsidRPr="00541125">
        <w:rPr>
          <w:rFonts w:ascii="Calibri" w:hAnsi="Calibri"/>
          <w:rtl/>
        </w:rPr>
        <w:t xml:space="preserve"> </w:t>
      </w:r>
      <w:r w:rsidRPr="00541125">
        <w:rPr>
          <w:rFonts w:ascii="Calibri" w:hAnsi="Calibri" w:hint="eastAsia"/>
          <w:rtl/>
        </w:rPr>
        <w:t>עבודה</w:t>
      </w:r>
      <w:r w:rsidRPr="00541125">
        <w:rPr>
          <w:rFonts w:ascii="Calibri" w:hAnsi="Calibri"/>
          <w:rtl/>
        </w:rPr>
        <w:t xml:space="preserve"> </w:t>
      </w:r>
      <w:r w:rsidRPr="00541125">
        <w:rPr>
          <w:rFonts w:ascii="Calibri" w:hAnsi="Calibri" w:hint="eastAsia"/>
          <w:rtl/>
        </w:rPr>
        <w:t>מחודש</w:t>
      </w:r>
      <w:r w:rsidRPr="00541125">
        <w:rPr>
          <w:rFonts w:ascii="Calibri" w:hAnsi="Calibri"/>
          <w:rtl/>
        </w:rPr>
        <w:t xml:space="preserve"> </w:t>
      </w:r>
      <w:r w:rsidRPr="00541125">
        <w:rPr>
          <w:rFonts w:ascii="Calibri" w:hAnsi="Calibri" w:hint="eastAsia"/>
          <w:rtl/>
        </w:rPr>
        <w:t>יוני</w:t>
      </w:r>
      <w:r w:rsidRPr="00541125">
        <w:rPr>
          <w:rFonts w:ascii="Calibri" w:hAnsi="Calibri"/>
          <w:rtl/>
        </w:rPr>
        <w:t xml:space="preserve"> 2010, </w:t>
      </w:r>
      <w:r w:rsidRPr="00541125">
        <w:rPr>
          <w:rFonts w:ascii="Calibri" w:hAnsi="Calibri" w:hint="eastAsia"/>
          <w:rtl/>
        </w:rPr>
        <w:t>וכי</w:t>
      </w:r>
      <w:r w:rsidRPr="00541125">
        <w:rPr>
          <w:rFonts w:ascii="Calibri" w:hAnsi="Calibri"/>
          <w:rtl/>
        </w:rPr>
        <w:t xml:space="preserve"> </w:t>
      </w:r>
      <w:r w:rsidRPr="00541125">
        <w:rPr>
          <w:rFonts w:ascii="Calibri" w:hAnsi="Calibri" w:hint="eastAsia"/>
          <w:rtl/>
        </w:rPr>
        <w:t>מבצע</w:t>
      </w:r>
      <w:r w:rsidRPr="00541125">
        <w:rPr>
          <w:rFonts w:ascii="Calibri" w:hAnsi="Calibri"/>
          <w:rtl/>
        </w:rPr>
        <w:t xml:space="preserve"> </w:t>
      </w:r>
      <w:r w:rsidRPr="00541125">
        <w:rPr>
          <w:rFonts w:ascii="Calibri" w:hAnsi="Calibri" w:hint="eastAsia"/>
          <w:rtl/>
        </w:rPr>
        <w:t>את</w:t>
      </w:r>
      <w:r w:rsidRPr="00541125">
        <w:rPr>
          <w:rFonts w:ascii="Calibri" w:hAnsi="Calibri"/>
          <w:rtl/>
        </w:rPr>
        <w:t xml:space="preserve"> </w:t>
      </w:r>
      <w:r w:rsidRPr="00541125">
        <w:rPr>
          <w:rFonts w:ascii="Calibri" w:hAnsi="Calibri" w:hint="eastAsia"/>
          <w:rtl/>
        </w:rPr>
        <w:t>עבודתו</w:t>
      </w:r>
      <w:r w:rsidRPr="00541125">
        <w:rPr>
          <w:rFonts w:ascii="Calibri" w:hAnsi="Calibri"/>
          <w:rtl/>
        </w:rPr>
        <w:t xml:space="preserve"> </w:t>
      </w:r>
      <w:r w:rsidRPr="00541125">
        <w:rPr>
          <w:rFonts w:ascii="Calibri" w:hAnsi="Calibri" w:hint="eastAsia"/>
          <w:rtl/>
        </w:rPr>
        <w:t>ביסודיות</w:t>
      </w:r>
      <w:r w:rsidRPr="00541125">
        <w:rPr>
          <w:rFonts w:ascii="Calibri" w:hAnsi="Calibri"/>
          <w:rtl/>
        </w:rPr>
        <w:t xml:space="preserve"> </w:t>
      </w:r>
      <w:r w:rsidRPr="00541125">
        <w:rPr>
          <w:rFonts w:ascii="Calibri" w:hAnsi="Calibri" w:hint="eastAsia"/>
          <w:rtl/>
        </w:rPr>
        <w:t>ולשביעות</w:t>
      </w:r>
      <w:r w:rsidRPr="00541125">
        <w:rPr>
          <w:rFonts w:ascii="Calibri" w:hAnsi="Calibri"/>
          <w:rtl/>
        </w:rPr>
        <w:t xml:space="preserve"> </w:t>
      </w:r>
      <w:r w:rsidRPr="00541125">
        <w:rPr>
          <w:rFonts w:ascii="Calibri" w:hAnsi="Calibri" w:hint="eastAsia"/>
          <w:rtl/>
        </w:rPr>
        <w:t>רצונו</w:t>
      </w:r>
      <w:r w:rsidRPr="00541125">
        <w:rPr>
          <w:rFonts w:ascii="Calibri" w:hAnsi="Calibri"/>
          <w:rtl/>
        </w:rPr>
        <w:t xml:space="preserve"> </w:t>
      </w:r>
      <w:r w:rsidRPr="00541125">
        <w:rPr>
          <w:rFonts w:ascii="Calibri" w:hAnsi="Calibri" w:hint="eastAsia"/>
          <w:rtl/>
        </w:rPr>
        <w:t>של</w:t>
      </w:r>
      <w:r w:rsidRPr="00541125">
        <w:rPr>
          <w:rFonts w:ascii="Calibri" w:hAnsi="Calibri"/>
          <w:rtl/>
        </w:rPr>
        <w:t xml:space="preserve"> </w:t>
      </w:r>
      <w:r w:rsidRPr="00541125">
        <w:rPr>
          <w:rFonts w:ascii="Calibri" w:hAnsi="Calibri" w:hint="eastAsia"/>
          <w:rtl/>
        </w:rPr>
        <w:t>מעסיקו</w:t>
      </w:r>
      <w:r w:rsidRPr="00541125">
        <w:rPr>
          <w:rFonts w:ascii="Calibri" w:hAnsi="Calibri"/>
          <w:rtl/>
        </w:rPr>
        <w:t>.</w:t>
      </w:r>
    </w:p>
    <w:p w14:paraId="193E1975" w14:textId="77777777" w:rsidR="00B5770F" w:rsidRPr="00541125" w:rsidRDefault="00B5770F" w:rsidP="00B5770F">
      <w:pPr>
        <w:spacing w:line="360" w:lineRule="auto"/>
        <w:ind w:left="419"/>
        <w:contextualSpacing/>
        <w:jc w:val="both"/>
        <w:rPr>
          <w:rFonts w:ascii="Calibri" w:hAnsi="Calibri"/>
          <w:b/>
          <w:bCs/>
        </w:rPr>
      </w:pPr>
    </w:p>
    <w:p w14:paraId="7E6352A0" w14:textId="77777777" w:rsidR="00B5770F" w:rsidRPr="00541125" w:rsidRDefault="00B5770F" w:rsidP="00B5770F">
      <w:pPr>
        <w:numPr>
          <w:ilvl w:val="0"/>
          <w:numId w:val="2"/>
        </w:numPr>
        <w:spacing w:line="360" w:lineRule="auto"/>
        <w:ind w:left="419" w:hanging="357"/>
        <w:contextualSpacing/>
        <w:jc w:val="both"/>
        <w:rPr>
          <w:rFonts w:ascii="Calibri" w:hAnsi="Calibri"/>
          <w:b/>
          <w:bCs/>
          <w:rtl/>
        </w:rPr>
      </w:pPr>
      <w:r w:rsidRPr="00541125">
        <w:rPr>
          <w:rFonts w:ascii="Calibri" w:hAnsi="Calibri" w:hint="eastAsia"/>
          <w:b/>
          <w:bCs/>
          <w:rtl/>
        </w:rPr>
        <w:t>נסיבות</w:t>
      </w:r>
      <w:r w:rsidRPr="00541125">
        <w:rPr>
          <w:rFonts w:ascii="Calibri" w:hAnsi="Calibri"/>
          <w:b/>
          <w:bCs/>
          <w:rtl/>
        </w:rPr>
        <w:t xml:space="preserve"> </w:t>
      </w:r>
      <w:r w:rsidRPr="00541125">
        <w:rPr>
          <w:rFonts w:ascii="Calibri" w:hAnsi="Calibri" w:hint="eastAsia"/>
          <w:b/>
          <w:bCs/>
          <w:rtl/>
        </w:rPr>
        <w:t>חיים</w:t>
      </w:r>
      <w:r w:rsidRPr="00541125">
        <w:rPr>
          <w:rFonts w:ascii="Calibri" w:hAnsi="Calibri"/>
          <w:b/>
          <w:bCs/>
          <w:rtl/>
        </w:rPr>
        <w:t xml:space="preserve"> </w:t>
      </w:r>
      <w:r w:rsidRPr="00541125">
        <w:rPr>
          <w:rFonts w:ascii="Calibri" w:hAnsi="Calibri" w:hint="eastAsia"/>
          <w:b/>
          <w:bCs/>
          <w:rtl/>
        </w:rPr>
        <w:t>שהייתה</w:t>
      </w:r>
      <w:r w:rsidRPr="00541125">
        <w:rPr>
          <w:rFonts w:ascii="Calibri" w:hAnsi="Calibri"/>
          <w:b/>
          <w:bCs/>
          <w:rtl/>
        </w:rPr>
        <w:t xml:space="preserve"> </w:t>
      </w:r>
      <w:r w:rsidRPr="00541125">
        <w:rPr>
          <w:rFonts w:ascii="Calibri" w:hAnsi="Calibri" w:hint="eastAsia"/>
          <w:b/>
          <w:bCs/>
          <w:rtl/>
        </w:rPr>
        <w:t>להן</w:t>
      </w:r>
      <w:r w:rsidRPr="00541125">
        <w:rPr>
          <w:rFonts w:ascii="Calibri" w:hAnsi="Calibri"/>
          <w:b/>
          <w:bCs/>
          <w:rtl/>
        </w:rPr>
        <w:t xml:space="preserve"> </w:t>
      </w:r>
      <w:r w:rsidRPr="00541125">
        <w:rPr>
          <w:rFonts w:ascii="Calibri" w:hAnsi="Calibri" w:hint="eastAsia"/>
          <w:b/>
          <w:bCs/>
          <w:rtl/>
        </w:rPr>
        <w:t>השפעה</w:t>
      </w:r>
      <w:r w:rsidRPr="00541125">
        <w:rPr>
          <w:rFonts w:ascii="Calibri" w:hAnsi="Calibri"/>
          <w:b/>
          <w:bCs/>
          <w:rtl/>
        </w:rPr>
        <w:t xml:space="preserve"> </w:t>
      </w:r>
      <w:r w:rsidRPr="00541125">
        <w:rPr>
          <w:rFonts w:ascii="Calibri" w:hAnsi="Calibri" w:hint="eastAsia"/>
          <w:b/>
          <w:bCs/>
          <w:rtl/>
        </w:rPr>
        <w:t>על</w:t>
      </w:r>
      <w:r w:rsidRPr="00541125">
        <w:rPr>
          <w:rFonts w:ascii="Calibri" w:hAnsi="Calibri"/>
          <w:b/>
          <w:bCs/>
          <w:rtl/>
        </w:rPr>
        <w:t xml:space="preserve"> </w:t>
      </w:r>
      <w:r w:rsidRPr="00541125">
        <w:rPr>
          <w:rFonts w:ascii="Calibri" w:hAnsi="Calibri" w:hint="eastAsia"/>
          <w:b/>
          <w:bCs/>
          <w:rtl/>
        </w:rPr>
        <w:t>ביצוע</w:t>
      </w:r>
      <w:r w:rsidRPr="00541125">
        <w:rPr>
          <w:rFonts w:ascii="Calibri" w:hAnsi="Calibri"/>
          <w:b/>
          <w:bCs/>
          <w:rtl/>
        </w:rPr>
        <w:t xml:space="preserve"> </w:t>
      </w:r>
      <w:r w:rsidRPr="00541125">
        <w:rPr>
          <w:rFonts w:ascii="Calibri" w:hAnsi="Calibri" w:hint="eastAsia"/>
          <w:b/>
          <w:bCs/>
          <w:rtl/>
        </w:rPr>
        <w:t>מעשה</w:t>
      </w:r>
      <w:r w:rsidRPr="00541125">
        <w:rPr>
          <w:rFonts w:ascii="Calibri" w:hAnsi="Calibri"/>
          <w:b/>
          <w:bCs/>
          <w:rtl/>
        </w:rPr>
        <w:t xml:space="preserve"> </w:t>
      </w:r>
      <w:r w:rsidRPr="00541125">
        <w:rPr>
          <w:rFonts w:ascii="Calibri" w:hAnsi="Calibri" w:hint="eastAsia"/>
          <w:b/>
          <w:bCs/>
          <w:rtl/>
        </w:rPr>
        <w:t>העבירה</w:t>
      </w:r>
      <w:r w:rsidRPr="00541125">
        <w:rPr>
          <w:rFonts w:ascii="Calibri" w:hAnsi="Calibri"/>
          <w:b/>
          <w:bCs/>
          <w:rtl/>
        </w:rPr>
        <w:t xml:space="preserve"> -</w:t>
      </w:r>
      <w:r w:rsidRPr="00541125">
        <w:rPr>
          <w:rFonts w:ascii="Calibri" w:hAnsi="Calibri"/>
          <w:rtl/>
        </w:rPr>
        <w:t xml:space="preserve"> </w:t>
      </w:r>
      <w:r w:rsidRPr="00541125">
        <w:rPr>
          <w:rFonts w:ascii="Calibri" w:hAnsi="Calibri" w:hint="eastAsia"/>
          <w:rtl/>
        </w:rPr>
        <w:t>לטענת</w:t>
      </w:r>
      <w:r w:rsidRPr="00541125">
        <w:rPr>
          <w:rFonts w:ascii="Calibri" w:hAnsi="Calibri"/>
          <w:rtl/>
        </w:rPr>
        <w:t xml:space="preserve"> </w:t>
      </w:r>
      <w:r w:rsidRPr="00541125">
        <w:rPr>
          <w:rFonts w:ascii="Calibri" w:hAnsi="Calibri" w:hint="eastAsia"/>
          <w:rtl/>
        </w:rPr>
        <w:t>ב</w:t>
      </w:r>
      <w:r w:rsidRPr="00541125">
        <w:rPr>
          <w:rFonts w:ascii="Calibri" w:hAnsi="Calibri"/>
          <w:rtl/>
        </w:rPr>
        <w:t>"</w:t>
      </w:r>
      <w:r w:rsidRPr="00541125">
        <w:rPr>
          <w:rFonts w:ascii="Calibri" w:hAnsi="Calibri" w:hint="eastAsia"/>
          <w:rtl/>
        </w:rPr>
        <w:t>כ</w:t>
      </w:r>
      <w:r w:rsidRPr="00541125">
        <w:rPr>
          <w:rFonts w:ascii="Calibri" w:hAnsi="Calibri"/>
          <w:rtl/>
        </w:rPr>
        <w:t xml:space="preserve"> </w:t>
      </w:r>
      <w:r w:rsidRPr="00541125">
        <w:rPr>
          <w:rFonts w:ascii="Calibri" w:hAnsi="Calibri" w:hint="eastAsia"/>
          <w:rtl/>
        </w:rPr>
        <w:t>הנאשם</w:t>
      </w:r>
      <w:r w:rsidRPr="00541125">
        <w:rPr>
          <w:rFonts w:ascii="Calibri" w:hAnsi="Calibri"/>
          <w:rtl/>
        </w:rPr>
        <w:t xml:space="preserve"> </w:t>
      </w:r>
      <w:r w:rsidRPr="00541125">
        <w:rPr>
          <w:rFonts w:ascii="Calibri" w:hAnsi="Calibri" w:hint="eastAsia"/>
          <w:rtl/>
        </w:rPr>
        <w:t>וכפי</w:t>
      </w:r>
      <w:r w:rsidRPr="00541125">
        <w:rPr>
          <w:rFonts w:ascii="Calibri" w:hAnsi="Calibri"/>
          <w:rtl/>
        </w:rPr>
        <w:t xml:space="preserve"> </w:t>
      </w:r>
      <w:r w:rsidRPr="00541125">
        <w:rPr>
          <w:rFonts w:ascii="Calibri" w:hAnsi="Calibri" w:hint="eastAsia"/>
          <w:rtl/>
        </w:rPr>
        <w:t>שעלה</w:t>
      </w:r>
      <w:r w:rsidRPr="00541125">
        <w:rPr>
          <w:rFonts w:ascii="Calibri" w:hAnsi="Calibri"/>
          <w:rtl/>
        </w:rPr>
        <w:t xml:space="preserve"> </w:t>
      </w:r>
      <w:r w:rsidRPr="00541125">
        <w:rPr>
          <w:rFonts w:ascii="Calibri" w:hAnsi="Calibri" w:hint="eastAsia"/>
          <w:rtl/>
        </w:rPr>
        <w:t>אף</w:t>
      </w:r>
      <w:r w:rsidRPr="00541125">
        <w:rPr>
          <w:rFonts w:ascii="Calibri" w:hAnsi="Calibri"/>
          <w:rtl/>
        </w:rPr>
        <w:t xml:space="preserve"> </w:t>
      </w:r>
      <w:r w:rsidRPr="00541125">
        <w:rPr>
          <w:rFonts w:ascii="Calibri" w:hAnsi="Calibri" w:hint="eastAsia"/>
          <w:rtl/>
        </w:rPr>
        <w:t>בשיחתו</w:t>
      </w:r>
      <w:r w:rsidRPr="00541125">
        <w:rPr>
          <w:rFonts w:ascii="Calibri" w:hAnsi="Calibri"/>
          <w:rtl/>
        </w:rPr>
        <w:t xml:space="preserve"> </w:t>
      </w:r>
      <w:r w:rsidRPr="00541125">
        <w:rPr>
          <w:rFonts w:ascii="Calibri" w:hAnsi="Calibri" w:hint="eastAsia"/>
          <w:rtl/>
        </w:rPr>
        <w:t>של</w:t>
      </w:r>
      <w:r w:rsidRPr="00541125">
        <w:rPr>
          <w:rFonts w:ascii="Calibri" w:hAnsi="Calibri"/>
          <w:rtl/>
        </w:rPr>
        <w:t xml:space="preserve"> </w:t>
      </w:r>
      <w:r w:rsidRPr="00541125">
        <w:rPr>
          <w:rFonts w:ascii="Calibri" w:hAnsi="Calibri" w:hint="eastAsia"/>
          <w:rtl/>
        </w:rPr>
        <w:t>הנאשם</w:t>
      </w:r>
      <w:r w:rsidRPr="00541125">
        <w:rPr>
          <w:rFonts w:ascii="Calibri" w:hAnsi="Calibri"/>
          <w:rtl/>
        </w:rPr>
        <w:t xml:space="preserve"> </w:t>
      </w:r>
      <w:r w:rsidRPr="00541125">
        <w:rPr>
          <w:rFonts w:ascii="Calibri" w:hAnsi="Calibri" w:hint="eastAsia"/>
          <w:rtl/>
        </w:rPr>
        <w:t>עם</w:t>
      </w:r>
      <w:r w:rsidRPr="00541125">
        <w:rPr>
          <w:rFonts w:ascii="Calibri" w:hAnsi="Calibri"/>
          <w:rtl/>
        </w:rPr>
        <w:t xml:space="preserve"> </w:t>
      </w:r>
      <w:r w:rsidRPr="00541125">
        <w:rPr>
          <w:rFonts w:ascii="Calibri" w:hAnsi="Calibri" w:hint="eastAsia"/>
          <w:rtl/>
        </w:rPr>
        <w:t>שירות</w:t>
      </w:r>
      <w:r w:rsidRPr="00541125">
        <w:rPr>
          <w:rFonts w:ascii="Calibri" w:hAnsi="Calibri"/>
          <w:rtl/>
        </w:rPr>
        <w:t xml:space="preserve"> </w:t>
      </w:r>
      <w:r w:rsidRPr="00541125">
        <w:rPr>
          <w:rFonts w:ascii="Calibri" w:hAnsi="Calibri" w:hint="eastAsia"/>
          <w:rtl/>
        </w:rPr>
        <w:t>המבחן</w:t>
      </w:r>
      <w:r w:rsidRPr="00541125">
        <w:rPr>
          <w:rFonts w:ascii="Calibri" w:hAnsi="Calibri"/>
          <w:rtl/>
        </w:rPr>
        <w:t xml:space="preserve">, </w:t>
      </w:r>
      <w:r w:rsidRPr="00541125">
        <w:rPr>
          <w:rFonts w:ascii="Calibri" w:hAnsi="Calibri" w:hint="eastAsia"/>
          <w:rtl/>
        </w:rPr>
        <w:t>מעשיו</w:t>
      </w:r>
      <w:r w:rsidRPr="00541125">
        <w:rPr>
          <w:rFonts w:ascii="Calibri" w:hAnsi="Calibri"/>
          <w:rtl/>
        </w:rPr>
        <w:t xml:space="preserve"> </w:t>
      </w:r>
      <w:r w:rsidRPr="00541125">
        <w:rPr>
          <w:rFonts w:ascii="Calibri" w:hAnsi="Calibri" w:hint="eastAsia"/>
          <w:rtl/>
        </w:rPr>
        <w:t>של</w:t>
      </w:r>
      <w:r w:rsidRPr="00541125">
        <w:rPr>
          <w:rFonts w:ascii="Calibri" w:hAnsi="Calibri"/>
          <w:rtl/>
        </w:rPr>
        <w:t xml:space="preserve"> </w:t>
      </w:r>
      <w:r w:rsidRPr="00541125">
        <w:rPr>
          <w:rFonts w:ascii="Calibri" w:hAnsi="Calibri" w:hint="eastAsia"/>
          <w:rtl/>
        </w:rPr>
        <w:t>הנאשם</w:t>
      </w:r>
      <w:r w:rsidRPr="00541125">
        <w:rPr>
          <w:rFonts w:ascii="Calibri" w:hAnsi="Calibri"/>
          <w:rtl/>
        </w:rPr>
        <w:t xml:space="preserve"> </w:t>
      </w:r>
      <w:r w:rsidRPr="00541125">
        <w:rPr>
          <w:rFonts w:ascii="Calibri" w:hAnsi="Calibri" w:hint="eastAsia"/>
          <w:rtl/>
        </w:rPr>
        <w:t>בוצעו</w:t>
      </w:r>
      <w:r w:rsidRPr="00541125">
        <w:rPr>
          <w:rFonts w:ascii="Calibri" w:hAnsi="Calibri"/>
          <w:rtl/>
        </w:rPr>
        <w:t xml:space="preserve"> </w:t>
      </w:r>
      <w:r w:rsidRPr="00541125">
        <w:rPr>
          <w:rFonts w:ascii="Calibri" w:hAnsi="Calibri" w:hint="eastAsia"/>
          <w:rtl/>
        </w:rPr>
        <w:t>על</w:t>
      </w:r>
      <w:r w:rsidRPr="00541125">
        <w:rPr>
          <w:rFonts w:ascii="Calibri" w:hAnsi="Calibri"/>
          <w:rtl/>
        </w:rPr>
        <w:t xml:space="preserve"> </w:t>
      </w:r>
      <w:r w:rsidRPr="00541125">
        <w:rPr>
          <w:rFonts w:ascii="Calibri" w:hAnsi="Calibri" w:hint="eastAsia"/>
          <w:rtl/>
        </w:rPr>
        <w:t>רקע</w:t>
      </w:r>
      <w:r w:rsidRPr="00541125">
        <w:rPr>
          <w:rFonts w:ascii="Calibri" w:hAnsi="Calibri"/>
          <w:rtl/>
        </w:rPr>
        <w:t xml:space="preserve"> </w:t>
      </w:r>
      <w:r w:rsidRPr="00541125">
        <w:rPr>
          <w:rFonts w:ascii="Calibri" w:hAnsi="Calibri" w:hint="eastAsia"/>
          <w:rtl/>
        </w:rPr>
        <w:t>ניסיונו</w:t>
      </w:r>
      <w:r w:rsidRPr="00541125">
        <w:rPr>
          <w:rFonts w:ascii="Calibri" w:hAnsi="Calibri"/>
          <w:rtl/>
        </w:rPr>
        <w:t xml:space="preserve"> </w:t>
      </w:r>
      <w:r w:rsidRPr="00541125">
        <w:rPr>
          <w:rFonts w:ascii="Calibri" w:hAnsi="Calibri" w:hint="eastAsia"/>
          <w:rtl/>
        </w:rPr>
        <w:t>להפחית</w:t>
      </w:r>
      <w:r w:rsidRPr="00541125">
        <w:rPr>
          <w:rFonts w:ascii="Calibri" w:hAnsi="Calibri"/>
          <w:rtl/>
        </w:rPr>
        <w:t xml:space="preserve"> </w:t>
      </w:r>
      <w:r w:rsidRPr="00541125">
        <w:rPr>
          <w:rFonts w:ascii="Calibri" w:hAnsi="Calibri" w:hint="eastAsia"/>
          <w:rtl/>
        </w:rPr>
        <w:t>בעלויות</w:t>
      </w:r>
      <w:r w:rsidRPr="00541125">
        <w:rPr>
          <w:rFonts w:ascii="Calibri" w:hAnsi="Calibri"/>
          <w:rtl/>
        </w:rPr>
        <w:t xml:space="preserve"> </w:t>
      </w:r>
      <w:r w:rsidRPr="00541125">
        <w:rPr>
          <w:rFonts w:ascii="Calibri" w:hAnsi="Calibri" w:hint="eastAsia"/>
          <w:rtl/>
        </w:rPr>
        <w:t>החודשיות</w:t>
      </w:r>
      <w:r w:rsidRPr="00541125">
        <w:rPr>
          <w:rFonts w:ascii="Calibri" w:hAnsi="Calibri"/>
          <w:rtl/>
        </w:rPr>
        <w:t xml:space="preserve"> </w:t>
      </w:r>
      <w:r w:rsidRPr="00541125">
        <w:rPr>
          <w:rFonts w:ascii="Calibri" w:hAnsi="Calibri" w:hint="eastAsia"/>
          <w:rtl/>
        </w:rPr>
        <w:t>של</w:t>
      </w:r>
      <w:r w:rsidRPr="00541125">
        <w:rPr>
          <w:rFonts w:ascii="Calibri" w:hAnsi="Calibri"/>
          <w:rtl/>
        </w:rPr>
        <w:t xml:space="preserve"> </w:t>
      </w:r>
      <w:r w:rsidRPr="00541125">
        <w:rPr>
          <w:rFonts w:ascii="Calibri" w:hAnsi="Calibri" w:hint="eastAsia"/>
          <w:rtl/>
        </w:rPr>
        <w:t>הסמים</w:t>
      </w:r>
      <w:r w:rsidRPr="00541125">
        <w:rPr>
          <w:rFonts w:ascii="Calibri" w:hAnsi="Calibri"/>
          <w:rtl/>
        </w:rPr>
        <w:t xml:space="preserve"> </w:t>
      </w:r>
      <w:r w:rsidRPr="00541125">
        <w:rPr>
          <w:rFonts w:ascii="Calibri" w:hAnsi="Calibri" w:hint="eastAsia"/>
          <w:rtl/>
        </w:rPr>
        <w:t>אשר</w:t>
      </w:r>
      <w:r w:rsidRPr="00541125">
        <w:rPr>
          <w:rFonts w:ascii="Calibri" w:hAnsi="Calibri"/>
          <w:rtl/>
        </w:rPr>
        <w:t xml:space="preserve"> </w:t>
      </w:r>
      <w:r w:rsidRPr="00541125">
        <w:rPr>
          <w:rFonts w:ascii="Calibri" w:hAnsi="Calibri" w:hint="eastAsia"/>
          <w:rtl/>
        </w:rPr>
        <w:t>רכש</w:t>
      </w:r>
      <w:r w:rsidRPr="00541125">
        <w:rPr>
          <w:rFonts w:ascii="Calibri" w:hAnsi="Calibri"/>
          <w:rtl/>
        </w:rPr>
        <w:t xml:space="preserve"> </w:t>
      </w:r>
      <w:r w:rsidRPr="00541125">
        <w:rPr>
          <w:rFonts w:ascii="Calibri" w:hAnsi="Calibri" w:hint="eastAsia"/>
          <w:rtl/>
        </w:rPr>
        <w:t>מאז</w:t>
      </w:r>
      <w:r w:rsidRPr="00541125">
        <w:rPr>
          <w:rFonts w:ascii="Calibri" w:hAnsi="Calibri"/>
          <w:rtl/>
        </w:rPr>
        <w:t xml:space="preserve"> </w:t>
      </w:r>
      <w:r w:rsidRPr="00541125">
        <w:rPr>
          <w:rFonts w:ascii="Calibri" w:hAnsi="Calibri" w:hint="eastAsia"/>
          <w:rtl/>
        </w:rPr>
        <w:t>היה</w:t>
      </w:r>
      <w:r w:rsidRPr="00541125">
        <w:rPr>
          <w:rFonts w:ascii="Calibri" w:hAnsi="Calibri"/>
          <w:rtl/>
        </w:rPr>
        <w:t xml:space="preserve"> </w:t>
      </w:r>
      <w:r w:rsidRPr="00541125">
        <w:rPr>
          <w:rFonts w:ascii="Calibri" w:hAnsi="Calibri" w:hint="eastAsia"/>
          <w:rtl/>
        </w:rPr>
        <w:t>בן</w:t>
      </w:r>
      <w:r w:rsidRPr="00541125">
        <w:rPr>
          <w:rFonts w:ascii="Calibri" w:hAnsi="Calibri"/>
          <w:rtl/>
        </w:rPr>
        <w:t xml:space="preserve"> 17, </w:t>
      </w:r>
      <w:r w:rsidRPr="00541125">
        <w:rPr>
          <w:rFonts w:ascii="Calibri" w:hAnsi="Calibri" w:hint="eastAsia"/>
          <w:rtl/>
        </w:rPr>
        <w:t>וזאת</w:t>
      </w:r>
      <w:r w:rsidRPr="00541125">
        <w:rPr>
          <w:rFonts w:ascii="Calibri" w:hAnsi="Calibri"/>
          <w:rtl/>
        </w:rPr>
        <w:t xml:space="preserve"> </w:t>
      </w:r>
      <w:r>
        <w:rPr>
          <w:rFonts w:ascii="Calibri" w:hAnsi="Calibri" w:hint="eastAsia"/>
          <w:rtl/>
        </w:rPr>
        <w:t>לא</w:t>
      </w:r>
      <w:r>
        <w:rPr>
          <w:rFonts w:ascii="Calibri" w:hAnsi="Calibri" w:hint="cs"/>
          <w:rtl/>
        </w:rPr>
        <w:t>ו</w:t>
      </w:r>
      <w:r w:rsidRPr="00541125">
        <w:rPr>
          <w:rFonts w:ascii="Calibri" w:hAnsi="Calibri" w:hint="eastAsia"/>
          <w:rtl/>
        </w:rPr>
        <w:t>ר</w:t>
      </w:r>
      <w:r w:rsidRPr="00541125">
        <w:rPr>
          <w:rFonts w:ascii="Calibri" w:hAnsi="Calibri"/>
          <w:rtl/>
        </w:rPr>
        <w:t xml:space="preserve"> </w:t>
      </w:r>
      <w:r w:rsidRPr="00541125">
        <w:rPr>
          <w:rFonts w:ascii="Calibri" w:hAnsi="Calibri" w:hint="eastAsia"/>
          <w:rtl/>
        </w:rPr>
        <w:t>נסיבות</w:t>
      </w:r>
      <w:r w:rsidRPr="00541125">
        <w:rPr>
          <w:rFonts w:ascii="Calibri" w:hAnsi="Calibri"/>
          <w:rtl/>
        </w:rPr>
        <w:t xml:space="preserve"> </w:t>
      </w:r>
      <w:r w:rsidRPr="00541125">
        <w:rPr>
          <w:rFonts w:ascii="Calibri" w:hAnsi="Calibri" w:hint="eastAsia"/>
          <w:rtl/>
        </w:rPr>
        <w:t>חיים</w:t>
      </w:r>
      <w:r w:rsidRPr="00541125">
        <w:rPr>
          <w:rFonts w:ascii="Calibri" w:hAnsi="Calibri"/>
          <w:rtl/>
        </w:rPr>
        <w:t xml:space="preserve"> </w:t>
      </w:r>
      <w:r w:rsidRPr="00541125">
        <w:rPr>
          <w:rFonts w:ascii="Calibri" w:hAnsi="Calibri" w:hint="eastAsia"/>
          <w:rtl/>
        </w:rPr>
        <w:t>מורכבות</w:t>
      </w:r>
      <w:r w:rsidRPr="00541125">
        <w:rPr>
          <w:rFonts w:ascii="Calibri" w:hAnsi="Calibri"/>
          <w:rtl/>
        </w:rPr>
        <w:t xml:space="preserve"> </w:t>
      </w:r>
      <w:r w:rsidRPr="00541125">
        <w:rPr>
          <w:rFonts w:ascii="Calibri" w:hAnsi="Calibri" w:hint="eastAsia"/>
          <w:rtl/>
        </w:rPr>
        <w:t>כמפורט</w:t>
      </w:r>
      <w:r w:rsidRPr="00541125">
        <w:rPr>
          <w:rFonts w:ascii="Calibri" w:hAnsi="Calibri"/>
          <w:rtl/>
        </w:rPr>
        <w:t xml:space="preserve"> </w:t>
      </w:r>
      <w:r w:rsidRPr="00541125">
        <w:rPr>
          <w:rFonts w:ascii="Calibri" w:hAnsi="Calibri" w:hint="eastAsia"/>
          <w:rtl/>
        </w:rPr>
        <w:t>לעיל</w:t>
      </w:r>
      <w:r w:rsidRPr="00541125">
        <w:rPr>
          <w:rFonts w:ascii="Calibri" w:hAnsi="Calibri"/>
          <w:rtl/>
        </w:rPr>
        <w:t xml:space="preserve"> </w:t>
      </w:r>
      <w:r w:rsidRPr="00541125">
        <w:rPr>
          <w:rFonts w:ascii="Calibri" w:hAnsi="Calibri" w:hint="eastAsia"/>
          <w:rtl/>
        </w:rPr>
        <w:t>ובתסקירי</w:t>
      </w:r>
      <w:r w:rsidRPr="00541125">
        <w:rPr>
          <w:rFonts w:ascii="Calibri" w:hAnsi="Calibri"/>
          <w:rtl/>
        </w:rPr>
        <w:t xml:space="preserve"> </w:t>
      </w:r>
      <w:r w:rsidRPr="00541125">
        <w:rPr>
          <w:rFonts w:ascii="Calibri" w:hAnsi="Calibri" w:hint="eastAsia"/>
          <w:rtl/>
        </w:rPr>
        <w:t>שירות</w:t>
      </w:r>
      <w:r w:rsidRPr="00541125">
        <w:rPr>
          <w:rFonts w:ascii="Calibri" w:hAnsi="Calibri"/>
          <w:rtl/>
        </w:rPr>
        <w:t xml:space="preserve"> </w:t>
      </w:r>
      <w:r w:rsidRPr="00541125">
        <w:rPr>
          <w:rFonts w:ascii="Calibri" w:hAnsi="Calibri" w:hint="eastAsia"/>
          <w:rtl/>
        </w:rPr>
        <w:t>המבחן</w:t>
      </w:r>
      <w:r w:rsidRPr="00541125">
        <w:rPr>
          <w:rFonts w:ascii="Calibri" w:hAnsi="Calibri"/>
          <w:rtl/>
        </w:rPr>
        <w:t xml:space="preserve">. </w:t>
      </w:r>
    </w:p>
    <w:p w14:paraId="4365BC03" w14:textId="77777777" w:rsidR="00B5770F" w:rsidRPr="00541125" w:rsidRDefault="00B5770F" w:rsidP="00B5770F">
      <w:pPr>
        <w:spacing w:line="360" w:lineRule="auto"/>
        <w:ind w:left="419"/>
        <w:contextualSpacing/>
        <w:jc w:val="both"/>
        <w:rPr>
          <w:rFonts w:ascii="Calibri" w:hAnsi="Calibri"/>
          <w:b/>
          <w:bCs/>
        </w:rPr>
      </w:pPr>
    </w:p>
    <w:p w14:paraId="30EA8A8B" w14:textId="77777777" w:rsidR="00B5770F" w:rsidRPr="00541125" w:rsidRDefault="00B5770F" w:rsidP="00B5770F">
      <w:pPr>
        <w:numPr>
          <w:ilvl w:val="0"/>
          <w:numId w:val="2"/>
        </w:numPr>
        <w:spacing w:line="360" w:lineRule="auto"/>
        <w:contextualSpacing/>
        <w:jc w:val="both"/>
        <w:rPr>
          <w:rFonts w:ascii="Calibri" w:hAnsi="Calibri"/>
          <w:b/>
          <w:bCs/>
        </w:rPr>
      </w:pPr>
      <w:r w:rsidRPr="00541125">
        <w:rPr>
          <w:rFonts w:ascii="Calibri" w:hAnsi="Calibri" w:hint="eastAsia"/>
          <w:b/>
          <w:bCs/>
          <w:rtl/>
        </w:rPr>
        <w:t>חלוף</w:t>
      </w:r>
      <w:r w:rsidRPr="00541125">
        <w:rPr>
          <w:rFonts w:ascii="Calibri" w:hAnsi="Calibri"/>
          <w:b/>
          <w:bCs/>
          <w:rtl/>
        </w:rPr>
        <w:t xml:space="preserve"> </w:t>
      </w:r>
      <w:r w:rsidRPr="00541125">
        <w:rPr>
          <w:rFonts w:ascii="Calibri" w:hAnsi="Calibri" w:hint="eastAsia"/>
          <w:b/>
          <w:bCs/>
          <w:rtl/>
        </w:rPr>
        <w:t>הזמן</w:t>
      </w:r>
      <w:r w:rsidRPr="00541125">
        <w:rPr>
          <w:rFonts w:ascii="Calibri" w:hAnsi="Calibri"/>
          <w:b/>
          <w:bCs/>
          <w:rtl/>
        </w:rPr>
        <w:t xml:space="preserve"> </w:t>
      </w:r>
      <w:r w:rsidRPr="00541125">
        <w:rPr>
          <w:rFonts w:ascii="Calibri" w:hAnsi="Calibri" w:hint="eastAsia"/>
          <w:b/>
          <w:bCs/>
          <w:rtl/>
        </w:rPr>
        <w:t>מעת</w:t>
      </w:r>
      <w:r w:rsidRPr="00541125">
        <w:rPr>
          <w:rFonts w:ascii="Calibri" w:hAnsi="Calibri"/>
          <w:b/>
          <w:bCs/>
          <w:rtl/>
        </w:rPr>
        <w:t xml:space="preserve"> </w:t>
      </w:r>
      <w:r w:rsidRPr="00541125">
        <w:rPr>
          <w:rFonts w:ascii="Calibri" w:hAnsi="Calibri" w:hint="eastAsia"/>
          <w:b/>
          <w:bCs/>
          <w:rtl/>
        </w:rPr>
        <w:t>ביצוע</w:t>
      </w:r>
      <w:r w:rsidRPr="00541125">
        <w:rPr>
          <w:rFonts w:ascii="Calibri" w:hAnsi="Calibri"/>
          <w:b/>
          <w:bCs/>
          <w:rtl/>
        </w:rPr>
        <w:t xml:space="preserve"> </w:t>
      </w:r>
      <w:r w:rsidRPr="00541125">
        <w:rPr>
          <w:rFonts w:ascii="Calibri" w:hAnsi="Calibri" w:hint="eastAsia"/>
          <w:b/>
          <w:bCs/>
          <w:rtl/>
        </w:rPr>
        <w:t>העבירות</w:t>
      </w:r>
      <w:r w:rsidRPr="00541125">
        <w:rPr>
          <w:rFonts w:ascii="Calibri" w:hAnsi="Calibri"/>
          <w:b/>
          <w:bCs/>
          <w:rtl/>
        </w:rPr>
        <w:t xml:space="preserve"> – </w:t>
      </w:r>
      <w:r w:rsidRPr="00541125">
        <w:rPr>
          <w:rFonts w:ascii="Calibri" w:hAnsi="Calibri" w:hint="eastAsia"/>
          <w:rtl/>
        </w:rPr>
        <w:t>נכונה</w:t>
      </w:r>
      <w:r w:rsidRPr="00541125">
        <w:rPr>
          <w:rFonts w:ascii="Calibri" w:hAnsi="Calibri"/>
          <w:rtl/>
        </w:rPr>
        <w:t xml:space="preserve"> </w:t>
      </w:r>
      <w:r w:rsidRPr="00541125">
        <w:rPr>
          <w:rFonts w:ascii="Calibri" w:hAnsi="Calibri" w:hint="eastAsia"/>
          <w:rtl/>
        </w:rPr>
        <w:t>טענת</w:t>
      </w:r>
      <w:r w:rsidRPr="00541125">
        <w:rPr>
          <w:rFonts w:ascii="Calibri" w:hAnsi="Calibri"/>
          <w:rtl/>
        </w:rPr>
        <w:t xml:space="preserve"> </w:t>
      </w:r>
      <w:r w:rsidRPr="00541125">
        <w:rPr>
          <w:rFonts w:ascii="Calibri" w:hAnsi="Calibri" w:hint="eastAsia"/>
          <w:rtl/>
        </w:rPr>
        <w:t>ב</w:t>
      </w:r>
      <w:r w:rsidRPr="00541125">
        <w:rPr>
          <w:rFonts w:ascii="Calibri" w:hAnsi="Calibri"/>
          <w:rtl/>
        </w:rPr>
        <w:t>"</w:t>
      </w:r>
      <w:r w:rsidRPr="00541125">
        <w:rPr>
          <w:rFonts w:ascii="Calibri" w:hAnsi="Calibri" w:hint="eastAsia"/>
          <w:rtl/>
        </w:rPr>
        <w:t>כ</w:t>
      </w:r>
      <w:r w:rsidRPr="00541125">
        <w:rPr>
          <w:rFonts w:ascii="Calibri" w:hAnsi="Calibri"/>
          <w:rtl/>
        </w:rPr>
        <w:t xml:space="preserve"> </w:t>
      </w:r>
      <w:r w:rsidRPr="00541125">
        <w:rPr>
          <w:rFonts w:ascii="Calibri" w:hAnsi="Calibri" w:hint="eastAsia"/>
          <w:rtl/>
        </w:rPr>
        <w:t>הנאשם</w:t>
      </w:r>
      <w:r w:rsidRPr="00541125">
        <w:rPr>
          <w:rFonts w:ascii="Calibri" w:hAnsi="Calibri"/>
          <w:rtl/>
        </w:rPr>
        <w:t xml:space="preserve"> </w:t>
      </w:r>
      <w:r w:rsidRPr="00541125">
        <w:rPr>
          <w:rFonts w:ascii="Calibri" w:hAnsi="Calibri" w:hint="eastAsia"/>
          <w:rtl/>
        </w:rPr>
        <w:t>כי</w:t>
      </w:r>
      <w:r w:rsidRPr="00541125">
        <w:rPr>
          <w:rFonts w:ascii="Calibri" w:hAnsi="Calibri"/>
          <w:rtl/>
        </w:rPr>
        <w:t xml:space="preserve"> </w:t>
      </w:r>
      <w:r w:rsidRPr="00541125">
        <w:rPr>
          <w:rFonts w:ascii="Calibri" w:hAnsi="Calibri" w:hint="eastAsia"/>
          <w:rtl/>
        </w:rPr>
        <w:t>חלף</w:t>
      </w:r>
      <w:r w:rsidRPr="00541125">
        <w:rPr>
          <w:rFonts w:ascii="Calibri" w:hAnsi="Calibri"/>
          <w:rtl/>
        </w:rPr>
        <w:t xml:space="preserve"> </w:t>
      </w:r>
      <w:r w:rsidRPr="00541125">
        <w:rPr>
          <w:rFonts w:ascii="Calibri" w:hAnsi="Calibri" w:hint="eastAsia"/>
          <w:rtl/>
        </w:rPr>
        <w:t>זמן</w:t>
      </w:r>
      <w:r w:rsidRPr="00541125">
        <w:rPr>
          <w:rFonts w:ascii="Calibri" w:hAnsi="Calibri"/>
          <w:rtl/>
        </w:rPr>
        <w:t xml:space="preserve"> </w:t>
      </w:r>
      <w:r w:rsidRPr="00541125">
        <w:rPr>
          <w:rFonts w:ascii="Calibri" w:hAnsi="Calibri" w:hint="eastAsia"/>
          <w:rtl/>
        </w:rPr>
        <w:t>רב</w:t>
      </w:r>
      <w:r w:rsidRPr="00541125">
        <w:rPr>
          <w:rFonts w:ascii="Calibri" w:hAnsi="Calibri"/>
          <w:rtl/>
        </w:rPr>
        <w:t xml:space="preserve"> </w:t>
      </w:r>
      <w:r w:rsidRPr="00541125">
        <w:rPr>
          <w:rFonts w:ascii="Calibri" w:hAnsi="Calibri" w:hint="eastAsia"/>
          <w:rtl/>
        </w:rPr>
        <w:t>מעת</w:t>
      </w:r>
      <w:r w:rsidRPr="00541125">
        <w:rPr>
          <w:rFonts w:ascii="Calibri" w:hAnsi="Calibri"/>
          <w:rtl/>
        </w:rPr>
        <w:t xml:space="preserve"> </w:t>
      </w:r>
      <w:r w:rsidRPr="00541125">
        <w:rPr>
          <w:rFonts w:ascii="Calibri" w:hAnsi="Calibri" w:hint="eastAsia"/>
          <w:rtl/>
        </w:rPr>
        <w:t>ביצוע</w:t>
      </w:r>
      <w:r w:rsidRPr="00541125">
        <w:rPr>
          <w:rFonts w:ascii="Calibri" w:hAnsi="Calibri"/>
          <w:rtl/>
        </w:rPr>
        <w:t xml:space="preserve"> </w:t>
      </w:r>
      <w:r w:rsidRPr="00541125">
        <w:rPr>
          <w:rFonts w:ascii="Calibri" w:hAnsi="Calibri" w:hint="eastAsia"/>
          <w:rtl/>
        </w:rPr>
        <w:t>העבירות</w:t>
      </w:r>
      <w:r w:rsidRPr="00541125">
        <w:rPr>
          <w:rFonts w:ascii="Calibri" w:hAnsi="Calibri"/>
          <w:rtl/>
        </w:rPr>
        <w:t xml:space="preserve"> </w:t>
      </w:r>
      <w:r w:rsidRPr="00541125">
        <w:rPr>
          <w:rFonts w:ascii="Calibri" w:hAnsi="Calibri" w:hint="eastAsia"/>
          <w:rtl/>
        </w:rPr>
        <w:t>עד</w:t>
      </w:r>
      <w:r w:rsidRPr="00541125">
        <w:rPr>
          <w:rFonts w:ascii="Calibri" w:hAnsi="Calibri"/>
          <w:rtl/>
        </w:rPr>
        <w:t xml:space="preserve"> </w:t>
      </w:r>
      <w:r w:rsidRPr="00541125">
        <w:rPr>
          <w:rFonts w:ascii="Calibri" w:hAnsi="Calibri" w:hint="eastAsia"/>
          <w:rtl/>
        </w:rPr>
        <w:t>גזירת</w:t>
      </w:r>
      <w:r w:rsidRPr="00541125">
        <w:rPr>
          <w:rFonts w:ascii="Calibri" w:hAnsi="Calibri"/>
          <w:rtl/>
        </w:rPr>
        <w:t xml:space="preserve"> </w:t>
      </w:r>
      <w:r w:rsidRPr="00541125">
        <w:rPr>
          <w:rFonts w:ascii="Calibri" w:hAnsi="Calibri" w:hint="eastAsia"/>
          <w:rtl/>
        </w:rPr>
        <w:t>דינו</w:t>
      </w:r>
      <w:r w:rsidRPr="00541125">
        <w:rPr>
          <w:rFonts w:ascii="Calibri" w:hAnsi="Calibri"/>
          <w:rtl/>
        </w:rPr>
        <w:t xml:space="preserve"> </w:t>
      </w:r>
      <w:r w:rsidRPr="00541125">
        <w:rPr>
          <w:rFonts w:ascii="Calibri" w:hAnsi="Calibri" w:hint="eastAsia"/>
          <w:rtl/>
        </w:rPr>
        <w:t>של</w:t>
      </w:r>
      <w:r w:rsidRPr="00541125">
        <w:rPr>
          <w:rFonts w:ascii="Calibri" w:hAnsi="Calibri"/>
          <w:rtl/>
        </w:rPr>
        <w:t xml:space="preserve"> </w:t>
      </w:r>
      <w:r w:rsidRPr="00541125">
        <w:rPr>
          <w:rFonts w:ascii="Calibri" w:hAnsi="Calibri" w:hint="eastAsia"/>
          <w:rtl/>
        </w:rPr>
        <w:t>הנאשם</w:t>
      </w:r>
      <w:r w:rsidRPr="00541125">
        <w:rPr>
          <w:rFonts w:ascii="Calibri" w:hAnsi="Calibri"/>
          <w:rtl/>
        </w:rPr>
        <w:t xml:space="preserve">. </w:t>
      </w:r>
      <w:r w:rsidRPr="00541125">
        <w:rPr>
          <w:rFonts w:ascii="Calibri" w:hAnsi="Calibri" w:hint="eastAsia"/>
          <w:rtl/>
        </w:rPr>
        <w:t>עם</w:t>
      </w:r>
      <w:r w:rsidRPr="00541125">
        <w:rPr>
          <w:rFonts w:ascii="Calibri" w:hAnsi="Calibri"/>
          <w:rtl/>
        </w:rPr>
        <w:t xml:space="preserve"> </w:t>
      </w:r>
      <w:r w:rsidRPr="00541125">
        <w:rPr>
          <w:rFonts w:ascii="Calibri" w:hAnsi="Calibri" w:hint="eastAsia"/>
          <w:rtl/>
        </w:rPr>
        <w:t>זאת</w:t>
      </w:r>
      <w:r w:rsidRPr="00541125">
        <w:rPr>
          <w:rFonts w:ascii="Calibri" w:hAnsi="Calibri"/>
          <w:rtl/>
        </w:rPr>
        <w:t xml:space="preserve">, </w:t>
      </w:r>
      <w:r w:rsidRPr="00541125">
        <w:rPr>
          <w:rFonts w:ascii="Calibri" w:hAnsi="Calibri" w:hint="eastAsia"/>
          <w:rtl/>
        </w:rPr>
        <w:t>אין</w:t>
      </w:r>
      <w:r w:rsidRPr="00541125">
        <w:rPr>
          <w:rFonts w:ascii="Calibri" w:hAnsi="Calibri"/>
          <w:rtl/>
        </w:rPr>
        <w:t xml:space="preserve"> </w:t>
      </w:r>
      <w:r w:rsidRPr="00541125">
        <w:rPr>
          <w:rFonts w:ascii="Calibri" w:hAnsi="Calibri" w:hint="eastAsia"/>
          <w:rtl/>
        </w:rPr>
        <w:t>לזקוף</w:t>
      </w:r>
      <w:r w:rsidRPr="00541125">
        <w:rPr>
          <w:rFonts w:ascii="Calibri" w:hAnsi="Calibri"/>
          <w:rtl/>
        </w:rPr>
        <w:t xml:space="preserve"> </w:t>
      </w:r>
      <w:r w:rsidRPr="00541125">
        <w:rPr>
          <w:rFonts w:ascii="David" w:hAnsi="David"/>
          <w:rtl/>
        </w:rPr>
        <w:t xml:space="preserve">נתון זה להתנהלות המאשימה או התנהלות בית המשפט. </w:t>
      </w:r>
    </w:p>
    <w:p w14:paraId="30D1CCF7" w14:textId="77777777" w:rsidR="00B5770F" w:rsidRPr="00541125" w:rsidRDefault="00B5770F" w:rsidP="00B5770F">
      <w:pPr>
        <w:spacing w:line="360" w:lineRule="auto"/>
        <w:ind w:left="420"/>
        <w:contextualSpacing/>
        <w:jc w:val="both"/>
        <w:rPr>
          <w:rFonts w:ascii="Calibri" w:hAnsi="Calibri"/>
          <w:b/>
          <w:bCs/>
          <w:rtl/>
        </w:rPr>
      </w:pPr>
      <w:r w:rsidRPr="00541125">
        <w:rPr>
          <w:rFonts w:ascii="David" w:hAnsi="David"/>
          <w:rtl/>
        </w:rPr>
        <w:t>מועד הדיון בעניינו של הנאשם נדחה מעת לעת בהתאם לבקשות בא כוחו ובשל אי התייצבותו של הנאשם לדיונים שנקבעו בעניינו מטעמים שונים – בין אם בשל מעצרו, בין אם בשל נסיבות רפואיות, ובין אם בשל קבלת דו"ח תנועה בדרכו לבית המשפט.</w:t>
      </w:r>
    </w:p>
    <w:p w14:paraId="7BB0EABB" w14:textId="77777777" w:rsidR="00B5770F" w:rsidRPr="00541125" w:rsidRDefault="00B5770F" w:rsidP="00B5770F">
      <w:pPr>
        <w:spacing w:line="360" w:lineRule="auto"/>
        <w:ind w:left="420"/>
        <w:contextualSpacing/>
        <w:jc w:val="both"/>
        <w:rPr>
          <w:rFonts w:ascii="David" w:hAnsi="David"/>
          <w:rtl/>
        </w:rPr>
      </w:pPr>
      <w:r w:rsidRPr="00541125">
        <w:rPr>
          <w:rFonts w:ascii="David" w:hAnsi="David"/>
          <w:rtl/>
        </w:rPr>
        <w:t xml:space="preserve">משכך, לא מצאתי כי יש לתת משקל משמעותי לשיקול זה בעת גזרת עונשו של הנאשם. </w:t>
      </w:r>
    </w:p>
    <w:p w14:paraId="4D2A0151" w14:textId="77777777" w:rsidR="00B5770F" w:rsidRPr="00541125" w:rsidRDefault="00B5770F" w:rsidP="00B5770F">
      <w:pPr>
        <w:spacing w:line="360" w:lineRule="auto"/>
        <w:ind w:left="419"/>
        <w:contextualSpacing/>
        <w:jc w:val="both"/>
        <w:rPr>
          <w:rFonts w:ascii="Calibri" w:hAnsi="Calibri"/>
          <w:b/>
          <w:bCs/>
        </w:rPr>
      </w:pPr>
    </w:p>
    <w:p w14:paraId="5F816427" w14:textId="77777777" w:rsidR="00B5770F" w:rsidRPr="00541125" w:rsidRDefault="00B5770F" w:rsidP="00B5770F">
      <w:pPr>
        <w:numPr>
          <w:ilvl w:val="0"/>
          <w:numId w:val="2"/>
        </w:numPr>
        <w:spacing w:line="360" w:lineRule="auto"/>
        <w:ind w:left="419" w:hanging="357"/>
        <w:contextualSpacing/>
        <w:jc w:val="both"/>
        <w:rPr>
          <w:rFonts w:ascii="Calibri" w:hAnsi="Calibri"/>
          <w:b/>
          <w:bCs/>
        </w:rPr>
      </w:pPr>
      <w:r w:rsidRPr="00541125">
        <w:rPr>
          <w:rFonts w:ascii="Calibri" w:hAnsi="Calibri" w:hint="eastAsia"/>
          <w:b/>
          <w:bCs/>
          <w:rtl/>
        </w:rPr>
        <w:t>עברו</w:t>
      </w:r>
      <w:r w:rsidRPr="00541125">
        <w:rPr>
          <w:rFonts w:ascii="Calibri" w:hAnsi="Calibri"/>
          <w:b/>
          <w:bCs/>
          <w:rtl/>
        </w:rPr>
        <w:t xml:space="preserve"> </w:t>
      </w:r>
      <w:r w:rsidRPr="00541125">
        <w:rPr>
          <w:rFonts w:ascii="Calibri" w:hAnsi="Calibri" w:hint="eastAsia"/>
          <w:b/>
          <w:bCs/>
          <w:rtl/>
        </w:rPr>
        <w:t>הפלילי</w:t>
      </w:r>
      <w:r w:rsidRPr="00541125">
        <w:rPr>
          <w:rFonts w:ascii="Calibri" w:hAnsi="Calibri"/>
          <w:b/>
          <w:bCs/>
          <w:rtl/>
        </w:rPr>
        <w:t xml:space="preserve"> </w:t>
      </w:r>
      <w:r w:rsidRPr="00541125">
        <w:rPr>
          <w:rFonts w:ascii="Calibri" w:hAnsi="Calibri" w:hint="eastAsia"/>
          <w:b/>
          <w:bCs/>
          <w:rtl/>
        </w:rPr>
        <w:t>של</w:t>
      </w:r>
      <w:r w:rsidRPr="00541125">
        <w:rPr>
          <w:rFonts w:ascii="Calibri" w:hAnsi="Calibri"/>
          <w:b/>
          <w:bCs/>
          <w:rtl/>
        </w:rPr>
        <w:t xml:space="preserve"> </w:t>
      </w:r>
      <w:r w:rsidRPr="00541125">
        <w:rPr>
          <w:rFonts w:ascii="Calibri" w:hAnsi="Calibri" w:hint="eastAsia"/>
          <w:b/>
          <w:bCs/>
          <w:rtl/>
        </w:rPr>
        <w:t>הנאשם</w:t>
      </w:r>
      <w:r w:rsidRPr="00541125">
        <w:rPr>
          <w:rFonts w:ascii="Calibri" w:hAnsi="Calibri"/>
          <w:b/>
          <w:bCs/>
          <w:rtl/>
        </w:rPr>
        <w:t xml:space="preserve"> </w:t>
      </w:r>
      <w:r w:rsidRPr="00541125">
        <w:rPr>
          <w:rFonts w:ascii="Calibri" w:hAnsi="Calibri" w:hint="eastAsia"/>
          <w:b/>
          <w:bCs/>
          <w:rtl/>
        </w:rPr>
        <w:t>או</w:t>
      </w:r>
      <w:r w:rsidRPr="00541125">
        <w:rPr>
          <w:rFonts w:ascii="Calibri" w:hAnsi="Calibri"/>
          <w:b/>
          <w:bCs/>
          <w:rtl/>
        </w:rPr>
        <w:t xml:space="preserve"> </w:t>
      </w:r>
      <w:r w:rsidRPr="00541125">
        <w:rPr>
          <w:rFonts w:ascii="Calibri" w:hAnsi="Calibri" w:hint="eastAsia"/>
          <w:b/>
          <w:bCs/>
          <w:rtl/>
        </w:rPr>
        <w:t>העדרו</w:t>
      </w:r>
      <w:r w:rsidRPr="00541125">
        <w:rPr>
          <w:rFonts w:ascii="Calibri" w:hAnsi="Calibri"/>
          <w:b/>
          <w:bCs/>
          <w:rtl/>
        </w:rPr>
        <w:t xml:space="preserve"> – </w:t>
      </w:r>
      <w:r w:rsidRPr="00541125">
        <w:rPr>
          <w:rFonts w:ascii="David" w:hAnsi="David"/>
          <w:rtl/>
        </w:rPr>
        <w:t>הנאשם נעדר עבר פלילי. לחובתו עבר צבאי הכולל הרשעה בגין היעדר מן השרות שלא ברשות אשר בגינה ריצה 180 ימי מאסר, ועבר תעבורתי הכולל הרשעה בגין נהיגה במהירות מופ</w:t>
      </w:r>
      <w:r>
        <w:rPr>
          <w:rFonts w:ascii="David" w:hAnsi="David"/>
          <w:rtl/>
        </w:rPr>
        <w:t xml:space="preserve">רזת, אי ציות לתמרור והסעת נוסע </w:t>
      </w:r>
      <w:r w:rsidRPr="00541125">
        <w:rPr>
          <w:rFonts w:ascii="David" w:hAnsi="David"/>
          <w:rtl/>
        </w:rPr>
        <w:t>לא חגור.</w:t>
      </w:r>
      <w:r>
        <w:rPr>
          <w:rFonts w:ascii="David" w:hAnsi="David" w:hint="cs"/>
          <w:rtl/>
        </w:rPr>
        <w:t xml:space="preserve"> עם זאת, מאז ביצוע העבירה, לא הורשע הנאשם בעבירות נוספות. </w:t>
      </w:r>
      <w:r w:rsidRPr="00541125">
        <w:rPr>
          <w:rFonts w:ascii="David" w:hAnsi="David"/>
          <w:rtl/>
        </w:rPr>
        <w:t xml:space="preserve"> </w:t>
      </w:r>
    </w:p>
    <w:p w14:paraId="01EC234F" w14:textId="77777777" w:rsidR="00B5770F" w:rsidRPr="00541125" w:rsidRDefault="00B5770F" w:rsidP="00B5770F">
      <w:pPr>
        <w:spacing w:line="360" w:lineRule="auto"/>
        <w:jc w:val="both"/>
        <w:rPr>
          <w:rFonts w:ascii="David" w:hAnsi="David"/>
          <w:rtl/>
        </w:rPr>
      </w:pPr>
    </w:p>
    <w:p w14:paraId="5B1339D5" w14:textId="77777777" w:rsidR="00B5770F" w:rsidRPr="00541125" w:rsidRDefault="00B5770F" w:rsidP="00B5770F">
      <w:pPr>
        <w:spacing w:line="360" w:lineRule="auto"/>
        <w:jc w:val="both"/>
        <w:rPr>
          <w:rFonts w:ascii="David" w:hAnsi="David"/>
          <w:rtl/>
        </w:rPr>
      </w:pPr>
      <w:r w:rsidRPr="00541125">
        <w:rPr>
          <w:rFonts w:ascii="David" w:hAnsi="David"/>
          <w:b/>
          <w:bCs/>
          <w:rtl/>
        </w:rPr>
        <w:t>16</w:t>
      </w:r>
      <w:r w:rsidRPr="00541125">
        <w:rPr>
          <w:rFonts w:ascii="David" w:hAnsi="David"/>
          <w:rtl/>
        </w:rPr>
        <w:t>. באיזון בין השיקולים השונים, כאשר לקחתי בחשבון את הודאתו של הנאשם בעבירה, את הצהרתו כי מזה מספר שנים לא עושה שימוש בסמים, את העובדה כי 2 בדיקות שתן שמסר נמצאו נקיות משרידי סם על אף התנגדותו להשתלב בהליך טיפולי, היעדר עבר פלילי, נסיבות חייו של הנאשם ואף, במידה מסוימת, את חלוף הזמן מעת ביצוע העבירה, וזאת אל מול היעדר המלצה טיפולית כאמור - שוכנעתי כי יש להטיל על הנאשם ענישה ברף הנמוך של המתחם</w:t>
      </w:r>
      <w:r>
        <w:rPr>
          <w:rFonts w:ascii="David" w:hAnsi="David" w:hint="cs"/>
          <w:rtl/>
        </w:rPr>
        <w:t>, לצד ענישה כלכלית משמעותית</w:t>
      </w:r>
      <w:r w:rsidRPr="00541125">
        <w:rPr>
          <w:rFonts w:ascii="David" w:hAnsi="David"/>
          <w:rtl/>
        </w:rPr>
        <w:t>.</w:t>
      </w:r>
    </w:p>
    <w:p w14:paraId="0B9E79B3" w14:textId="77777777" w:rsidR="00B5770F" w:rsidRPr="00541125" w:rsidRDefault="00B5770F" w:rsidP="00B5770F">
      <w:pPr>
        <w:spacing w:line="360" w:lineRule="auto"/>
        <w:jc w:val="both"/>
        <w:rPr>
          <w:rFonts w:ascii="David" w:hAnsi="David"/>
          <w:rtl/>
        </w:rPr>
      </w:pPr>
    </w:p>
    <w:p w14:paraId="59AF7FEC" w14:textId="77777777" w:rsidR="00B5770F" w:rsidRDefault="00B5770F" w:rsidP="00B5770F">
      <w:pPr>
        <w:spacing w:line="360" w:lineRule="auto"/>
        <w:jc w:val="both"/>
        <w:rPr>
          <w:rFonts w:ascii="David" w:hAnsi="David"/>
          <w:b/>
          <w:bCs/>
          <w:rtl/>
        </w:rPr>
      </w:pPr>
      <w:r w:rsidRPr="00541125">
        <w:rPr>
          <w:rFonts w:ascii="David" w:hAnsi="David"/>
          <w:b/>
          <w:bCs/>
          <w:rtl/>
        </w:rPr>
        <w:t>17</w:t>
      </w:r>
      <w:r w:rsidRPr="00541125">
        <w:rPr>
          <w:rFonts w:ascii="David" w:hAnsi="David"/>
          <w:rtl/>
        </w:rPr>
        <w:t xml:space="preserve">. </w:t>
      </w:r>
      <w:r w:rsidRPr="00541125">
        <w:rPr>
          <w:rFonts w:ascii="David" w:hAnsi="David"/>
          <w:b/>
          <w:bCs/>
          <w:rtl/>
        </w:rPr>
        <w:t>אשר על כן, אני גוזרת על הנאשם את העונשים הבאים:</w:t>
      </w:r>
    </w:p>
    <w:p w14:paraId="3CCB6DE8" w14:textId="77777777" w:rsidR="00B5770F" w:rsidRPr="00541125" w:rsidRDefault="00B5770F" w:rsidP="00B5770F">
      <w:pPr>
        <w:spacing w:line="360" w:lineRule="auto"/>
        <w:jc w:val="both"/>
        <w:rPr>
          <w:rFonts w:ascii="David" w:hAnsi="David"/>
          <w:b/>
          <w:bCs/>
          <w:rtl/>
        </w:rPr>
      </w:pPr>
    </w:p>
    <w:p w14:paraId="634429B5" w14:textId="77777777" w:rsidR="00B5770F" w:rsidRPr="00541125" w:rsidRDefault="00B5770F" w:rsidP="00B5770F">
      <w:pPr>
        <w:numPr>
          <w:ilvl w:val="0"/>
          <w:numId w:val="1"/>
        </w:numPr>
        <w:spacing w:line="360" w:lineRule="auto"/>
        <w:ind w:left="357" w:hanging="357"/>
        <w:jc w:val="both"/>
        <w:rPr>
          <w:rFonts w:ascii="David" w:hAnsi="David"/>
        </w:rPr>
      </w:pPr>
      <w:r w:rsidRPr="00541125">
        <w:rPr>
          <w:rFonts w:ascii="David" w:hAnsi="David"/>
          <w:rtl/>
        </w:rPr>
        <w:t>6 חודשי מאסר על תנאי למשך 3 שנים מהיום שלא יעבור שוב עבירה</w:t>
      </w:r>
      <w:r>
        <w:rPr>
          <w:rFonts w:ascii="David" w:hAnsi="David" w:hint="cs"/>
          <w:rtl/>
        </w:rPr>
        <w:t xml:space="preserve"> מסוג פשע</w:t>
      </w:r>
      <w:r w:rsidRPr="00541125">
        <w:rPr>
          <w:rFonts w:ascii="David" w:hAnsi="David"/>
          <w:rtl/>
        </w:rPr>
        <w:t xml:space="preserve"> לפי </w:t>
      </w:r>
      <w:hyperlink r:id="rId24" w:history="1">
        <w:r w:rsidR="00467323" w:rsidRPr="00467323">
          <w:rPr>
            <w:rFonts w:ascii="David" w:hAnsi="David"/>
            <w:b/>
            <w:bCs/>
            <w:color w:val="0000FF"/>
            <w:u w:val="single"/>
            <w:rtl/>
          </w:rPr>
          <w:t>פקודת הסמים המסוכנים</w:t>
        </w:r>
      </w:hyperlink>
      <w:r w:rsidRPr="00541125">
        <w:rPr>
          <w:rFonts w:ascii="David" w:hAnsi="David"/>
          <w:rtl/>
        </w:rPr>
        <w:t>.</w:t>
      </w:r>
    </w:p>
    <w:p w14:paraId="4900E915" w14:textId="77777777" w:rsidR="00B5770F" w:rsidRPr="00541125" w:rsidRDefault="00B5770F" w:rsidP="00B5770F">
      <w:pPr>
        <w:spacing w:line="360" w:lineRule="auto"/>
        <w:ind w:left="357"/>
        <w:jc w:val="both"/>
        <w:rPr>
          <w:rFonts w:ascii="David" w:hAnsi="David"/>
        </w:rPr>
      </w:pPr>
    </w:p>
    <w:p w14:paraId="42FAACC9" w14:textId="77777777" w:rsidR="00B5770F" w:rsidRPr="00B55AA9" w:rsidRDefault="00B5770F" w:rsidP="00B5770F">
      <w:pPr>
        <w:numPr>
          <w:ilvl w:val="0"/>
          <w:numId w:val="1"/>
        </w:numPr>
        <w:spacing w:line="360" w:lineRule="auto"/>
        <w:ind w:left="357" w:hanging="357"/>
        <w:jc w:val="both"/>
        <w:rPr>
          <w:rFonts w:ascii="David" w:hAnsi="David"/>
        </w:rPr>
      </w:pPr>
      <w:r w:rsidRPr="00541125">
        <w:rPr>
          <w:rFonts w:ascii="David" w:hAnsi="David"/>
          <w:rtl/>
        </w:rPr>
        <w:t>הנאשם יחתום על התחייבות על סך 3,000 ש"ח להימנע במשך 3 שנים מביצוע עבירה</w:t>
      </w:r>
      <w:r>
        <w:rPr>
          <w:rFonts w:ascii="David" w:hAnsi="David" w:hint="cs"/>
          <w:rtl/>
        </w:rPr>
        <w:t xml:space="preserve"> מסוג פשע</w:t>
      </w:r>
      <w:r w:rsidRPr="00541125">
        <w:rPr>
          <w:rFonts w:ascii="David" w:hAnsi="David"/>
          <w:rtl/>
        </w:rPr>
        <w:t xml:space="preserve"> לפי </w:t>
      </w:r>
      <w:hyperlink r:id="rId25" w:history="1">
        <w:r w:rsidR="00467323" w:rsidRPr="00467323">
          <w:rPr>
            <w:rFonts w:ascii="David" w:hAnsi="David"/>
            <w:b/>
            <w:bCs/>
            <w:color w:val="0000FF"/>
            <w:u w:val="single"/>
            <w:rtl/>
          </w:rPr>
          <w:t>פקודת הסמים המסוכנים</w:t>
        </w:r>
      </w:hyperlink>
      <w:r w:rsidRPr="00541125">
        <w:rPr>
          <w:rFonts w:ascii="David" w:hAnsi="David"/>
          <w:b/>
          <w:bCs/>
          <w:rtl/>
        </w:rPr>
        <w:t>.</w:t>
      </w:r>
    </w:p>
    <w:p w14:paraId="25C372EA" w14:textId="77777777" w:rsidR="00B5770F" w:rsidRPr="00541125" w:rsidRDefault="00B5770F" w:rsidP="00B5770F">
      <w:pPr>
        <w:spacing w:line="360" w:lineRule="auto"/>
        <w:ind w:left="357"/>
        <w:jc w:val="both"/>
        <w:rPr>
          <w:rFonts w:ascii="David" w:hAnsi="David"/>
        </w:rPr>
      </w:pPr>
    </w:p>
    <w:p w14:paraId="561C30F5" w14:textId="77777777" w:rsidR="00B5770F" w:rsidRPr="00541125" w:rsidRDefault="00B5770F" w:rsidP="00B5770F">
      <w:pPr>
        <w:numPr>
          <w:ilvl w:val="0"/>
          <w:numId w:val="1"/>
        </w:numPr>
        <w:spacing w:line="360" w:lineRule="auto"/>
        <w:ind w:left="357" w:hanging="357"/>
        <w:jc w:val="both"/>
        <w:rPr>
          <w:rFonts w:ascii="David" w:hAnsi="David"/>
        </w:rPr>
      </w:pPr>
      <w:r w:rsidRPr="00541125">
        <w:rPr>
          <w:rFonts w:ascii="David" w:hAnsi="David"/>
          <w:rtl/>
        </w:rPr>
        <w:t>הנאשם ישלם קנס בסך 6,000 ₪.</w:t>
      </w:r>
    </w:p>
    <w:p w14:paraId="128EF874" w14:textId="77777777" w:rsidR="00B5770F" w:rsidRPr="00541125" w:rsidRDefault="00B5770F" w:rsidP="00B5770F">
      <w:pPr>
        <w:spacing w:line="360" w:lineRule="auto"/>
        <w:ind w:left="357"/>
        <w:jc w:val="both"/>
        <w:rPr>
          <w:rFonts w:ascii="David" w:hAnsi="David"/>
          <w:rtl/>
        </w:rPr>
      </w:pPr>
      <w:r w:rsidRPr="00541125">
        <w:rPr>
          <w:rFonts w:ascii="David" w:hAnsi="David"/>
          <w:rtl/>
        </w:rPr>
        <w:t>הקנס ישולם ב-6 תשלומים שווים ורצופים.</w:t>
      </w:r>
    </w:p>
    <w:p w14:paraId="11DE3EA1" w14:textId="77777777" w:rsidR="00B5770F" w:rsidRPr="00541125" w:rsidRDefault="00B5770F" w:rsidP="00B5770F">
      <w:pPr>
        <w:spacing w:line="360" w:lineRule="auto"/>
        <w:ind w:left="357"/>
        <w:jc w:val="both"/>
        <w:rPr>
          <w:rFonts w:ascii="David" w:hAnsi="David"/>
          <w:rtl/>
        </w:rPr>
      </w:pPr>
      <w:r w:rsidRPr="00541125">
        <w:rPr>
          <w:rFonts w:ascii="David" w:hAnsi="David"/>
          <w:rtl/>
        </w:rPr>
        <w:t>תשלום ראשון בתוך 30 יום.</w:t>
      </w:r>
    </w:p>
    <w:p w14:paraId="16155AB7" w14:textId="77777777" w:rsidR="00B5770F" w:rsidRPr="00541125" w:rsidRDefault="00B5770F" w:rsidP="00B5770F">
      <w:pPr>
        <w:spacing w:line="360" w:lineRule="auto"/>
        <w:ind w:left="357"/>
        <w:jc w:val="both"/>
        <w:rPr>
          <w:rFonts w:ascii="David" w:hAnsi="David"/>
          <w:rtl/>
        </w:rPr>
      </w:pPr>
    </w:p>
    <w:p w14:paraId="4C45E91C" w14:textId="77777777" w:rsidR="00B5770F" w:rsidRPr="00541125" w:rsidRDefault="00B5770F" w:rsidP="00B5770F">
      <w:pPr>
        <w:numPr>
          <w:ilvl w:val="0"/>
          <w:numId w:val="1"/>
        </w:numPr>
        <w:spacing w:line="360" w:lineRule="auto"/>
        <w:ind w:left="357" w:hanging="357"/>
        <w:jc w:val="both"/>
        <w:rPr>
          <w:rFonts w:ascii="David" w:hAnsi="David"/>
        </w:rPr>
      </w:pPr>
      <w:r w:rsidRPr="00541125">
        <w:rPr>
          <w:rFonts w:ascii="David" w:hAnsi="David"/>
          <w:rtl/>
        </w:rPr>
        <w:t xml:space="preserve">5 חודשי פסילה על תנאי למשך </w:t>
      </w:r>
      <w:r>
        <w:rPr>
          <w:rFonts w:ascii="David" w:hAnsi="David" w:hint="cs"/>
          <w:rtl/>
        </w:rPr>
        <w:t>3 שנים</w:t>
      </w:r>
      <w:r w:rsidRPr="00541125">
        <w:rPr>
          <w:rFonts w:ascii="David" w:hAnsi="David"/>
          <w:rtl/>
        </w:rPr>
        <w:t xml:space="preserve"> מהיום שלא יעבור שוב עבירה לפי </w:t>
      </w:r>
      <w:hyperlink r:id="rId26" w:history="1">
        <w:r w:rsidR="00467323" w:rsidRPr="00467323">
          <w:rPr>
            <w:rFonts w:ascii="David" w:hAnsi="David"/>
            <w:b/>
            <w:bCs/>
            <w:color w:val="0000FF"/>
            <w:u w:val="single"/>
            <w:rtl/>
          </w:rPr>
          <w:t>פקודת הסמים המסוכנים</w:t>
        </w:r>
      </w:hyperlink>
      <w:r w:rsidRPr="00541125">
        <w:rPr>
          <w:rFonts w:ascii="David" w:hAnsi="David"/>
          <w:rtl/>
        </w:rPr>
        <w:t>.</w:t>
      </w:r>
    </w:p>
    <w:p w14:paraId="310CADB7" w14:textId="77777777" w:rsidR="00B5770F" w:rsidRPr="00541125" w:rsidRDefault="00B5770F" w:rsidP="00B5770F">
      <w:pPr>
        <w:spacing w:line="360" w:lineRule="auto"/>
        <w:jc w:val="both"/>
        <w:rPr>
          <w:rFonts w:ascii="David" w:hAnsi="David"/>
          <w:b/>
          <w:bCs/>
          <w:rtl/>
        </w:rPr>
      </w:pPr>
    </w:p>
    <w:p w14:paraId="4E711774" w14:textId="77777777" w:rsidR="00B5770F" w:rsidRPr="00541125" w:rsidRDefault="00B5770F" w:rsidP="00B5770F">
      <w:pPr>
        <w:spacing w:line="360" w:lineRule="auto"/>
        <w:jc w:val="both"/>
        <w:rPr>
          <w:rFonts w:ascii="David" w:hAnsi="David"/>
          <w:b/>
          <w:bCs/>
          <w:rtl/>
        </w:rPr>
      </w:pPr>
    </w:p>
    <w:p w14:paraId="639D8C0A" w14:textId="77777777" w:rsidR="00B5770F" w:rsidRPr="00C569B8" w:rsidRDefault="00B5770F" w:rsidP="00B5770F">
      <w:pPr>
        <w:spacing w:line="360" w:lineRule="auto"/>
        <w:rPr>
          <w:rFonts w:ascii="David" w:hAnsi="David"/>
          <w:rtl/>
        </w:rPr>
      </w:pPr>
      <w:r w:rsidRPr="00541125">
        <w:rPr>
          <w:rFonts w:ascii="David" w:hAnsi="David"/>
          <w:b/>
          <w:bCs/>
          <w:rtl/>
        </w:rPr>
        <w:t>זכות ערעור כחוק.</w:t>
      </w:r>
    </w:p>
    <w:p w14:paraId="2E123FBD" w14:textId="77777777" w:rsidR="00B5770F" w:rsidRPr="00B05847" w:rsidRDefault="00B5770F" w:rsidP="00B5770F">
      <w:pPr>
        <w:rPr>
          <w:rtl/>
        </w:rPr>
      </w:pPr>
    </w:p>
    <w:p w14:paraId="0D2402EA" w14:textId="77777777" w:rsidR="00B5770F" w:rsidRPr="00B05847" w:rsidRDefault="00B5770F" w:rsidP="00B5770F">
      <w:pPr>
        <w:rPr>
          <w:rtl/>
        </w:rPr>
      </w:pPr>
    </w:p>
    <w:p w14:paraId="399088E6" w14:textId="77777777" w:rsidR="00B5770F" w:rsidRPr="00B05847" w:rsidRDefault="00B5770F" w:rsidP="00B5770F">
      <w:pPr>
        <w:rPr>
          <w:rtl/>
        </w:rPr>
      </w:pPr>
    </w:p>
    <w:p w14:paraId="78E0BABD" w14:textId="77777777" w:rsidR="00B5770F" w:rsidRPr="00467323" w:rsidRDefault="00467323" w:rsidP="00B5770F">
      <w:pPr>
        <w:rPr>
          <w:color w:val="FFFFFF"/>
          <w:sz w:val="2"/>
          <w:szCs w:val="2"/>
          <w:rtl/>
        </w:rPr>
      </w:pPr>
      <w:r w:rsidRPr="00467323">
        <w:rPr>
          <w:color w:val="FFFFFF"/>
          <w:sz w:val="2"/>
          <w:szCs w:val="2"/>
          <w:rtl/>
        </w:rPr>
        <w:t>5129371</w:t>
      </w:r>
    </w:p>
    <w:p w14:paraId="6068E709" w14:textId="77777777" w:rsidR="00B5770F" w:rsidRDefault="00467323" w:rsidP="00B5770F">
      <w:pPr>
        <w:rPr>
          <w:rFonts w:cs="FrankRuehl"/>
          <w:sz w:val="28"/>
          <w:szCs w:val="28"/>
          <w:rtl/>
        </w:rPr>
      </w:pPr>
      <w:bookmarkStart w:id="8" w:name="Nitan"/>
      <w:r w:rsidRPr="00467323">
        <w:rPr>
          <w:rFonts w:ascii="Arial" w:hAnsi="Arial"/>
          <w:color w:val="FFFFFF"/>
          <w:sz w:val="2"/>
          <w:szCs w:val="2"/>
          <w:rtl/>
        </w:rPr>
        <w:t>54678313</w:t>
      </w:r>
      <w:r>
        <w:rPr>
          <w:rFonts w:ascii="Arial" w:hAnsi="Arial"/>
          <w:rtl/>
        </w:rPr>
        <w:t xml:space="preserve">ניתן היום,  כ"א כסלו תש"פ, 19 דצמבר 2019, בנוכחות הצדדים. </w:t>
      </w:r>
      <w:bookmarkEnd w:id="8"/>
    </w:p>
    <w:p w14:paraId="33742035" w14:textId="77777777" w:rsidR="00B5770F" w:rsidRDefault="00B5770F" w:rsidP="0046732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904663A" w14:textId="77777777" w:rsidR="00B5770F" w:rsidRDefault="00B5770F" w:rsidP="00B5770F">
      <w:pPr>
        <w:jc w:val="center"/>
        <w:rPr>
          <w:rFonts w:ascii="Arial" w:hAnsi="Arial" w:cs="FrankRuehl"/>
          <w:sz w:val="28"/>
          <w:szCs w:val="28"/>
          <w:rtl/>
        </w:rPr>
      </w:pPr>
    </w:p>
    <w:p w14:paraId="08D271CD" w14:textId="77777777" w:rsidR="00467323" w:rsidRDefault="00467323" w:rsidP="00467323">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C6477D4" w14:textId="77777777" w:rsidR="00017C56" w:rsidRPr="00017C56" w:rsidRDefault="00017C56" w:rsidP="00017C56">
      <w:pPr>
        <w:keepNext/>
        <w:rPr>
          <w:rFonts w:ascii="David" w:hAnsi="David"/>
          <w:color w:val="000000"/>
          <w:sz w:val="22"/>
          <w:szCs w:val="22"/>
          <w:rtl/>
        </w:rPr>
      </w:pPr>
    </w:p>
    <w:p w14:paraId="0555B5E5" w14:textId="77777777" w:rsidR="00017C56" w:rsidRPr="00017C56" w:rsidRDefault="00017C56" w:rsidP="00017C56">
      <w:pPr>
        <w:keepNext/>
        <w:rPr>
          <w:rFonts w:ascii="David" w:hAnsi="David"/>
          <w:color w:val="000000"/>
          <w:sz w:val="22"/>
          <w:szCs w:val="22"/>
          <w:rtl/>
        </w:rPr>
      </w:pPr>
      <w:r w:rsidRPr="00017C56">
        <w:rPr>
          <w:rFonts w:ascii="David" w:hAnsi="David"/>
          <w:color w:val="000000"/>
          <w:sz w:val="22"/>
          <w:szCs w:val="22"/>
          <w:rtl/>
        </w:rPr>
        <w:t>טל לחיאני שהם 54678313-/</w:t>
      </w:r>
    </w:p>
    <w:p w14:paraId="442FB64F" w14:textId="77777777" w:rsidR="00467323" w:rsidRPr="00467323" w:rsidRDefault="00017C56" w:rsidP="00017C56">
      <w:pPr>
        <w:rPr>
          <w:color w:val="0000FF"/>
          <w:u w:val="single"/>
        </w:rPr>
      </w:pPr>
      <w:r w:rsidRPr="00017C56">
        <w:rPr>
          <w:color w:val="000000"/>
          <w:u w:val="single"/>
          <w:rtl/>
        </w:rPr>
        <w:t>נוסח מסמך זה כפוף לשינויי ניסוח ועריכה</w:t>
      </w:r>
    </w:p>
    <w:sectPr w:rsidR="00467323" w:rsidRPr="00467323" w:rsidSect="00017C56">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16649" w14:textId="77777777" w:rsidR="0000004A" w:rsidRDefault="0000004A" w:rsidP="002D193B">
      <w:r>
        <w:separator/>
      </w:r>
    </w:p>
  </w:endnote>
  <w:endnote w:type="continuationSeparator" w:id="0">
    <w:p w14:paraId="09ED586A" w14:textId="77777777" w:rsidR="0000004A" w:rsidRDefault="0000004A" w:rsidP="002D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5423E" w14:textId="77777777" w:rsidR="00017C56" w:rsidRDefault="00017C56" w:rsidP="00017C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8B3298" w14:textId="77777777" w:rsidR="00263DA8" w:rsidRPr="00017C56" w:rsidRDefault="00017C56" w:rsidP="00017C56">
    <w:pPr>
      <w:pStyle w:val="a5"/>
      <w:pBdr>
        <w:top w:val="single" w:sz="4" w:space="1" w:color="auto"/>
        <w:between w:val="single" w:sz="4" w:space="0" w:color="auto"/>
      </w:pBdr>
      <w:spacing w:after="60"/>
      <w:jc w:val="center"/>
      <w:rPr>
        <w:rFonts w:ascii="FrankRuehl" w:hAnsi="FrankRuehl" w:cs="FrankRuehl"/>
        <w:color w:val="000000"/>
      </w:rPr>
    </w:pPr>
    <w:r w:rsidRPr="00017C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9B3E" w14:textId="77777777" w:rsidR="00017C56" w:rsidRDefault="00017C56" w:rsidP="00017C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0CB0">
      <w:rPr>
        <w:rFonts w:ascii="FrankRuehl" w:hAnsi="FrankRuehl" w:cs="FrankRuehl"/>
        <w:noProof/>
        <w:rtl/>
      </w:rPr>
      <w:t>1</w:t>
    </w:r>
    <w:r>
      <w:rPr>
        <w:rFonts w:ascii="FrankRuehl" w:hAnsi="FrankRuehl" w:cs="FrankRuehl"/>
        <w:rtl/>
      </w:rPr>
      <w:fldChar w:fldCharType="end"/>
    </w:r>
  </w:p>
  <w:p w14:paraId="23077C0E" w14:textId="77777777" w:rsidR="00263DA8" w:rsidRPr="00017C56" w:rsidRDefault="00017C56" w:rsidP="00017C56">
    <w:pPr>
      <w:pStyle w:val="a5"/>
      <w:pBdr>
        <w:top w:val="single" w:sz="4" w:space="1" w:color="auto"/>
        <w:between w:val="single" w:sz="4" w:space="0" w:color="auto"/>
      </w:pBdr>
      <w:spacing w:after="60"/>
      <w:jc w:val="center"/>
      <w:rPr>
        <w:rFonts w:ascii="FrankRuehl" w:hAnsi="FrankRuehl" w:cs="FrankRuehl"/>
        <w:color w:val="000000"/>
      </w:rPr>
    </w:pPr>
    <w:r w:rsidRPr="00017C56">
      <w:rPr>
        <w:rFonts w:ascii="FrankRuehl" w:hAnsi="FrankRuehl" w:cs="FrankRuehl"/>
        <w:color w:val="000000"/>
      </w:rPr>
      <w:pict w14:anchorId="47AE7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8338D" w14:textId="77777777" w:rsidR="0000004A" w:rsidRDefault="0000004A" w:rsidP="002D193B">
      <w:r>
        <w:separator/>
      </w:r>
    </w:p>
  </w:footnote>
  <w:footnote w:type="continuationSeparator" w:id="0">
    <w:p w14:paraId="47F005A9" w14:textId="77777777" w:rsidR="0000004A" w:rsidRDefault="0000004A" w:rsidP="002D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668B6" w14:textId="77777777" w:rsidR="00467323" w:rsidRPr="00017C56" w:rsidRDefault="00017C56" w:rsidP="00017C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22368-11-14</w:t>
    </w:r>
    <w:r>
      <w:rPr>
        <w:rFonts w:ascii="David" w:hAnsi="David"/>
        <w:color w:val="000000"/>
        <w:sz w:val="22"/>
        <w:szCs w:val="22"/>
        <w:rtl/>
      </w:rPr>
      <w:tab/>
      <w:t xml:space="preserve"> מדינת ישראל נ' סנטיאגו גבריאל אלברס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CBC52" w14:textId="77777777" w:rsidR="00467323" w:rsidRPr="00017C56" w:rsidRDefault="00017C56" w:rsidP="00017C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22368-11-14</w:t>
    </w:r>
    <w:r>
      <w:rPr>
        <w:rFonts w:ascii="David" w:hAnsi="David"/>
        <w:color w:val="000000"/>
        <w:sz w:val="22"/>
        <w:szCs w:val="22"/>
        <w:rtl/>
      </w:rPr>
      <w:tab/>
      <w:t xml:space="preserve"> מדינת ישראל נ' סנטיאגו גבריאל אלברס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317BB"/>
    <w:multiLevelType w:val="hybridMultilevel"/>
    <w:tmpl w:val="4F04B52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6B0B4E58"/>
    <w:multiLevelType w:val="hybridMultilevel"/>
    <w:tmpl w:val="559EEE6E"/>
    <w:lvl w:ilvl="0" w:tplc="B9580692">
      <w:start w:val="1"/>
      <w:numFmt w:val="hebrew1"/>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num w:numId="1" w16cid:durableId="154227466">
    <w:abstractNumId w:val="0"/>
  </w:num>
  <w:num w:numId="2" w16cid:durableId="1620185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770F"/>
    <w:rsid w:val="0000004A"/>
    <w:rsid w:val="00017C56"/>
    <w:rsid w:val="00263DA8"/>
    <w:rsid w:val="002D193B"/>
    <w:rsid w:val="00467323"/>
    <w:rsid w:val="006E3F2F"/>
    <w:rsid w:val="007F6AEE"/>
    <w:rsid w:val="00984E47"/>
    <w:rsid w:val="00B5770F"/>
    <w:rsid w:val="00CB63BD"/>
    <w:rsid w:val="00E60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CCC925"/>
  <w15:chartTrackingRefBased/>
  <w15:docId w15:val="{EEB9979C-C043-44EE-B392-35C0FCB5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77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770F"/>
    <w:pPr>
      <w:tabs>
        <w:tab w:val="center" w:pos="4153"/>
        <w:tab w:val="right" w:pos="8306"/>
      </w:tabs>
    </w:pPr>
  </w:style>
  <w:style w:type="character" w:customStyle="1" w:styleId="a4">
    <w:name w:val="כותרת עליונה תו"/>
    <w:link w:val="a3"/>
    <w:rsid w:val="00B5770F"/>
    <w:rPr>
      <w:rFonts w:ascii="Times New Roman" w:eastAsia="Times New Roman" w:hAnsi="Times New Roman" w:cs="David"/>
      <w:sz w:val="24"/>
      <w:szCs w:val="24"/>
    </w:rPr>
  </w:style>
  <w:style w:type="paragraph" w:styleId="a5">
    <w:name w:val="footer"/>
    <w:basedOn w:val="a"/>
    <w:link w:val="a6"/>
    <w:rsid w:val="00B5770F"/>
    <w:pPr>
      <w:tabs>
        <w:tab w:val="center" w:pos="4153"/>
        <w:tab w:val="right" w:pos="8306"/>
      </w:tabs>
    </w:pPr>
  </w:style>
  <w:style w:type="character" w:customStyle="1" w:styleId="a6">
    <w:name w:val="כותרת תחתונה תו"/>
    <w:link w:val="a5"/>
    <w:rsid w:val="00B5770F"/>
    <w:rPr>
      <w:rFonts w:ascii="Times New Roman" w:eastAsia="Times New Roman" w:hAnsi="Times New Roman" w:cs="David"/>
      <w:sz w:val="24"/>
      <w:szCs w:val="24"/>
    </w:rPr>
  </w:style>
  <w:style w:type="table" w:styleId="a7">
    <w:name w:val="Table Grid"/>
    <w:basedOn w:val="a1"/>
    <w:rsid w:val="00B577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770F"/>
  </w:style>
  <w:style w:type="character" w:styleId="Hyperlink">
    <w:name w:val="Hyperlink"/>
    <w:rsid w:val="004673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156169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10472985"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811885" TargetMode="External"/><Relationship Id="rId20" Type="http://schemas.openxmlformats.org/officeDocument/2006/relationships/hyperlink" Target="http://www.nevo.co.il/law/70301/40i"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law/421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5191250" TargetMode="External"/><Relationship Id="rId23" Type="http://schemas.openxmlformats.org/officeDocument/2006/relationships/hyperlink" Target="http://www.nevo.co.il/law/70301/40ja" TargetMode="External"/><Relationship Id="rId28" Type="http://schemas.openxmlformats.org/officeDocument/2006/relationships/header" Target="header1.xml"/><Relationship Id="rId10" Type="http://schemas.openxmlformats.org/officeDocument/2006/relationships/hyperlink" Target="http://www.nevo.co.il/law/70301/40i" TargetMode="External"/><Relationship Id="rId19" Type="http://schemas.openxmlformats.org/officeDocument/2006/relationships/hyperlink" Target="http://www.nevo.co.il/case/2076683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jc"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2045</Words>
  <Characters>10225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12246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3145850</vt:i4>
      </vt:variant>
      <vt:variant>
        <vt:i4>36</vt:i4>
      </vt:variant>
      <vt:variant>
        <vt:i4>0</vt:i4>
      </vt:variant>
      <vt:variant>
        <vt:i4>5</vt:i4>
      </vt:variant>
      <vt:variant>
        <vt:lpwstr>http://www.nevo.co.il/case/20766831</vt:lpwstr>
      </vt:variant>
      <vt:variant>
        <vt:lpwstr/>
      </vt:variant>
      <vt:variant>
        <vt:i4>4128885</vt:i4>
      </vt:variant>
      <vt:variant>
        <vt:i4>33</vt:i4>
      </vt:variant>
      <vt:variant>
        <vt:i4>0</vt:i4>
      </vt:variant>
      <vt:variant>
        <vt:i4>5</vt:i4>
      </vt:variant>
      <vt:variant>
        <vt:lpwstr>http://www.nevo.co.il/case/21561698</vt:lpwstr>
      </vt:variant>
      <vt:variant>
        <vt:lpwstr/>
      </vt:variant>
      <vt:variant>
        <vt:i4>4128890</vt:i4>
      </vt:variant>
      <vt:variant>
        <vt:i4>30</vt:i4>
      </vt:variant>
      <vt:variant>
        <vt:i4>0</vt:i4>
      </vt:variant>
      <vt:variant>
        <vt:i4>5</vt:i4>
      </vt:variant>
      <vt:variant>
        <vt:lpwstr>http://www.nevo.co.il/case/10472985</vt:lpwstr>
      </vt:variant>
      <vt:variant>
        <vt:lpwstr/>
      </vt:variant>
      <vt:variant>
        <vt:i4>3342461</vt:i4>
      </vt:variant>
      <vt:variant>
        <vt:i4>27</vt:i4>
      </vt:variant>
      <vt:variant>
        <vt:i4>0</vt:i4>
      </vt:variant>
      <vt:variant>
        <vt:i4>5</vt:i4>
      </vt:variant>
      <vt:variant>
        <vt:lpwstr>http://www.nevo.co.il/case/20811885</vt:lpwstr>
      </vt:variant>
      <vt:variant>
        <vt:lpwstr/>
      </vt:variant>
      <vt:variant>
        <vt:i4>3604602</vt:i4>
      </vt:variant>
      <vt:variant>
        <vt:i4>24</vt:i4>
      </vt:variant>
      <vt:variant>
        <vt:i4>0</vt:i4>
      </vt:variant>
      <vt:variant>
        <vt:i4>5</vt:i4>
      </vt:variant>
      <vt:variant>
        <vt:lpwstr>http://www.nevo.co.il/case/25191250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22368</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סנטיאגו גבריאל אלברס</vt:lpwstr>
  </property>
  <property fmtid="{D5CDD505-2E9C-101B-9397-08002B2CF9AE}" pid="10" name="LAWYER">
    <vt:lpwstr>ליטל נאווי;שגית אמסלם;דוגמן</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20191219</vt:lpwstr>
  </property>
  <property fmtid="{D5CDD505-2E9C-101B-9397-08002B2CF9AE}" pid="14" name="TYPE_N_DATE">
    <vt:lpwstr>38020191219</vt:lpwstr>
  </property>
  <property fmtid="{D5CDD505-2E9C-101B-9397-08002B2CF9AE}" pid="15" name="CASESLISTTMP1">
    <vt:lpwstr>25191250;20811885;10472985;21561698;20766831</vt:lpwstr>
  </property>
  <property fmtid="{D5CDD505-2E9C-101B-9397-08002B2CF9AE}" pid="16" name="CASENOTES1">
    <vt:lpwstr>ProcID=133;209&amp;PartA=50721&amp;PartB=06&amp;PartC=18</vt:lpwstr>
  </property>
  <property fmtid="{D5CDD505-2E9C-101B-9397-08002B2CF9AE}" pid="17" name="WORDNUMPAGES">
    <vt:lpwstr>7</vt:lpwstr>
  </property>
  <property fmtid="{D5CDD505-2E9C-101B-9397-08002B2CF9AE}" pid="18" name="TYPE_ABS_DATE">
    <vt:lpwstr>380020191219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vt:lpwstr>
  </property>
  <property fmtid="{D5CDD505-2E9C-101B-9397-08002B2CF9AE}" pid="38" name="LAWLISTTMP2">
    <vt:lpwstr>70301/040i;40jc;40ja</vt:lpwstr>
  </property>
</Properties>
</file>