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53C54" w:rsidRPr="00464244" w14:paraId="6C376B62" w14:textId="77777777">
        <w:trPr>
          <w:trHeight w:hRule="exact" w:val="418"/>
          <w:jc w:val="center"/>
        </w:trPr>
        <w:tc>
          <w:tcPr>
            <w:tcW w:w="8721" w:type="dxa"/>
            <w:gridSpan w:val="2"/>
          </w:tcPr>
          <w:p w14:paraId="320B07CF" w14:textId="77777777" w:rsidR="00F53C54" w:rsidRPr="00464244" w:rsidRDefault="00464244">
            <w:pPr>
              <w:pStyle w:val="a3"/>
              <w:jc w:val="center"/>
              <w:rPr>
                <w:rFonts w:ascii="Tahoma" w:hAnsi="Tahoma" w:cs="Tahoma"/>
                <w:color w:val="000080"/>
                <w:rtl/>
              </w:rPr>
            </w:pPr>
            <w:bookmarkStart w:id="0" w:name="LastJudge"/>
            <w:r w:rsidRPr="00464244">
              <w:rPr>
                <w:rFonts w:ascii="Tahoma" w:hAnsi="Tahoma" w:cs="Tahoma"/>
                <w:b/>
                <w:bCs/>
                <w:color w:val="000080"/>
                <w:rtl/>
              </w:rPr>
              <w:t>בית משפט השלום בתל אביב - יפו</w:t>
            </w:r>
          </w:p>
        </w:tc>
      </w:tr>
      <w:tr w:rsidR="00F53C54" w:rsidRPr="00464244" w14:paraId="72CB0B80" w14:textId="77777777">
        <w:trPr>
          <w:trHeight w:val="337"/>
          <w:jc w:val="center"/>
        </w:trPr>
        <w:tc>
          <w:tcPr>
            <w:tcW w:w="5054" w:type="dxa"/>
          </w:tcPr>
          <w:p w14:paraId="251F90FB" w14:textId="77777777" w:rsidR="00F53C54" w:rsidRPr="00464244" w:rsidRDefault="00464244">
            <w:pPr>
              <w:rPr>
                <w:rFonts w:cs="FrankRuehl"/>
                <w:sz w:val="28"/>
                <w:szCs w:val="28"/>
                <w:rtl/>
              </w:rPr>
            </w:pPr>
            <w:r w:rsidRPr="00464244">
              <w:rPr>
                <w:rFonts w:cs="FrankRuehl"/>
                <w:sz w:val="28"/>
                <w:szCs w:val="28"/>
                <w:rtl/>
              </w:rPr>
              <w:t>ת"פ</w:t>
            </w:r>
            <w:r w:rsidRPr="00464244">
              <w:rPr>
                <w:rFonts w:cs="FrankRuehl" w:hint="cs"/>
                <w:sz w:val="28"/>
                <w:szCs w:val="28"/>
                <w:rtl/>
              </w:rPr>
              <w:t xml:space="preserve"> </w:t>
            </w:r>
            <w:r w:rsidRPr="00464244">
              <w:rPr>
                <w:rFonts w:cs="FrankRuehl"/>
                <w:sz w:val="28"/>
                <w:szCs w:val="28"/>
                <w:rtl/>
              </w:rPr>
              <w:t>53725-11-14</w:t>
            </w:r>
            <w:r w:rsidRPr="00464244">
              <w:rPr>
                <w:rFonts w:cs="FrankRuehl" w:hint="cs"/>
                <w:sz w:val="28"/>
                <w:szCs w:val="28"/>
                <w:rtl/>
              </w:rPr>
              <w:t xml:space="preserve"> </w:t>
            </w:r>
            <w:r w:rsidRPr="00464244">
              <w:rPr>
                <w:rFonts w:cs="FrankRuehl"/>
                <w:sz w:val="28"/>
                <w:szCs w:val="28"/>
                <w:rtl/>
              </w:rPr>
              <w:t>מדינת ישראל נ' אלון</w:t>
            </w:r>
          </w:p>
          <w:p w14:paraId="4709A2C2" w14:textId="77777777" w:rsidR="00F53C54" w:rsidRPr="00464244" w:rsidRDefault="00F53C54">
            <w:pPr>
              <w:pStyle w:val="a3"/>
              <w:rPr>
                <w:rFonts w:cs="FrankRuehl"/>
                <w:sz w:val="28"/>
                <w:szCs w:val="28"/>
                <w:rtl/>
              </w:rPr>
            </w:pPr>
          </w:p>
        </w:tc>
        <w:tc>
          <w:tcPr>
            <w:tcW w:w="3667" w:type="dxa"/>
          </w:tcPr>
          <w:p w14:paraId="57B5C172" w14:textId="77777777" w:rsidR="00F53C54" w:rsidRPr="00464244" w:rsidRDefault="00F53C54">
            <w:pPr>
              <w:pStyle w:val="a3"/>
              <w:jc w:val="right"/>
              <w:rPr>
                <w:rFonts w:cs="FrankRuehl"/>
                <w:sz w:val="28"/>
                <w:szCs w:val="28"/>
                <w:rtl/>
              </w:rPr>
            </w:pPr>
          </w:p>
        </w:tc>
      </w:tr>
    </w:tbl>
    <w:p w14:paraId="72852C93" w14:textId="77777777" w:rsidR="00F53C54" w:rsidRPr="00464244" w:rsidRDefault="00464244">
      <w:pPr>
        <w:pStyle w:val="a3"/>
        <w:rPr>
          <w:rtl/>
        </w:rPr>
      </w:pPr>
      <w:r w:rsidRPr="00464244">
        <w:rPr>
          <w:rFonts w:hint="cs"/>
          <w:rtl/>
        </w:rPr>
        <w:t xml:space="preserve"> </w:t>
      </w:r>
    </w:p>
    <w:p w14:paraId="7A0C0600" w14:textId="77777777" w:rsidR="00F53C54" w:rsidRPr="00464244" w:rsidRDefault="00F53C54">
      <w:pPr>
        <w:spacing w:line="360" w:lineRule="auto"/>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53C54" w:rsidRPr="00464244" w14:paraId="2FCEB5E1" w14:textId="77777777">
        <w:trPr>
          <w:trHeight w:val="295"/>
          <w:jc w:val="center"/>
        </w:trPr>
        <w:tc>
          <w:tcPr>
            <w:tcW w:w="923" w:type="dxa"/>
            <w:tcBorders>
              <w:top w:val="nil"/>
              <w:left w:val="nil"/>
              <w:bottom w:val="nil"/>
              <w:right w:val="nil"/>
            </w:tcBorders>
            <w:shd w:val="clear" w:color="auto" w:fill="auto"/>
          </w:tcPr>
          <w:p w14:paraId="3A4F1EEB" w14:textId="77777777" w:rsidR="00F53C54" w:rsidRPr="00464244" w:rsidRDefault="00464244">
            <w:pPr>
              <w:spacing w:line="360" w:lineRule="auto"/>
              <w:jc w:val="both"/>
              <w:rPr>
                <w:rFonts w:ascii="Arial" w:hAnsi="Arial"/>
                <w:b/>
                <w:bCs/>
                <w:sz w:val="26"/>
                <w:szCs w:val="26"/>
              </w:rPr>
            </w:pPr>
            <w:r w:rsidRPr="00464244">
              <w:rPr>
                <w:rFonts w:ascii="Arial" w:hAnsi="Arial" w:hint="cs"/>
                <w:b/>
                <w:bCs/>
                <w:sz w:val="26"/>
                <w:szCs w:val="26"/>
                <w:rtl/>
              </w:rPr>
              <w:t>ב</w:t>
            </w:r>
            <w:r w:rsidRPr="00464244">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0861ED06" w14:textId="77777777" w:rsidR="00F53C54" w:rsidRPr="00464244" w:rsidRDefault="00464244" w:rsidP="003B373A">
            <w:pPr>
              <w:spacing w:line="360" w:lineRule="auto"/>
              <w:rPr>
                <w:rFonts w:ascii="Arial" w:hAnsi="Arial" w:hint="cs"/>
                <w:b/>
                <w:bCs/>
                <w:sz w:val="26"/>
                <w:szCs w:val="26"/>
              </w:rPr>
            </w:pPr>
            <w:r w:rsidRPr="00464244">
              <w:rPr>
                <w:rFonts w:ascii="Arial" w:hAnsi="Arial" w:hint="cs"/>
                <w:b/>
                <w:bCs/>
                <w:sz w:val="26"/>
                <w:szCs w:val="26"/>
                <w:rtl/>
              </w:rPr>
              <w:t>כבוד ה</w:t>
            </w:r>
            <w:r w:rsidRPr="00464244">
              <w:rPr>
                <w:rFonts w:hint="cs"/>
                <w:b/>
                <w:bCs/>
                <w:sz w:val="26"/>
                <w:szCs w:val="26"/>
                <w:rtl/>
              </w:rPr>
              <w:t>שופט</w:t>
            </w:r>
            <w:r w:rsidRPr="00464244">
              <w:rPr>
                <w:rFonts w:ascii="Arial" w:hAnsi="Arial" w:hint="cs"/>
                <w:b/>
                <w:bCs/>
                <w:sz w:val="26"/>
                <w:szCs w:val="26"/>
                <w:rtl/>
              </w:rPr>
              <w:t xml:space="preserve"> </w:t>
            </w:r>
            <w:r w:rsidRPr="00464244">
              <w:rPr>
                <w:rFonts w:hint="cs"/>
                <w:b/>
                <w:bCs/>
                <w:sz w:val="26"/>
                <w:szCs w:val="26"/>
                <w:rtl/>
              </w:rPr>
              <w:t>ד"ר שאול אבינור</w:t>
            </w:r>
          </w:p>
        </w:tc>
      </w:tr>
      <w:tr w:rsidR="00F53C54" w:rsidRPr="00464244" w14:paraId="2A47F7AA" w14:textId="77777777">
        <w:trPr>
          <w:trHeight w:val="355"/>
          <w:jc w:val="center"/>
        </w:trPr>
        <w:tc>
          <w:tcPr>
            <w:tcW w:w="923" w:type="dxa"/>
            <w:tcBorders>
              <w:top w:val="nil"/>
              <w:left w:val="nil"/>
              <w:bottom w:val="nil"/>
              <w:right w:val="nil"/>
            </w:tcBorders>
            <w:shd w:val="clear" w:color="auto" w:fill="auto"/>
          </w:tcPr>
          <w:p w14:paraId="28244325" w14:textId="77777777" w:rsidR="00F53C54" w:rsidRPr="00464244" w:rsidRDefault="00464244">
            <w:pPr>
              <w:spacing w:line="360" w:lineRule="auto"/>
              <w:jc w:val="both"/>
              <w:rPr>
                <w:rFonts w:ascii="Arial" w:hAnsi="Arial"/>
                <w:b/>
                <w:bCs/>
                <w:sz w:val="26"/>
                <w:szCs w:val="26"/>
              </w:rPr>
            </w:pPr>
            <w:bookmarkStart w:id="1" w:name="FirstAppellant"/>
            <w:bookmarkStart w:id="2" w:name="FirstLawyer"/>
            <w:r w:rsidRPr="00464244">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230A415" w14:textId="77777777" w:rsidR="00F53C54" w:rsidRPr="00464244" w:rsidRDefault="00464244">
            <w:pPr>
              <w:spacing w:line="360" w:lineRule="auto"/>
              <w:rPr>
                <w:b/>
                <w:bCs/>
                <w:sz w:val="26"/>
                <w:szCs w:val="26"/>
                <w:rtl/>
              </w:rPr>
            </w:pPr>
            <w:r w:rsidRPr="00464244">
              <w:rPr>
                <w:rFonts w:hint="cs"/>
                <w:b/>
                <w:bCs/>
                <w:sz w:val="26"/>
                <w:szCs w:val="26"/>
                <w:rtl/>
              </w:rPr>
              <w:t>מדינת ישראל</w:t>
            </w:r>
          </w:p>
          <w:p w14:paraId="6F137199" w14:textId="77777777" w:rsidR="00F53C54" w:rsidRPr="00464244" w:rsidRDefault="00464244">
            <w:pPr>
              <w:spacing w:line="360" w:lineRule="auto"/>
              <w:rPr>
                <w:sz w:val="26"/>
                <w:szCs w:val="26"/>
              </w:rPr>
            </w:pPr>
            <w:r w:rsidRPr="00464244">
              <w:rPr>
                <w:rFonts w:hint="cs"/>
                <w:rtl/>
              </w:rPr>
              <w:t>ע"י ב"כ עוה"ד ורד ליכטר-סול ועידן שניר</w:t>
            </w:r>
          </w:p>
        </w:tc>
        <w:tc>
          <w:tcPr>
            <w:tcW w:w="3771" w:type="dxa"/>
            <w:tcBorders>
              <w:top w:val="nil"/>
              <w:left w:val="nil"/>
              <w:bottom w:val="nil"/>
              <w:right w:val="nil"/>
            </w:tcBorders>
            <w:shd w:val="clear" w:color="auto" w:fill="auto"/>
          </w:tcPr>
          <w:p w14:paraId="57F9EEB8" w14:textId="77777777" w:rsidR="00F53C54" w:rsidRPr="00464244" w:rsidRDefault="00F53C54">
            <w:pPr>
              <w:spacing w:line="360" w:lineRule="auto"/>
              <w:jc w:val="both"/>
              <w:rPr>
                <w:rFonts w:ascii="Arial" w:hAnsi="Arial"/>
                <w:b/>
                <w:bCs/>
                <w:sz w:val="26"/>
                <w:szCs w:val="26"/>
              </w:rPr>
            </w:pPr>
          </w:p>
        </w:tc>
      </w:tr>
      <w:bookmarkEnd w:id="1"/>
      <w:bookmarkEnd w:id="2"/>
      <w:tr w:rsidR="00F53C54" w:rsidRPr="00464244" w14:paraId="668457E3" w14:textId="77777777">
        <w:trPr>
          <w:trHeight w:val="355"/>
          <w:jc w:val="center"/>
        </w:trPr>
        <w:tc>
          <w:tcPr>
            <w:tcW w:w="923" w:type="dxa"/>
            <w:tcBorders>
              <w:top w:val="nil"/>
              <w:left w:val="nil"/>
              <w:bottom w:val="nil"/>
              <w:right w:val="nil"/>
            </w:tcBorders>
            <w:shd w:val="clear" w:color="auto" w:fill="auto"/>
          </w:tcPr>
          <w:p w14:paraId="25F50109" w14:textId="77777777" w:rsidR="00F53C54" w:rsidRPr="00464244" w:rsidRDefault="00F53C54">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43358CA9" w14:textId="77777777" w:rsidR="00F53C54" w:rsidRPr="00464244" w:rsidRDefault="00F53C54">
            <w:pPr>
              <w:spacing w:line="360" w:lineRule="auto"/>
              <w:jc w:val="both"/>
              <w:rPr>
                <w:b/>
                <w:bCs/>
                <w:sz w:val="26"/>
                <w:szCs w:val="26"/>
                <w:rtl/>
              </w:rPr>
            </w:pPr>
          </w:p>
        </w:tc>
        <w:tc>
          <w:tcPr>
            <w:tcW w:w="3771" w:type="dxa"/>
            <w:tcBorders>
              <w:top w:val="nil"/>
              <w:left w:val="nil"/>
              <w:bottom w:val="nil"/>
              <w:right w:val="nil"/>
            </w:tcBorders>
            <w:shd w:val="clear" w:color="auto" w:fill="auto"/>
          </w:tcPr>
          <w:p w14:paraId="786219CA" w14:textId="77777777" w:rsidR="00F53C54" w:rsidRPr="00464244" w:rsidRDefault="00464244">
            <w:pPr>
              <w:spacing w:line="360" w:lineRule="auto"/>
              <w:jc w:val="right"/>
              <w:rPr>
                <w:rFonts w:ascii="Arial" w:hAnsi="Arial"/>
                <w:b/>
                <w:bCs/>
                <w:sz w:val="26"/>
                <w:szCs w:val="26"/>
                <w:rtl/>
              </w:rPr>
            </w:pPr>
            <w:r w:rsidRPr="00464244">
              <w:rPr>
                <w:rFonts w:ascii="Arial" w:hAnsi="Arial" w:hint="cs"/>
                <w:b/>
                <w:bCs/>
                <w:sz w:val="26"/>
                <w:szCs w:val="26"/>
                <w:rtl/>
              </w:rPr>
              <w:t>ה</w:t>
            </w:r>
            <w:r w:rsidRPr="00464244">
              <w:rPr>
                <w:rFonts w:hint="cs"/>
                <w:b/>
                <w:bCs/>
                <w:sz w:val="26"/>
                <w:szCs w:val="26"/>
                <w:rtl/>
              </w:rPr>
              <w:t>מאשימה</w:t>
            </w:r>
          </w:p>
        </w:tc>
      </w:tr>
      <w:tr w:rsidR="00F53C54" w:rsidRPr="00464244" w14:paraId="554863D1" w14:textId="77777777">
        <w:trPr>
          <w:trHeight w:val="355"/>
          <w:jc w:val="center"/>
        </w:trPr>
        <w:tc>
          <w:tcPr>
            <w:tcW w:w="923" w:type="dxa"/>
            <w:tcBorders>
              <w:top w:val="nil"/>
              <w:left w:val="nil"/>
              <w:bottom w:val="nil"/>
              <w:right w:val="nil"/>
            </w:tcBorders>
            <w:shd w:val="clear" w:color="auto" w:fill="auto"/>
          </w:tcPr>
          <w:p w14:paraId="7E2C82E4" w14:textId="77777777" w:rsidR="00F53C54" w:rsidRPr="00464244" w:rsidRDefault="00F53C54">
            <w:pPr>
              <w:spacing w:line="360" w:lineRule="auto"/>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0CA66675" w14:textId="77777777" w:rsidR="00F53C54" w:rsidRPr="00464244" w:rsidRDefault="00F53C54">
            <w:pPr>
              <w:spacing w:line="360" w:lineRule="auto"/>
              <w:jc w:val="center"/>
              <w:rPr>
                <w:rFonts w:ascii="Arial" w:hAnsi="Arial"/>
                <w:b/>
                <w:bCs/>
                <w:sz w:val="26"/>
                <w:szCs w:val="26"/>
                <w:rtl/>
              </w:rPr>
            </w:pPr>
          </w:p>
          <w:p w14:paraId="66B55345" w14:textId="77777777" w:rsidR="00F53C54" w:rsidRPr="00464244" w:rsidRDefault="00464244" w:rsidP="003B373A">
            <w:pPr>
              <w:spacing w:line="360" w:lineRule="auto"/>
              <w:jc w:val="center"/>
              <w:rPr>
                <w:rFonts w:ascii="Arial" w:hAnsi="Arial" w:hint="cs"/>
                <w:b/>
                <w:bCs/>
                <w:sz w:val="26"/>
                <w:szCs w:val="26"/>
              </w:rPr>
            </w:pPr>
            <w:r w:rsidRPr="00464244">
              <w:rPr>
                <w:rFonts w:ascii="Arial" w:hAnsi="Arial"/>
                <w:b/>
                <w:bCs/>
                <w:sz w:val="26"/>
                <w:szCs w:val="26"/>
                <w:rtl/>
              </w:rPr>
              <w:t>נגד</w:t>
            </w:r>
          </w:p>
        </w:tc>
      </w:tr>
      <w:tr w:rsidR="00F53C54" w:rsidRPr="00464244" w14:paraId="111744EA" w14:textId="77777777">
        <w:trPr>
          <w:trHeight w:val="355"/>
          <w:jc w:val="center"/>
        </w:trPr>
        <w:tc>
          <w:tcPr>
            <w:tcW w:w="923" w:type="dxa"/>
            <w:tcBorders>
              <w:top w:val="nil"/>
              <w:left w:val="nil"/>
              <w:bottom w:val="nil"/>
              <w:right w:val="nil"/>
            </w:tcBorders>
            <w:shd w:val="clear" w:color="auto" w:fill="auto"/>
          </w:tcPr>
          <w:p w14:paraId="552A3C64" w14:textId="77777777" w:rsidR="00F53C54" w:rsidRPr="00464244" w:rsidRDefault="00F53C54">
            <w:pPr>
              <w:spacing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505B9EA5" w14:textId="77777777" w:rsidR="00F53C54" w:rsidRPr="00464244" w:rsidRDefault="00464244">
            <w:pPr>
              <w:spacing w:line="360" w:lineRule="auto"/>
              <w:rPr>
                <w:b/>
                <w:bCs/>
                <w:sz w:val="26"/>
                <w:szCs w:val="26"/>
                <w:rtl/>
              </w:rPr>
            </w:pPr>
            <w:r w:rsidRPr="00464244">
              <w:rPr>
                <w:rFonts w:hint="cs"/>
                <w:b/>
                <w:bCs/>
                <w:sz w:val="26"/>
                <w:szCs w:val="26"/>
                <w:rtl/>
              </w:rPr>
              <w:t xml:space="preserve">שמעון אלון </w:t>
            </w:r>
          </w:p>
          <w:p w14:paraId="65E2035F" w14:textId="77777777" w:rsidR="00F53C54" w:rsidRPr="00464244" w:rsidRDefault="00464244">
            <w:pPr>
              <w:spacing w:line="360" w:lineRule="auto"/>
              <w:rPr>
                <w:b/>
                <w:bCs/>
                <w:sz w:val="26"/>
                <w:szCs w:val="26"/>
                <w:rtl/>
              </w:rPr>
            </w:pPr>
            <w:r w:rsidRPr="00464244">
              <w:rPr>
                <w:rFonts w:hint="cs"/>
                <w:rtl/>
              </w:rPr>
              <w:t>ע"י ב"כ עוה"ד אורי בן-נתן, יעקב חודורוב וניר זנו</w:t>
            </w:r>
          </w:p>
        </w:tc>
        <w:tc>
          <w:tcPr>
            <w:tcW w:w="3771" w:type="dxa"/>
            <w:tcBorders>
              <w:top w:val="nil"/>
              <w:left w:val="nil"/>
              <w:bottom w:val="nil"/>
              <w:right w:val="nil"/>
            </w:tcBorders>
            <w:shd w:val="clear" w:color="auto" w:fill="auto"/>
          </w:tcPr>
          <w:p w14:paraId="2AA82EC7" w14:textId="77777777" w:rsidR="00F53C54" w:rsidRPr="00464244" w:rsidRDefault="00F53C54">
            <w:pPr>
              <w:spacing w:line="360" w:lineRule="auto"/>
              <w:jc w:val="right"/>
              <w:rPr>
                <w:rFonts w:ascii="Arial" w:hAnsi="Arial"/>
                <w:b/>
                <w:bCs/>
                <w:sz w:val="26"/>
                <w:szCs w:val="26"/>
              </w:rPr>
            </w:pPr>
          </w:p>
        </w:tc>
      </w:tr>
      <w:tr w:rsidR="00F53C54" w:rsidRPr="00464244" w14:paraId="691F008C" w14:textId="77777777">
        <w:trPr>
          <w:trHeight w:val="355"/>
          <w:jc w:val="center"/>
        </w:trPr>
        <w:tc>
          <w:tcPr>
            <w:tcW w:w="923" w:type="dxa"/>
            <w:tcBorders>
              <w:top w:val="nil"/>
              <w:left w:val="nil"/>
              <w:bottom w:val="nil"/>
              <w:right w:val="nil"/>
            </w:tcBorders>
            <w:shd w:val="clear" w:color="auto" w:fill="auto"/>
          </w:tcPr>
          <w:p w14:paraId="44BB7676" w14:textId="77777777" w:rsidR="00F53C54" w:rsidRPr="00464244" w:rsidRDefault="00F53C54">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66BC6235" w14:textId="77777777" w:rsidR="00F53C54" w:rsidRPr="00464244" w:rsidRDefault="00F53C54">
            <w:pPr>
              <w:spacing w:line="360" w:lineRule="auto"/>
              <w:jc w:val="both"/>
              <w:rPr>
                <w:b/>
                <w:bCs/>
                <w:sz w:val="26"/>
                <w:szCs w:val="26"/>
                <w:rtl/>
              </w:rPr>
            </w:pPr>
          </w:p>
        </w:tc>
        <w:tc>
          <w:tcPr>
            <w:tcW w:w="3771" w:type="dxa"/>
            <w:tcBorders>
              <w:top w:val="nil"/>
              <w:left w:val="nil"/>
              <w:bottom w:val="nil"/>
              <w:right w:val="nil"/>
            </w:tcBorders>
            <w:shd w:val="clear" w:color="auto" w:fill="auto"/>
          </w:tcPr>
          <w:p w14:paraId="6410872F" w14:textId="77777777" w:rsidR="00F53C54" w:rsidRPr="00464244" w:rsidRDefault="00464244">
            <w:pPr>
              <w:spacing w:line="360" w:lineRule="auto"/>
              <w:jc w:val="right"/>
              <w:rPr>
                <w:rFonts w:ascii="Arial" w:hAnsi="Arial"/>
                <w:b/>
                <w:bCs/>
                <w:sz w:val="26"/>
                <w:szCs w:val="26"/>
              </w:rPr>
            </w:pPr>
            <w:r w:rsidRPr="00464244">
              <w:rPr>
                <w:rFonts w:ascii="Arial" w:hAnsi="Arial" w:hint="cs"/>
                <w:b/>
                <w:bCs/>
                <w:sz w:val="26"/>
                <w:szCs w:val="26"/>
                <w:rtl/>
              </w:rPr>
              <w:t>ה</w:t>
            </w:r>
            <w:r w:rsidRPr="00464244">
              <w:rPr>
                <w:rFonts w:hint="cs"/>
                <w:b/>
                <w:bCs/>
                <w:sz w:val="26"/>
                <w:szCs w:val="26"/>
                <w:rtl/>
              </w:rPr>
              <w:t>נאשם</w:t>
            </w:r>
          </w:p>
        </w:tc>
      </w:tr>
    </w:tbl>
    <w:p w14:paraId="6564D8F8" w14:textId="77777777" w:rsidR="00F53C54" w:rsidRPr="00464244" w:rsidRDefault="00F53C54">
      <w:pPr>
        <w:spacing w:line="360" w:lineRule="auto"/>
        <w:rPr>
          <w:b/>
          <w:bCs/>
          <w:sz w:val="26"/>
          <w:szCs w:val="26"/>
          <w:rtl/>
        </w:rPr>
      </w:pPr>
    </w:p>
    <w:p w14:paraId="68E48153" w14:textId="77777777" w:rsidR="00464244" w:rsidRPr="00464244" w:rsidRDefault="00464244" w:rsidP="00464244">
      <w:pPr>
        <w:spacing w:after="120" w:line="240" w:lineRule="exact"/>
        <w:ind w:left="283" w:hanging="283"/>
        <w:jc w:val="both"/>
        <w:rPr>
          <w:rFonts w:ascii="FrankRuehl" w:hAnsi="FrankRuehl" w:cs="FrankRuehl"/>
          <w:rtl/>
        </w:rPr>
      </w:pPr>
    </w:p>
    <w:p w14:paraId="21424830" w14:textId="77777777" w:rsidR="003348B4" w:rsidRPr="003348B4" w:rsidRDefault="003348B4">
      <w:pPr>
        <w:spacing w:line="360" w:lineRule="auto"/>
        <w:rPr>
          <w:sz w:val="26"/>
          <w:szCs w:val="26"/>
          <w:rtl/>
        </w:rPr>
      </w:pPr>
    </w:p>
    <w:p w14:paraId="06D816A8" w14:textId="77777777" w:rsidR="003348B4" w:rsidRPr="003348B4" w:rsidRDefault="003348B4" w:rsidP="003348B4">
      <w:pPr>
        <w:spacing w:after="120" w:line="240" w:lineRule="exact"/>
        <w:ind w:left="283" w:hanging="283"/>
        <w:jc w:val="both"/>
        <w:rPr>
          <w:rFonts w:ascii="FrankRuehl" w:hAnsi="FrankRuehl" w:cs="FrankRuehl"/>
        </w:rPr>
      </w:pPr>
      <w:bookmarkStart w:id="3" w:name="Links_Start"/>
      <w:bookmarkEnd w:id="3"/>
      <w:r w:rsidRPr="003348B4">
        <w:rPr>
          <w:rFonts w:ascii="FrankRuehl" w:hAnsi="FrankRuehl" w:cs="FrankRuehl"/>
          <w:rtl/>
        </w:rPr>
        <w:t>ספרות:</w:t>
      </w:r>
    </w:p>
    <w:p w14:paraId="2AE9EDDE" w14:textId="77777777" w:rsidR="003348B4" w:rsidRPr="003348B4" w:rsidRDefault="003348B4" w:rsidP="003348B4">
      <w:pPr>
        <w:spacing w:after="120" w:line="240" w:lineRule="exact"/>
        <w:ind w:left="283" w:hanging="283"/>
        <w:jc w:val="both"/>
        <w:rPr>
          <w:rStyle w:val="Hyperlink"/>
          <w:rFonts w:ascii="FrankRuehl" w:hAnsi="FrankRuehl" w:cs="FrankRuehl"/>
          <w:u w:val="none"/>
          <w:rtl/>
        </w:rPr>
      </w:pPr>
      <w:r w:rsidRPr="003348B4">
        <w:rPr>
          <w:rFonts w:ascii="FrankRuehl" w:hAnsi="FrankRuehl" w:cs="FrankRuehl"/>
          <w:color w:val="0000FF"/>
          <w:rtl/>
        </w:rPr>
        <w:fldChar w:fldCharType="begin"/>
      </w:r>
      <w:r w:rsidRPr="003348B4">
        <w:rPr>
          <w:rFonts w:ascii="FrankRuehl" w:hAnsi="FrankRuehl" w:cs="FrankRuehl"/>
          <w:color w:val="0000FF"/>
          <w:rtl/>
        </w:rPr>
        <w:instrText xml:space="preserve"> </w:instrText>
      </w:r>
      <w:r w:rsidRPr="003348B4">
        <w:rPr>
          <w:rFonts w:ascii="FrankRuehl" w:hAnsi="FrankRuehl" w:cs="FrankRuehl"/>
          <w:color w:val="0000FF"/>
        </w:rPr>
        <w:instrText xml:space="preserve">HYPERLINK </w:instrText>
      </w:r>
      <w:r w:rsidRPr="003348B4">
        <w:rPr>
          <w:rFonts w:ascii="FrankRuehl" w:hAnsi="FrankRuehl" w:cs="FrankRuehl"/>
          <w:color w:val="0000FF"/>
          <w:rtl/>
        </w:rPr>
        <w:instrText>"</w:instrText>
      </w:r>
      <w:r w:rsidRPr="003348B4">
        <w:rPr>
          <w:rFonts w:ascii="FrankRuehl" w:hAnsi="FrankRuehl" w:cs="FrankRuehl"/>
          <w:color w:val="0000FF"/>
        </w:rPr>
        <w:instrText>http://www.nevo.co.il/safrut/bookgroup/412"</w:instrText>
      </w:r>
      <w:r w:rsidRPr="003348B4">
        <w:rPr>
          <w:rFonts w:ascii="FrankRuehl" w:hAnsi="FrankRuehl" w:cs="FrankRuehl"/>
          <w:color w:val="0000FF"/>
          <w:rtl/>
        </w:rPr>
        <w:instrText xml:space="preserve"> </w:instrText>
      </w:r>
      <w:r w:rsidRPr="003348B4">
        <w:rPr>
          <w:rFonts w:ascii="FrankRuehl" w:hAnsi="FrankRuehl" w:cs="FrankRuehl"/>
          <w:color w:val="0000FF"/>
          <w:rtl/>
        </w:rPr>
      </w:r>
      <w:r w:rsidRPr="003348B4">
        <w:rPr>
          <w:rFonts w:ascii="FrankRuehl" w:hAnsi="FrankRuehl" w:cs="FrankRuehl"/>
          <w:color w:val="0000FF"/>
          <w:rtl/>
        </w:rPr>
        <w:fldChar w:fldCharType="separate"/>
      </w:r>
      <w:r w:rsidRPr="003348B4">
        <w:rPr>
          <w:rStyle w:val="Hyperlink"/>
          <w:rFonts w:ascii="FrankRuehl" w:hAnsi="FrankRuehl" w:cs="FrankRuehl"/>
          <w:u w:val="none"/>
          <w:rtl/>
        </w:rPr>
        <w:t xml:space="preserve">ש"ז פלר  </w:t>
      </w:r>
      <w:r w:rsidRPr="003348B4">
        <w:rPr>
          <w:rStyle w:val="Hyperlink"/>
          <w:rFonts w:ascii="FrankRuehl" w:hAnsi="FrankRuehl" w:cs="FrankRuehl"/>
          <w:u w:val="none"/>
        </w:rPr>
        <w:t xml:space="preserve"> </w:t>
      </w:r>
      <w:r w:rsidRPr="003348B4">
        <w:rPr>
          <w:rStyle w:val="Hyperlink"/>
          <w:rFonts w:ascii="FrankRuehl" w:hAnsi="FrankRuehl" w:cs="FrankRuehl"/>
          <w:b/>
          <w:bCs/>
          <w:u w:val="none"/>
          <w:rtl/>
        </w:rPr>
        <w:t xml:space="preserve">יסודות בדיני עונשין </w:t>
      </w:r>
    </w:p>
    <w:p w14:paraId="6B573862" w14:textId="77777777" w:rsidR="003348B4" w:rsidRPr="003348B4" w:rsidRDefault="003348B4" w:rsidP="003348B4">
      <w:pPr>
        <w:spacing w:after="120" w:line="240" w:lineRule="exact"/>
        <w:ind w:left="283" w:hanging="283"/>
        <w:jc w:val="both"/>
        <w:rPr>
          <w:rFonts w:ascii="FrankRuehl" w:hAnsi="FrankRuehl" w:cs="FrankRuehl"/>
          <w:color w:val="000000"/>
        </w:rPr>
      </w:pPr>
      <w:r w:rsidRPr="003348B4">
        <w:rPr>
          <w:rFonts w:ascii="FrankRuehl" w:hAnsi="FrankRuehl" w:cs="FrankRuehl"/>
          <w:color w:val="0000FF"/>
          <w:rtl/>
        </w:rPr>
        <w:fldChar w:fldCharType="end"/>
      </w:r>
      <w:r w:rsidRPr="003348B4">
        <w:rPr>
          <w:rFonts w:ascii="FrankRuehl" w:hAnsi="FrankRuehl" w:cs="FrankRuehl"/>
          <w:color w:val="000000"/>
          <w:rtl/>
        </w:rPr>
        <w:t>יעקב קדמי</w:t>
      </w:r>
      <w:r w:rsidRPr="003348B4">
        <w:rPr>
          <w:rFonts w:ascii="FrankRuehl" w:hAnsi="FrankRuehl" w:cs="FrankRuehl"/>
          <w:color w:val="000000"/>
        </w:rPr>
        <w:t xml:space="preserve">   </w:t>
      </w:r>
      <w:r w:rsidRPr="003348B4">
        <w:rPr>
          <w:rFonts w:ascii="FrankRuehl" w:hAnsi="FrankRuehl" w:cs="FrankRuehl"/>
          <w:b/>
          <w:bCs/>
          <w:color w:val="000000"/>
          <w:rtl/>
        </w:rPr>
        <w:t>על סדר הדין בפלילים</w:t>
      </w:r>
      <w:r w:rsidRPr="003348B4">
        <w:rPr>
          <w:rFonts w:ascii="FrankRuehl" w:hAnsi="FrankRuehl" w:cs="FrankRuehl"/>
          <w:b/>
          <w:bCs/>
          <w:color w:val="000000"/>
        </w:rPr>
        <w:t xml:space="preserve"> </w:t>
      </w:r>
    </w:p>
    <w:p w14:paraId="0C1B0689" w14:textId="77777777" w:rsidR="003348B4" w:rsidRPr="003348B4" w:rsidRDefault="003348B4">
      <w:pPr>
        <w:spacing w:line="360" w:lineRule="auto"/>
        <w:rPr>
          <w:color w:val="000000"/>
          <w:sz w:val="26"/>
          <w:szCs w:val="26"/>
        </w:rPr>
      </w:pPr>
      <w:bookmarkStart w:id="4" w:name="Links_End"/>
      <w:bookmarkEnd w:id="4"/>
    </w:p>
    <w:p w14:paraId="03D65DDC" w14:textId="77777777" w:rsidR="003348B4" w:rsidRDefault="003348B4" w:rsidP="003348B4">
      <w:pPr>
        <w:spacing w:line="360" w:lineRule="auto"/>
        <w:rPr>
          <w:color w:val="0000FF"/>
          <w:sz w:val="26"/>
          <w:szCs w:val="26"/>
          <w:rtl/>
        </w:rPr>
      </w:pPr>
      <w:bookmarkStart w:id="5" w:name="LawTable"/>
      <w:bookmarkEnd w:id="5"/>
    </w:p>
    <w:p w14:paraId="51DB7B37" w14:textId="77777777" w:rsidR="003348B4" w:rsidRPr="003348B4" w:rsidRDefault="003348B4" w:rsidP="003348B4">
      <w:pPr>
        <w:spacing w:before="120" w:after="120" w:line="240" w:lineRule="exact"/>
        <w:ind w:left="283" w:hanging="283"/>
        <w:jc w:val="both"/>
        <w:rPr>
          <w:rFonts w:ascii="FrankRuehl" w:hAnsi="FrankRuehl" w:cs="FrankRuehl"/>
          <w:color w:val="0000FF"/>
          <w:rtl/>
        </w:rPr>
      </w:pPr>
    </w:p>
    <w:p w14:paraId="6C12D2F5" w14:textId="77777777" w:rsidR="003348B4" w:rsidRPr="003348B4" w:rsidRDefault="003348B4" w:rsidP="003348B4">
      <w:pPr>
        <w:spacing w:before="120" w:after="120" w:line="240" w:lineRule="exact"/>
        <w:ind w:left="283" w:hanging="283"/>
        <w:jc w:val="both"/>
        <w:rPr>
          <w:rFonts w:ascii="FrankRuehl" w:hAnsi="FrankRuehl" w:cs="FrankRuehl"/>
          <w:color w:val="0000FF"/>
          <w:rtl/>
        </w:rPr>
      </w:pPr>
    </w:p>
    <w:p w14:paraId="2933E303" w14:textId="77777777" w:rsidR="003348B4" w:rsidRPr="003348B4" w:rsidRDefault="003348B4" w:rsidP="003348B4">
      <w:pPr>
        <w:spacing w:before="120" w:after="120" w:line="240" w:lineRule="exact"/>
        <w:ind w:left="283" w:hanging="283"/>
        <w:jc w:val="both"/>
        <w:rPr>
          <w:rFonts w:ascii="FrankRuehl" w:hAnsi="FrankRuehl" w:cs="FrankRuehl"/>
          <w:color w:val="0000FF"/>
          <w:rtl/>
        </w:rPr>
      </w:pPr>
      <w:r w:rsidRPr="003348B4">
        <w:rPr>
          <w:rFonts w:ascii="FrankRuehl" w:hAnsi="FrankRuehl" w:cs="FrankRuehl"/>
          <w:color w:val="0000FF"/>
          <w:rtl/>
        </w:rPr>
        <w:t xml:space="preserve">חקיקה שאוזכרה: </w:t>
      </w:r>
    </w:p>
    <w:p w14:paraId="4698B40B" w14:textId="77777777" w:rsidR="003348B4" w:rsidRPr="003348B4" w:rsidRDefault="003348B4" w:rsidP="003348B4">
      <w:pPr>
        <w:spacing w:before="120" w:after="120" w:line="240" w:lineRule="exact"/>
        <w:ind w:left="283" w:hanging="283"/>
        <w:jc w:val="both"/>
        <w:rPr>
          <w:rFonts w:ascii="FrankRuehl" w:hAnsi="FrankRuehl" w:cs="FrankRuehl"/>
          <w:rtl/>
        </w:rPr>
      </w:pPr>
      <w:hyperlink r:id="rId7" w:history="1">
        <w:r w:rsidRPr="003348B4">
          <w:rPr>
            <w:rFonts w:ascii="FrankRuehl" w:hAnsi="FrankRuehl" w:cs="FrankRuehl"/>
            <w:color w:val="0000FF"/>
            <w:rtl/>
          </w:rPr>
          <w:t>פקודת הסמים המסוכנים [נוסח חדש], תשל"ג-1973</w:t>
        </w:r>
      </w:hyperlink>
      <w:r w:rsidRPr="003348B4">
        <w:rPr>
          <w:rFonts w:ascii="FrankRuehl" w:hAnsi="FrankRuehl" w:cs="FrankRuehl"/>
          <w:rtl/>
        </w:rPr>
        <w:t xml:space="preserve">: סע'  </w:t>
      </w:r>
      <w:hyperlink r:id="rId8" w:history="1">
        <w:r w:rsidRPr="003348B4">
          <w:rPr>
            <w:rFonts w:ascii="FrankRuehl" w:hAnsi="FrankRuehl" w:cs="FrankRuehl"/>
            <w:color w:val="0000FF"/>
            <w:rtl/>
          </w:rPr>
          <w:t>+ (ג)</w:t>
        </w:r>
      </w:hyperlink>
      <w:r w:rsidRPr="003348B4">
        <w:rPr>
          <w:rFonts w:ascii="FrankRuehl" w:hAnsi="FrankRuehl" w:cs="FrankRuehl"/>
          <w:rtl/>
        </w:rPr>
        <w:t xml:space="preserve">, </w:t>
      </w:r>
      <w:hyperlink r:id="rId9" w:history="1">
        <w:r w:rsidRPr="003348B4">
          <w:rPr>
            <w:rFonts w:ascii="FrankRuehl" w:hAnsi="FrankRuehl" w:cs="FrankRuehl"/>
            <w:color w:val="0000FF"/>
            <w:rtl/>
          </w:rPr>
          <w:t>7(א)</w:t>
        </w:r>
      </w:hyperlink>
    </w:p>
    <w:p w14:paraId="6B3FEE8C" w14:textId="77777777" w:rsidR="003348B4" w:rsidRPr="003348B4" w:rsidRDefault="003348B4" w:rsidP="003348B4">
      <w:pPr>
        <w:spacing w:before="120" w:after="120" w:line="240" w:lineRule="exact"/>
        <w:ind w:left="283" w:hanging="283"/>
        <w:jc w:val="both"/>
        <w:rPr>
          <w:rFonts w:ascii="FrankRuehl" w:hAnsi="FrankRuehl" w:cs="FrankRuehl"/>
          <w:rtl/>
        </w:rPr>
      </w:pPr>
      <w:hyperlink r:id="rId10" w:history="1">
        <w:r w:rsidRPr="003348B4">
          <w:rPr>
            <w:rFonts w:ascii="FrankRuehl" w:hAnsi="FrankRuehl" w:cs="FrankRuehl"/>
            <w:color w:val="0000FF"/>
            <w:rtl/>
          </w:rPr>
          <w:t>פקודת התעבורה [נוסח חדש]</w:t>
        </w:r>
      </w:hyperlink>
      <w:r w:rsidRPr="003348B4">
        <w:rPr>
          <w:rFonts w:ascii="FrankRuehl" w:hAnsi="FrankRuehl" w:cs="FrankRuehl"/>
          <w:rtl/>
        </w:rPr>
        <w:t xml:space="preserve">: סע'  </w:t>
      </w:r>
      <w:hyperlink r:id="rId11" w:history="1">
        <w:r w:rsidRPr="003348B4">
          <w:rPr>
            <w:rFonts w:ascii="FrankRuehl" w:hAnsi="FrankRuehl" w:cs="FrankRuehl"/>
            <w:color w:val="0000FF"/>
            <w:rtl/>
          </w:rPr>
          <w:t>38(1)</w:t>
        </w:r>
      </w:hyperlink>
      <w:r w:rsidRPr="003348B4">
        <w:rPr>
          <w:rFonts w:ascii="FrankRuehl" w:hAnsi="FrankRuehl" w:cs="FrankRuehl"/>
          <w:rtl/>
        </w:rPr>
        <w:t xml:space="preserve">, </w:t>
      </w:r>
      <w:hyperlink r:id="rId12" w:history="1">
        <w:r w:rsidRPr="003348B4">
          <w:rPr>
            <w:rFonts w:ascii="FrankRuehl" w:hAnsi="FrankRuehl" w:cs="FrankRuehl"/>
            <w:color w:val="0000FF"/>
            <w:rtl/>
          </w:rPr>
          <w:t>62(2)</w:t>
        </w:r>
      </w:hyperlink>
    </w:p>
    <w:p w14:paraId="0EAF67EC" w14:textId="77777777" w:rsidR="003348B4" w:rsidRPr="003348B4" w:rsidRDefault="003348B4" w:rsidP="003348B4">
      <w:pPr>
        <w:spacing w:before="120" w:after="120" w:line="240" w:lineRule="exact"/>
        <w:ind w:left="283" w:hanging="283"/>
        <w:jc w:val="both"/>
        <w:rPr>
          <w:rFonts w:ascii="FrankRuehl" w:hAnsi="FrankRuehl" w:cs="FrankRuehl"/>
          <w:rtl/>
        </w:rPr>
      </w:pPr>
      <w:hyperlink r:id="rId13" w:history="1">
        <w:r w:rsidRPr="003348B4">
          <w:rPr>
            <w:rFonts w:ascii="FrankRuehl" w:hAnsi="FrankRuehl" w:cs="FrankRuehl"/>
            <w:color w:val="0000FF"/>
            <w:rtl/>
          </w:rPr>
          <w:t>תקנות התעבורה, תשכ"א-1961 - לא מרובדות</w:t>
        </w:r>
      </w:hyperlink>
      <w:r w:rsidRPr="003348B4">
        <w:rPr>
          <w:rFonts w:ascii="FrankRuehl" w:hAnsi="FrankRuehl" w:cs="FrankRuehl"/>
          <w:rtl/>
        </w:rPr>
        <w:t xml:space="preserve">: סע'  </w:t>
      </w:r>
      <w:hyperlink r:id="rId14" w:history="1">
        <w:r w:rsidRPr="003348B4">
          <w:rPr>
            <w:rFonts w:ascii="FrankRuehl" w:hAnsi="FrankRuehl" w:cs="FrankRuehl"/>
            <w:color w:val="0000FF"/>
            <w:rtl/>
          </w:rPr>
          <w:t>26(2)</w:t>
        </w:r>
      </w:hyperlink>
    </w:p>
    <w:p w14:paraId="7A329455" w14:textId="77777777" w:rsidR="003348B4" w:rsidRPr="003348B4" w:rsidRDefault="003348B4" w:rsidP="003348B4">
      <w:pPr>
        <w:spacing w:before="120" w:after="120" w:line="240" w:lineRule="exact"/>
        <w:ind w:left="283" w:hanging="283"/>
        <w:jc w:val="both"/>
        <w:rPr>
          <w:rFonts w:ascii="FrankRuehl" w:hAnsi="FrankRuehl" w:cs="FrankRuehl"/>
          <w:rtl/>
        </w:rPr>
      </w:pPr>
      <w:hyperlink r:id="rId15" w:history="1">
        <w:r w:rsidRPr="003348B4">
          <w:rPr>
            <w:rFonts w:ascii="FrankRuehl" w:hAnsi="FrankRuehl" w:cs="FrankRuehl"/>
            <w:color w:val="0000FF"/>
            <w:rtl/>
          </w:rPr>
          <w:t>חוק העונשין, תשל"ז-1977</w:t>
        </w:r>
      </w:hyperlink>
      <w:r w:rsidRPr="003348B4">
        <w:rPr>
          <w:rFonts w:ascii="FrankRuehl" w:hAnsi="FrankRuehl" w:cs="FrankRuehl"/>
          <w:rtl/>
        </w:rPr>
        <w:t xml:space="preserve">: סע'  </w:t>
      </w:r>
      <w:hyperlink r:id="rId16" w:history="1">
        <w:r w:rsidRPr="003348B4">
          <w:rPr>
            <w:rFonts w:ascii="FrankRuehl" w:hAnsi="FrankRuehl" w:cs="FrankRuehl"/>
            <w:color w:val="0000FF"/>
            <w:rtl/>
          </w:rPr>
          <w:t>40ג</w:t>
        </w:r>
      </w:hyperlink>
      <w:r w:rsidRPr="003348B4">
        <w:rPr>
          <w:rFonts w:ascii="FrankRuehl" w:hAnsi="FrankRuehl" w:cs="FrankRuehl"/>
          <w:rtl/>
        </w:rPr>
        <w:t xml:space="preserve">, </w:t>
      </w:r>
      <w:hyperlink r:id="rId17" w:history="1">
        <w:r w:rsidRPr="003348B4">
          <w:rPr>
            <w:rFonts w:ascii="FrankRuehl" w:hAnsi="FrankRuehl" w:cs="FrankRuehl"/>
            <w:color w:val="0000FF"/>
            <w:rtl/>
          </w:rPr>
          <w:t>40ט</w:t>
        </w:r>
      </w:hyperlink>
      <w:r w:rsidRPr="003348B4">
        <w:rPr>
          <w:rFonts w:ascii="FrankRuehl" w:hAnsi="FrankRuehl" w:cs="FrankRuehl"/>
          <w:rtl/>
        </w:rPr>
        <w:t xml:space="preserve">, </w:t>
      </w:r>
      <w:hyperlink r:id="rId18" w:history="1">
        <w:r w:rsidRPr="003348B4">
          <w:rPr>
            <w:rFonts w:ascii="FrankRuehl" w:hAnsi="FrankRuehl" w:cs="FrankRuehl"/>
            <w:color w:val="0000FF"/>
            <w:rtl/>
          </w:rPr>
          <w:t>40ט(א)(5)</w:t>
        </w:r>
      </w:hyperlink>
      <w:r w:rsidRPr="003348B4">
        <w:rPr>
          <w:rFonts w:ascii="FrankRuehl" w:hAnsi="FrankRuehl" w:cs="FrankRuehl"/>
          <w:rtl/>
        </w:rPr>
        <w:t xml:space="preserve">, </w:t>
      </w:r>
      <w:hyperlink r:id="rId19" w:history="1">
        <w:r w:rsidRPr="003348B4">
          <w:rPr>
            <w:rFonts w:ascii="FrankRuehl" w:hAnsi="FrankRuehl" w:cs="FrankRuehl"/>
            <w:color w:val="0000FF"/>
            <w:rtl/>
          </w:rPr>
          <w:t>56</w:t>
        </w:r>
      </w:hyperlink>
      <w:r w:rsidRPr="003348B4">
        <w:rPr>
          <w:rFonts w:ascii="FrankRuehl" w:hAnsi="FrankRuehl" w:cs="FrankRuehl"/>
          <w:rtl/>
        </w:rPr>
        <w:t xml:space="preserve">, </w:t>
      </w:r>
      <w:hyperlink r:id="rId20" w:history="1">
        <w:r w:rsidRPr="003348B4">
          <w:rPr>
            <w:rFonts w:ascii="FrankRuehl" w:hAnsi="FrankRuehl" w:cs="FrankRuehl"/>
            <w:color w:val="0000FF"/>
            <w:rtl/>
          </w:rPr>
          <w:t>58</w:t>
        </w:r>
      </w:hyperlink>
      <w:r w:rsidRPr="003348B4">
        <w:rPr>
          <w:rFonts w:ascii="FrankRuehl" w:hAnsi="FrankRuehl" w:cs="FrankRuehl"/>
          <w:rtl/>
        </w:rPr>
        <w:t xml:space="preserve">, </w:t>
      </w:r>
      <w:hyperlink r:id="rId21" w:history="1">
        <w:r w:rsidRPr="003348B4">
          <w:rPr>
            <w:rFonts w:ascii="FrankRuehl" w:hAnsi="FrankRuehl" w:cs="FrankRuehl"/>
            <w:color w:val="0000FF"/>
            <w:rtl/>
          </w:rPr>
          <w:t>71(א)</w:t>
        </w:r>
      </w:hyperlink>
      <w:r w:rsidRPr="003348B4">
        <w:rPr>
          <w:rFonts w:ascii="FrankRuehl" w:hAnsi="FrankRuehl" w:cs="FrankRuehl"/>
          <w:rtl/>
        </w:rPr>
        <w:t xml:space="preserve">, </w:t>
      </w:r>
      <w:hyperlink r:id="rId22" w:history="1">
        <w:r w:rsidRPr="003348B4">
          <w:rPr>
            <w:rFonts w:ascii="FrankRuehl" w:hAnsi="FrankRuehl" w:cs="FrankRuehl"/>
            <w:color w:val="0000FF"/>
            <w:rtl/>
          </w:rPr>
          <w:t>76</w:t>
        </w:r>
      </w:hyperlink>
      <w:r w:rsidRPr="003348B4">
        <w:rPr>
          <w:rFonts w:ascii="FrankRuehl" w:hAnsi="FrankRuehl" w:cs="FrankRuehl"/>
          <w:rtl/>
        </w:rPr>
        <w:t xml:space="preserve">, </w:t>
      </w:r>
      <w:hyperlink r:id="rId23" w:history="1">
        <w:r w:rsidRPr="003348B4">
          <w:rPr>
            <w:rFonts w:ascii="FrankRuehl" w:hAnsi="FrankRuehl" w:cs="FrankRuehl"/>
            <w:color w:val="0000FF"/>
            <w:rtl/>
          </w:rPr>
          <w:t>85</w:t>
        </w:r>
      </w:hyperlink>
      <w:r w:rsidRPr="003348B4">
        <w:rPr>
          <w:rFonts w:ascii="FrankRuehl" w:hAnsi="FrankRuehl" w:cs="FrankRuehl"/>
          <w:rtl/>
        </w:rPr>
        <w:t xml:space="preserve">, </w:t>
      </w:r>
      <w:hyperlink r:id="rId24" w:history="1">
        <w:r w:rsidRPr="003348B4">
          <w:rPr>
            <w:rFonts w:ascii="FrankRuehl" w:hAnsi="FrankRuehl" w:cs="FrankRuehl"/>
            <w:color w:val="0000FF"/>
            <w:rtl/>
          </w:rPr>
          <w:t>40יא</w:t>
        </w:r>
      </w:hyperlink>
      <w:r w:rsidRPr="003348B4">
        <w:rPr>
          <w:rFonts w:ascii="FrankRuehl" w:hAnsi="FrankRuehl" w:cs="FrankRuehl"/>
          <w:rtl/>
        </w:rPr>
        <w:t xml:space="preserve">, </w:t>
      </w:r>
      <w:hyperlink r:id="rId25" w:history="1">
        <w:r w:rsidRPr="003348B4">
          <w:rPr>
            <w:rFonts w:ascii="FrankRuehl" w:hAnsi="FrankRuehl" w:cs="FrankRuehl"/>
            <w:color w:val="0000FF"/>
            <w:rtl/>
          </w:rPr>
          <w:t>40יג</w:t>
        </w:r>
      </w:hyperlink>
    </w:p>
    <w:p w14:paraId="01718BA6" w14:textId="77777777" w:rsidR="003348B4" w:rsidRPr="003348B4" w:rsidRDefault="003348B4" w:rsidP="003348B4">
      <w:pPr>
        <w:spacing w:before="120" w:after="120" w:line="240" w:lineRule="exact"/>
        <w:ind w:left="283" w:hanging="283"/>
        <w:jc w:val="both"/>
        <w:rPr>
          <w:rFonts w:ascii="FrankRuehl" w:hAnsi="FrankRuehl" w:cs="FrankRuehl"/>
          <w:rtl/>
        </w:rPr>
      </w:pPr>
      <w:hyperlink r:id="rId26" w:history="1">
        <w:r w:rsidRPr="003348B4">
          <w:rPr>
            <w:rFonts w:ascii="FrankRuehl" w:hAnsi="FrankRuehl" w:cs="FrankRuehl"/>
            <w:color w:val="0000FF"/>
            <w:rtl/>
          </w:rPr>
          <w:t>חוק סדר הדין הפלילי [נוסח משולב], תשמ"ב-1982</w:t>
        </w:r>
      </w:hyperlink>
      <w:r w:rsidRPr="003348B4">
        <w:rPr>
          <w:rFonts w:ascii="FrankRuehl" w:hAnsi="FrankRuehl" w:cs="FrankRuehl"/>
          <w:rtl/>
        </w:rPr>
        <w:t xml:space="preserve">: סע'  </w:t>
      </w:r>
      <w:hyperlink r:id="rId27" w:history="1">
        <w:r w:rsidRPr="003348B4">
          <w:rPr>
            <w:rFonts w:ascii="FrankRuehl" w:hAnsi="FrankRuehl" w:cs="FrankRuehl"/>
            <w:color w:val="0000FF"/>
            <w:rtl/>
          </w:rPr>
          <w:t>128(1)</w:t>
        </w:r>
      </w:hyperlink>
      <w:r w:rsidRPr="003348B4">
        <w:rPr>
          <w:rFonts w:ascii="FrankRuehl" w:hAnsi="FrankRuehl" w:cs="FrankRuehl"/>
          <w:rtl/>
        </w:rPr>
        <w:t xml:space="preserve">, </w:t>
      </w:r>
      <w:hyperlink r:id="rId28" w:history="1">
        <w:r w:rsidRPr="003348B4">
          <w:rPr>
            <w:rFonts w:ascii="FrankRuehl" w:hAnsi="FrankRuehl" w:cs="FrankRuehl"/>
            <w:color w:val="0000FF"/>
            <w:rtl/>
          </w:rPr>
          <w:t>128(2)</w:t>
        </w:r>
      </w:hyperlink>
      <w:r w:rsidRPr="003348B4">
        <w:rPr>
          <w:rFonts w:ascii="FrankRuehl" w:hAnsi="FrankRuehl" w:cs="FrankRuehl"/>
          <w:rtl/>
        </w:rPr>
        <w:t xml:space="preserve">, </w:t>
      </w:r>
      <w:hyperlink r:id="rId29" w:history="1">
        <w:r w:rsidRPr="003348B4">
          <w:rPr>
            <w:rFonts w:ascii="FrankRuehl" w:hAnsi="FrankRuehl" w:cs="FrankRuehl"/>
            <w:color w:val="0000FF"/>
            <w:rtl/>
          </w:rPr>
          <w:t>129</w:t>
        </w:r>
      </w:hyperlink>
      <w:r w:rsidRPr="003348B4">
        <w:rPr>
          <w:rFonts w:ascii="FrankRuehl" w:hAnsi="FrankRuehl" w:cs="FrankRuehl"/>
          <w:rtl/>
        </w:rPr>
        <w:t xml:space="preserve">, </w:t>
      </w:r>
      <w:hyperlink r:id="rId30" w:history="1">
        <w:r w:rsidRPr="003348B4">
          <w:rPr>
            <w:rFonts w:ascii="FrankRuehl" w:hAnsi="FrankRuehl" w:cs="FrankRuehl"/>
            <w:color w:val="0000FF"/>
            <w:rtl/>
          </w:rPr>
          <w:t>186</w:t>
        </w:r>
      </w:hyperlink>
    </w:p>
    <w:p w14:paraId="7C072210" w14:textId="77777777" w:rsidR="003348B4" w:rsidRPr="003348B4" w:rsidRDefault="003348B4" w:rsidP="003348B4">
      <w:pPr>
        <w:spacing w:line="360" w:lineRule="auto"/>
        <w:rPr>
          <w:sz w:val="26"/>
          <w:szCs w:val="26"/>
          <w:rtl/>
        </w:rPr>
      </w:pPr>
      <w:bookmarkStart w:id="6" w:name="LawTable_End"/>
      <w:bookmarkEnd w:id="6"/>
    </w:p>
    <w:p w14:paraId="38B2B9F3" w14:textId="77777777" w:rsidR="00F53C54" w:rsidRPr="003348B4" w:rsidRDefault="00F53C54">
      <w:pPr>
        <w:spacing w:line="360" w:lineRule="auto"/>
        <w:rPr>
          <w:color w:val="0000FF"/>
          <w:sz w:val="26"/>
          <w:szCs w:val="26"/>
        </w:rPr>
      </w:pPr>
    </w:p>
    <w:p w14:paraId="3B946124" w14:textId="77777777" w:rsidR="003B373A" w:rsidRPr="00464244" w:rsidRDefault="003B373A" w:rsidP="003B373A">
      <w:pPr>
        <w:spacing w:line="360" w:lineRule="auto"/>
        <w:jc w:val="center"/>
        <w:rPr>
          <w:rFonts w:ascii="Arial" w:hAnsi="Arial" w:hint="cs"/>
          <w:b/>
          <w:bCs/>
          <w:sz w:val="36"/>
          <w:szCs w:val="36"/>
          <w:u w:val="single"/>
          <w:rtl/>
        </w:rPr>
      </w:pPr>
      <w:bookmarkStart w:id="7" w:name="PsakDin" w:colFirst="0" w:colLast="0"/>
      <w:bookmarkEnd w:id="0"/>
      <w:r w:rsidRPr="00464244">
        <w:rPr>
          <w:rFonts w:ascii="Arial" w:hAnsi="Arial"/>
          <w:b/>
          <w:bCs/>
          <w:sz w:val="36"/>
          <w:szCs w:val="36"/>
          <w:u w:val="single"/>
          <w:rtl/>
        </w:rPr>
        <w:t>גזר דין</w:t>
      </w:r>
    </w:p>
    <w:bookmarkEnd w:id="7"/>
    <w:p w14:paraId="465F6EF4" w14:textId="77777777" w:rsidR="00F53C54" w:rsidRDefault="00F53C54">
      <w:pPr>
        <w:spacing w:after="120" w:line="360" w:lineRule="auto"/>
        <w:jc w:val="both"/>
        <w:rPr>
          <w:rFonts w:ascii="Tahoma" w:hAnsi="Tahoma"/>
        </w:rPr>
      </w:pPr>
    </w:p>
    <w:p w14:paraId="56306E6A" w14:textId="77777777" w:rsidR="00F53C54" w:rsidRDefault="00464244">
      <w:pPr>
        <w:spacing w:after="120" w:line="360" w:lineRule="auto"/>
        <w:jc w:val="both"/>
        <w:rPr>
          <w:rFonts w:ascii="Tahoma" w:hAnsi="Tahoma"/>
          <w:b/>
          <w:bCs/>
          <w:u w:val="single"/>
          <w:rtl/>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1B08C84E" w14:textId="77777777" w:rsidR="00F53C54" w:rsidRDefault="00464244">
      <w:pPr>
        <w:numPr>
          <w:ilvl w:val="0"/>
          <w:numId w:val="1"/>
        </w:numPr>
        <w:tabs>
          <w:tab w:val="num" w:pos="720"/>
        </w:tabs>
        <w:spacing w:after="120" w:line="360" w:lineRule="auto"/>
        <w:ind w:left="720"/>
        <w:jc w:val="both"/>
        <w:rPr>
          <w:rFonts w:ascii="Tahoma" w:hAnsi="Tahoma"/>
          <w:rtl/>
        </w:rPr>
      </w:pPr>
      <w:r>
        <w:rPr>
          <w:rFonts w:ascii="Tahoma" w:hAnsi="Tahoma" w:hint="cs"/>
          <w:rtl/>
        </w:rPr>
        <w:t>הנאשם הורשע, כאמור בהכרעת הדין, במסגרת הסדר טיעון אליו הגיעו הצדדים בתום הליך של גישור, שהתקיים לאחר שהחלה שמיעת הראיות לפניי. הסדר הטיעון כלל היבט דיוני (הגשת כתב אישום מתוקן) והיבט מהותי (הסכמות חלקיות לעניין העונש). הנאשם הודה בעובדות כתב האישום המתוקן והורשע על יסוד הודאתו זו. הטיעונים לעונש נשמעו אף הם לפניי.</w:t>
      </w:r>
    </w:p>
    <w:p w14:paraId="3AF90C1D" w14:textId="77777777" w:rsidR="00F53C54" w:rsidRDefault="00464244">
      <w:pPr>
        <w:numPr>
          <w:ilvl w:val="0"/>
          <w:numId w:val="1"/>
        </w:numPr>
        <w:tabs>
          <w:tab w:val="num" w:pos="720"/>
        </w:tabs>
        <w:spacing w:after="120" w:line="360" w:lineRule="auto"/>
        <w:ind w:left="720"/>
        <w:jc w:val="both"/>
        <w:rPr>
          <w:rFonts w:ascii="Tahoma" w:hAnsi="Tahoma"/>
        </w:rPr>
      </w:pPr>
      <w:bookmarkStart w:id="8" w:name="ABSTRACT_START"/>
      <w:bookmarkEnd w:id="8"/>
      <w:r>
        <w:rPr>
          <w:rFonts w:ascii="Tahoma" w:hAnsi="Tahoma" w:hint="cs"/>
          <w:rtl/>
        </w:rPr>
        <w:t>על פי עובדות כתב האישום המתוקן, ביום 22.11.14 בשעה 01:42 או בסמוך לכך, נהג הנאשם בקלות ראש ברכב, ברחובות העיר תל אביב, כלהלן:</w:t>
      </w:r>
    </w:p>
    <w:p w14:paraId="7F527BB7" w14:textId="77777777" w:rsidR="00F53C54" w:rsidRDefault="00464244">
      <w:pPr>
        <w:numPr>
          <w:ilvl w:val="0"/>
          <w:numId w:val="2"/>
        </w:numPr>
        <w:spacing w:after="120" w:line="360" w:lineRule="auto"/>
        <w:jc w:val="both"/>
        <w:rPr>
          <w:rFonts w:ascii="Tahoma" w:hAnsi="Tahoma"/>
        </w:rPr>
      </w:pPr>
      <w:r>
        <w:rPr>
          <w:rFonts w:ascii="Tahoma" w:hAnsi="Tahoma" w:hint="cs"/>
          <w:rtl/>
        </w:rPr>
        <w:t>הנאשם נהג ברכב לאורך רחוב אבן גבירול מדרום לצפון. בהגיעו לצומת עם רחוב פנחס סטה הנאשם מהנתיב האמצעי בו נסע לנתיב השמאלי ביותר, בניגוד להוראות התמרור (חץ ברמזור). הנאשם פנה שמאלה במהירות שאינה תואמת את תנאי הדרך לרחוב הבשן, תוך שהוא סוטה וחוסם תנועה בנתיב הנגדי כאשר לכלי הרכב המגיעים מהנתיב הנגדי יש אור ירוק ברמזור.</w:t>
      </w:r>
    </w:p>
    <w:p w14:paraId="1A610AC0" w14:textId="77777777" w:rsidR="00F53C54" w:rsidRDefault="00464244">
      <w:pPr>
        <w:numPr>
          <w:ilvl w:val="0"/>
          <w:numId w:val="2"/>
        </w:numPr>
        <w:spacing w:after="120" w:line="360" w:lineRule="auto"/>
        <w:jc w:val="both"/>
        <w:rPr>
          <w:rFonts w:ascii="Tahoma" w:hAnsi="Tahoma"/>
        </w:rPr>
      </w:pPr>
      <w:r>
        <w:rPr>
          <w:rFonts w:ascii="Tahoma" w:hAnsi="Tahoma" w:hint="cs"/>
          <w:rtl/>
        </w:rPr>
        <w:t>בהמשך נהג הנאשם ברכב, תוך שהוא מזגזג עם הרכב מספר פעמים, והגיע לצומת הרחובות הבשן ויהושע בן נון. במקום זה בלם הנאשם עם הרכב בלימת פתע עם חריקת גלגלי הרכב, שכן רכב אחר הגיע מרח' יהושע בן נון מצפון לדרום והפריע לו.</w:t>
      </w:r>
    </w:p>
    <w:p w14:paraId="17E6378D" w14:textId="77777777" w:rsidR="00F53C54" w:rsidRDefault="00464244">
      <w:pPr>
        <w:numPr>
          <w:ilvl w:val="0"/>
          <w:numId w:val="2"/>
        </w:numPr>
        <w:spacing w:after="120" w:line="360" w:lineRule="auto"/>
        <w:jc w:val="both"/>
        <w:rPr>
          <w:rFonts w:ascii="Tahoma" w:hAnsi="Tahoma"/>
        </w:rPr>
      </w:pPr>
      <w:r>
        <w:rPr>
          <w:rFonts w:ascii="Tahoma" w:hAnsi="Tahoma" w:hint="cs"/>
          <w:rtl/>
        </w:rPr>
        <w:t xml:space="preserve">בהמשך פנה הנאשם שמאלה לרחוב יהושע בן נון, משם פנה ימינה לרחוב סוקולוב, מבלי לעצור או לתת זכות קדימה, כאשר בצומת רחובות אלה קיים תמרור "עצור". בסמוך לרח' סוקולוב 59 עצר הנאשם עם הרכב ויצא ממנו. </w:t>
      </w:r>
    </w:p>
    <w:p w14:paraId="75EDE0DB" w14:textId="77777777" w:rsidR="00F53C54" w:rsidRDefault="00464244">
      <w:pPr>
        <w:numPr>
          <w:ilvl w:val="0"/>
          <w:numId w:val="1"/>
        </w:numPr>
        <w:tabs>
          <w:tab w:val="num" w:pos="720"/>
        </w:tabs>
        <w:spacing w:after="120" w:line="360" w:lineRule="auto"/>
        <w:ind w:left="720"/>
        <w:jc w:val="both"/>
        <w:rPr>
          <w:rFonts w:ascii="Tahoma" w:hAnsi="Tahoma"/>
        </w:rPr>
      </w:pPr>
      <w:bookmarkStart w:id="9" w:name="ABSTRACT_END"/>
      <w:bookmarkEnd w:id="9"/>
      <w:r>
        <w:rPr>
          <w:rFonts w:ascii="Tahoma" w:hAnsi="Tahoma" w:hint="cs"/>
          <w:rtl/>
        </w:rPr>
        <w:t>עוד צוין, בעובדות כתב האישום המתוקן, כי הנאשם נהג כאמור לעיל בהיותו תחת השפעת משקאות משכרים. בנוסף, בחיפוש שנערך ברכב נמצא הנאשם מחזיק, בתא המטען של הרכב, סמים מסוכנים מסוג חשיש במשקל של 95.38 גרם נטו, שלא לצריכתו העצמית, ללא היתר כדין או רישיון מן המנהל, כאשר הסמים מחולקים ל-22 יחידות ("אצבעות חשיש").</w:t>
      </w:r>
    </w:p>
    <w:p w14:paraId="41D81A15"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הנאשם הואשם אפוא, בכתב האישום המתוקן, בעבירות הבאות:</w:t>
      </w:r>
    </w:p>
    <w:p w14:paraId="1A6D8075" w14:textId="77777777" w:rsidR="00F53C54" w:rsidRDefault="00464244">
      <w:pPr>
        <w:spacing w:after="120" w:line="360" w:lineRule="auto"/>
        <w:ind w:left="1440"/>
        <w:jc w:val="both"/>
        <w:rPr>
          <w:rFonts w:ascii="Tahoma" w:hAnsi="Tahoma"/>
          <w:rtl/>
        </w:rPr>
      </w:pPr>
      <w:r>
        <w:rPr>
          <w:rFonts w:ascii="Tahoma" w:hAnsi="Tahoma" w:hint="cs"/>
          <w:b/>
          <w:bCs/>
          <w:rtl/>
        </w:rPr>
        <w:t>החזקת סמים מסוכנים שלא לצריכה עצמית</w:t>
      </w:r>
      <w:r>
        <w:rPr>
          <w:rFonts w:ascii="Tahoma" w:hAnsi="Tahoma" w:hint="cs"/>
          <w:rtl/>
        </w:rPr>
        <w:t xml:space="preserve"> – לפי הוראות </w:t>
      </w:r>
      <w:hyperlink r:id="rId31" w:history="1">
        <w:r w:rsidR="003B373A" w:rsidRPr="003B373A">
          <w:rPr>
            <w:rStyle w:val="Hyperlink"/>
            <w:rFonts w:ascii="Tahoma" w:hAnsi="Tahoma" w:hint="eastAsia"/>
            <w:rtl/>
          </w:rPr>
          <w:t>סעיף</w:t>
        </w:r>
        <w:r w:rsidR="003B373A" w:rsidRPr="003B373A">
          <w:rPr>
            <w:rStyle w:val="Hyperlink"/>
            <w:rFonts w:ascii="Tahoma" w:hAnsi="Tahoma"/>
            <w:rtl/>
          </w:rPr>
          <w:t xml:space="preserve"> 7(א)</w:t>
        </w:r>
      </w:hyperlink>
      <w:r>
        <w:rPr>
          <w:rFonts w:ascii="Tahoma" w:hAnsi="Tahoma" w:hint="cs"/>
          <w:rtl/>
        </w:rPr>
        <w:t xml:space="preserve"> </w:t>
      </w:r>
      <w:hyperlink r:id="rId32" w:history="1">
        <w:r w:rsidR="003B373A" w:rsidRPr="003B373A">
          <w:rPr>
            <w:rStyle w:val="Hyperlink"/>
            <w:rFonts w:ascii="Tahoma" w:hAnsi="Tahoma"/>
            <w:rtl/>
          </w:rPr>
          <w:t>+ (ג)</w:t>
        </w:r>
      </w:hyperlink>
      <w:r>
        <w:rPr>
          <w:rFonts w:ascii="Tahoma" w:hAnsi="Tahoma" w:hint="cs"/>
          <w:rtl/>
        </w:rPr>
        <w:t xml:space="preserve"> רישא ל</w:t>
      </w:r>
      <w:hyperlink r:id="rId33" w:history="1">
        <w:r w:rsidRPr="00464244">
          <w:rPr>
            <w:rFonts w:ascii="Tahoma" w:hAnsi="Tahoma"/>
            <w:color w:val="0000FF"/>
            <w:u w:val="single"/>
            <w:rtl/>
          </w:rPr>
          <w:t>פקודת הסמים המסוכנים</w:t>
        </w:r>
      </w:hyperlink>
      <w:r>
        <w:rPr>
          <w:rFonts w:ascii="Tahoma" w:hAnsi="Tahoma" w:hint="cs"/>
          <w:rtl/>
        </w:rPr>
        <w:t xml:space="preserve"> [נוסח חדש], תשל"ג-1973 (להלן </w:t>
      </w:r>
      <w:r>
        <w:rPr>
          <w:rFonts w:ascii="Tahoma" w:hAnsi="Tahoma"/>
          <w:rtl/>
        </w:rPr>
        <w:t>–</w:t>
      </w:r>
      <w:r>
        <w:rPr>
          <w:rFonts w:ascii="Tahoma" w:hAnsi="Tahoma" w:hint="cs"/>
          <w:rtl/>
        </w:rPr>
        <w:t xml:space="preserve"> פקודת הסמים המסוכנים).</w:t>
      </w:r>
    </w:p>
    <w:p w14:paraId="75E5C066" w14:textId="77777777" w:rsidR="00F53C54" w:rsidRDefault="00464244">
      <w:pPr>
        <w:spacing w:after="120" w:line="360" w:lineRule="auto"/>
        <w:ind w:left="1440"/>
        <w:jc w:val="both"/>
        <w:rPr>
          <w:rFonts w:ascii="Tahoma" w:hAnsi="Tahoma"/>
          <w:rtl/>
        </w:rPr>
      </w:pPr>
      <w:r>
        <w:rPr>
          <w:rFonts w:ascii="Tahoma" w:hAnsi="Tahoma" w:hint="cs"/>
          <w:b/>
          <w:bCs/>
          <w:rtl/>
        </w:rPr>
        <w:t>נהיגה ברכב בקלות ראש</w:t>
      </w:r>
      <w:r>
        <w:rPr>
          <w:rFonts w:ascii="Tahoma" w:hAnsi="Tahoma" w:hint="cs"/>
          <w:rtl/>
        </w:rPr>
        <w:t xml:space="preserve"> – לפי הוראות </w:t>
      </w:r>
      <w:hyperlink r:id="rId34" w:history="1">
        <w:r w:rsidR="003B373A" w:rsidRPr="003B373A">
          <w:rPr>
            <w:rStyle w:val="Hyperlink"/>
            <w:rFonts w:ascii="Tahoma" w:hAnsi="Tahoma" w:hint="eastAsia"/>
            <w:rtl/>
          </w:rPr>
          <w:t>סעיף</w:t>
        </w:r>
        <w:r w:rsidR="003B373A" w:rsidRPr="003B373A">
          <w:rPr>
            <w:rStyle w:val="Hyperlink"/>
            <w:rFonts w:ascii="Tahoma" w:hAnsi="Tahoma"/>
            <w:rtl/>
          </w:rPr>
          <w:t xml:space="preserve"> 62(2)</w:t>
        </w:r>
      </w:hyperlink>
      <w:r>
        <w:rPr>
          <w:rFonts w:ascii="Tahoma" w:hAnsi="Tahoma" w:hint="cs"/>
          <w:rtl/>
        </w:rPr>
        <w:t xml:space="preserve"> ל</w:t>
      </w:r>
      <w:hyperlink r:id="rId35" w:history="1">
        <w:r w:rsidRPr="00464244">
          <w:rPr>
            <w:rFonts w:ascii="Tahoma" w:hAnsi="Tahoma"/>
            <w:color w:val="0000FF"/>
            <w:u w:val="single"/>
            <w:rtl/>
          </w:rPr>
          <w:t>פקודת התעבורה</w:t>
        </w:r>
      </w:hyperlink>
      <w:r>
        <w:rPr>
          <w:rFonts w:ascii="Tahoma" w:hAnsi="Tahoma" w:hint="cs"/>
          <w:rtl/>
        </w:rPr>
        <w:t xml:space="preserve"> [נוסח חדש] (להלן – פקודת התעבורה).</w:t>
      </w:r>
    </w:p>
    <w:p w14:paraId="0A12F63B" w14:textId="77777777" w:rsidR="00F53C54" w:rsidRDefault="00464244">
      <w:pPr>
        <w:spacing w:after="120" w:line="360" w:lineRule="auto"/>
        <w:ind w:left="1440"/>
        <w:jc w:val="both"/>
        <w:rPr>
          <w:rFonts w:ascii="Tahoma" w:hAnsi="Tahoma"/>
        </w:rPr>
      </w:pPr>
      <w:r>
        <w:rPr>
          <w:rFonts w:ascii="Tahoma" w:hAnsi="Tahoma" w:hint="cs"/>
          <w:b/>
          <w:bCs/>
          <w:rtl/>
        </w:rPr>
        <w:lastRenderedPageBreak/>
        <w:t>נהיגה תחת השפעת אלכוהול</w:t>
      </w:r>
      <w:r>
        <w:rPr>
          <w:rFonts w:ascii="Tahoma" w:hAnsi="Tahoma" w:hint="cs"/>
          <w:rtl/>
        </w:rPr>
        <w:t xml:space="preserve"> – לפי הוראות </w:t>
      </w:r>
      <w:hyperlink r:id="rId36" w:history="1">
        <w:r w:rsidR="003B373A" w:rsidRPr="003B373A">
          <w:rPr>
            <w:rStyle w:val="Hyperlink"/>
            <w:rFonts w:ascii="Tahoma" w:hAnsi="Tahoma" w:hint="eastAsia"/>
            <w:rtl/>
          </w:rPr>
          <w:t>תקנה</w:t>
        </w:r>
        <w:r w:rsidR="003B373A" w:rsidRPr="003B373A">
          <w:rPr>
            <w:rStyle w:val="Hyperlink"/>
            <w:rFonts w:ascii="Tahoma" w:hAnsi="Tahoma"/>
            <w:rtl/>
          </w:rPr>
          <w:t xml:space="preserve"> 26(2)</w:t>
        </w:r>
      </w:hyperlink>
      <w:r>
        <w:rPr>
          <w:rFonts w:ascii="Tahoma" w:hAnsi="Tahoma" w:hint="cs"/>
          <w:rtl/>
        </w:rPr>
        <w:t xml:space="preserve"> ל</w:t>
      </w:r>
      <w:hyperlink r:id="rId37" w:history="1">
        <w:r w:rsidRPr="00464244">
          <w:rPr>
            <w:rFonts w:ascii="Tahoma" w:hAnsi="Tahoma"/>
            <w:color w:val="0000FF"/>
            <w:u w:val="single"/>
            <w:rtl/>
          </w:rPr>
          <w:t>תקנות התעבורה</w:t>
        </w:r>
      </w:hyperlink>
      <w:r>
        <w:rPr>
          <w:rFonts w:ascii="Tahoma" w:hAnsi="Tahoma" w:hint="cs"/>
          <w:rtl/>
        </w:rPr>
        <w:t xml:space="preserve">, תשכ"א-1961, יחד עם </w:t>
      </w:r>
      <w:hyperlink r:id="rId38" w:history="1">
        <w:r w:rsidR="003B373A" w:rsidRPr="003B373A">
          <w:rPr>
            <w:rStyle w:val="Hyperlink"/>
            <w:rFonts w:ascii="Tahoma" w:hAnsi="Tahoma" w:hint="eastAsia"/>
            <w:rtl/>
          </w:rPr>
          <w:t>סעיף</w:t>
        </w:r>
        <w:r w:rsidR="003B373A" w:rsidRPr="003B373A">
          <w:rPr>
            <w:rStyle w:val="Hyperlink"/>
            <w:rFonts w:ascii="Tahoma" w:hAnsi="Tahoma"/>
            <w:rtl/>
          </w:rPr>
          <w:t xml:space="preserve"> 38(1)</w:t>
        </w:r>
      </w:hyperlink>
      <w:r>
        <w:rPr>
          <w:rFonts w:ascii="Tahoma" w:hAnsi="Tahoma" w:hint="cs"/>
          <w:rtl/>
        </w:rPr>
        <w:t xml:space="preserve"> ל</w:t>
      </w:r>
      <w:hyperlink r:id="rId39" w:history="1">
        <w:r w:rsidRPr="00464244">
          <w:rPr>
            <w:rFonts w:ascii="Tahoma" w:hAnsi="Tahoma"/>
            <w:color w:val="0000FF"/>
            <w:u w:val="single"/>
            <w:rtl/>
          </w:rPr>
          <w:t>פקודת התעבורה</w:t>
        </w:r>
      </w:hyperlink>
      <w:r>
        <w:rPr>
          <w:rFonts w:ascii="Tahoma" w:hAnsi="Tahoma" w:hint="cs"/>
          <w:rtl/>
        </w:rPr>
        <w:t xml:space="preserve">. </w:t>
      </w:r>
    </w:p>
    <w:p w14:paraId="147CDB93" w14:textId="77777777" w:rsidR="00F53C54" w:rsidRDefault="00464244">
      <w:pPr>
        <w:spacing w:after="120" w:line="360" w:lineRule="auto"/>
        <w:ind w:left="720"/>
        <w:jc w:val="both"/>
        <w:rPr>
          <w:rFonts w:ascii="Tahoma" w:hAnsi="Tahoma"/>
        </w:rPr>
      </w:pPr>
      <w:r>
        <w:rPr>
          <w:rFonts w:ascii="Tahoma" w:hAnsi="Tahoma" w:hint="cs"/>
          <w:rtl/>
        </w:rPr>
        <w:t>על יסוד הודאתו האמורה של הנאשם הוא הורשע, במסגרת הכרעת הדין, בעבירות הנ"ל.</w:t>
      </w:r>
    </w:p>
    <w:p w14:paraId="15005B57"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בהיבט המהותי, הסכמות הצדדים לעניין העונש בהסדר הטיעון נוסחו כלהלן:</w:t>
      </w:r>
    </w:p>
    <w:p w14:paraId="49BCD047" w14:textId="77777777" w:rsidR="00F53C54" w:rsidRDefault="00464244">
      <w:pPr>
        <w:spacing w:after="120" w:line="360" w:lineRule="auto"/>
        <w:ind w:left="1440"/>
        <w:jc w:val="both"/>
        <w:rPr>
          <w:rFonts w:ascii="Tahoma" w:hAnsi="Tahoma"/>
        </w:rPr>
      </w:pPr>
      <w:r>
        <w:rPr>
          <w:rFonts w:ascii="Tahoma" w:hAnsi="Tahoma" w:hint="cs"/>
          <w:b/>
          <w:bCs/>
          <w:rtl/>
        </w:rPr>
        <w:t>מוסכם על הצדדים כי קיימים שני מאסרים מותנים למשך עשרה חודשים ולמשך תשעה חודשים שהם בני הפעלה בתיק זה. התביעה תגביל טיעוניה כך ששני המאסרים המותנים יופעלו בחופף ובמצטבר אחד לשני ולתקופה של 15 חודשים סה"כ, ואילו ההגנה חופשית בטיעוניה לגבי כל הרכיבים</w:t>
      </w:r>
      <w:r>
        <w:rPr>
          <w:rFonts w:ascii="Tahoma" w:hAnsi="Tahoma" w:hint="cs"/>
          <w:rtl/>
        </w:rPr>
        <w:t xml:space="preserve"> (ר' בפרוטוקול, עמ' 41 שורה 8 ואילך).</w:t>
      </w:r>
    </w:p>
    <w:p w14:paraId="6B8F0C0E" w14:textId="77777777" w:rsidR="00F53C54" w:rsidRDefault="00F53C54">
      <w:pPr>
        <w:spacing w:after="120" w:line="360" w:lineRule="auto"/>
        <w:jc w:val="both"/>
        <w:rPr>
          <w:rFonts w:ascii="Tahoma" w:hAnsi="Tahoma"/>
          <w:rtl/>
        </w:rPr>
      </w:pPr>
    </w:p>
    <w:p w14:paraId="69CE743D" w14:textId="77777777" w:rsidR="00F53C54" w:rsidRDefault="00464244">
      <w:pPr>
        <w:spacing w:after="120" w:line="360" w:lineRule="auto"/>
        <w:jc w:val="both"/>
        <w:rPr>
          <w:rFonts w:ascii="Tahoma" w:hAnsi="Tahoma"/>
          <w:b/>
          <w:bCs/>
          <w:u w:val="single"/>
          <w:rtl/>
        </w:rPr>
      </w:pPr>
      <w:r>
        <w:rPr>
          <w:rFonts w:ascii="Tahoma" w:hAnsi="Tahoma" w:hint="cs"/>
          <w:b/>
          <w:bCs/>
          <w:rtl/>
        </w:rPr>
        <w:t>ב.</w:t>
      </w:r>
      <w:r>
        <w:rPr>
          <w:rFonts w:ascii="Tahoma" w:hAnsi="Tahoma" w:hint="cs"/>
          <w:b/>
          <w:bCs/>
          <w:rtl/>
        </w:rPr>
        <w:tab/>
      </w:r>
      <w:r>
        <w:rPr>
          <w:rFonts w:ascii="Tahoma" w:hAnsi="Tahoma" w:hint="cs"/>
          <w:b/>
          <w:bCs/>
          <w:u w:val="single"/>
          <w:rtl/>
        </w:rPr>
        <w:t>הראיות לקביעת העונש ועיקר טיעוני ב"כ הצדדים:</w:t>
      </w:r>
    </w:p>
    <w:p w14:paraId="304E2B71" w14:textId="77777777" w:rsidR="00F53C54" w:rsidRDefault="00464244">
      <w:pPr>
        <w:numPr>
          <w:ilvl w:val="0"/>
          <w:numId w:val="1"/>
        </w:numPr>
        <w:tabs>
          <w:tab w:val="num" w:pos="720"/>
        </w:tabs>
        <w:spacing w:after="120" w:line="360" w:lineRule="auto"/>
        <w:ind w:left="720"/>
        <w:jc w:val="both"/>
        <w:rPr>
          <w:rFonts w:ascii="Tahoma" w:hAnsi="Tahoma"/>
          <w:rtl/>
        </w:rPr>
      </w:pPr>
      <w:r>
        <w:rPr>
          <w:rFonts w:ascii="Tahoma" w:hAnsi="Tahoma" w:hint="cs"/>
          <w:rtl/>
        </w:rPr>
        <w:t>ב"כ המאשימה הגישו, כראיות לקביעת העונש, את גיליונות הרשעותיו הקודמות של הנאשם הן בתחום הפלילי והן בתחום התעבורה, כלהלן:</w:t>
      </w:r>
    </w:p>
    <w:p w14:paraId="41E55B61" w14:textId="77777777" w:rsidR="00F53C54" w:rsidRDefault="00464244">
      <w:pPr>
        <w:spacing w:after="120" w:line="360" w:lineRule="auto"/>
        <w:ind w:left="1440"/>
        <w:jc w:val="both"/>
        <w:rPr>
          <w:rFonts w:ascii="Tahoma" w:hAnsi="Tahoma"/>
        </w:rPr>
      </w:pPr>
      <w:r>
        <w:rPr>
          <w:rFonts w:ascii="Tahoma" w:hAnsi="Tahoma" w:hint="cs"/>
          <w:b/>
          <w:bCs/>
          <w:rtl/>
        </w:rPr>
        <w:t>גיליון הרשעותיו הפליליות הקודמות של הנאשם</w:t>
      </w:r>
      <w:r>
        <w:rPr>
          <w:rFonts w:ascii="Tahoma" w:hAnsi="Tahoma" w:hint="cs"/>
          <w:rtl/>
        </w:rPr>
        <w:t xml:space="preserve"> (ע/1) – שכעולה ממנו לנאשם חמש הרשעות קודמות, בעיקר בעבירות סמים ורכוש, שבגינן הנאשם אף ריצה עונשי מאסר בפועל משמעותיים. הרשעתו הקודמת האחרונה של הנאשם היא מיום 8.10.13 ב</w:t>
      </w:r>
      <w:hyperlink r:id="rId40" w:history="1">
        <w:r w:rsidRPr="00464244">
          <w:rPr>
            <w:rFonts w:ascii="Tahoma" w:hAnsi="Tahoma"/>
            <w:color w:val="0000FF"/>
            <w:u w:val="single"/>
            <w:rtl/>
          </w:rPr>
          <w:t>ת.פ. 23980-07-13</w:t>
        </w:r>
      </w:hyperlink>
      <w:r>
        <w:rPr>
          <w:rFonts w:ascii="Tahoma" w:hAnsi="Tahoma" w:hint="cs"/>
          <w:rtl/>
        </w:rPr>
        <w:t xml:space="preserve"> של בית משפט השלום בראשון לציון (ר' ת/3; להלן – התיק מראשון לציון). באותו מקרה הורשע הנאשם בעבירה של החזקת סמים מסוכנים שלא לצריכה עצמית, והושתו עליו עונשים שונים הכוללים מאסר מותנה בן 9 חודשים, ופסילה מותנית בת שנתיים ימים; עונשים שהינם בני הפעלה בענייננו.</w:t>
      </w:r>
    </w:p>
    <w:p w14:paraId="16EF5D1A" w14:textId="77777777" w:rsidR="00F53C54" w:rsidRDefault="00464244">
      <w:pPr>
        <w:spacing w:after="120" w:line="360" w:lineRule="auto"/>
        <w:ind w:left="1440"/>
        <w:jc w:val="both"/>
        <w:rPr>
          <w:rFonts w:ascii="Tahoma" w:hAnsi="Tahoma"/>
          <w:rtl/>
        </w:rPr>
      </w:pPr>
      <w:r>
        <w:rPr>
          <w:rFonts w:ascii="Tahoma" w:hAnsi="Tahoma" w:hint="cs"/>
          <w:b/>
          <w:bCs/>
          <w:rtl/>
        </w:rPr>
        <w:t>גיליון הרשעות התעבורה הקודמות של הנאשם</w:t>
      </w:r>
      <w:r>
        <w:rPr>
          <w:rFonts w:ascii="Tahoma" w:hAnsi="Tahoma" w:hint="cs"/>
          <w:rtl/>
        </w:rPr>
        <w:t xml:space="preserve"> (ע/2) – שכעולה ממנו לנאשם 36 הרשעות תעבורה קודמות במגוון של עבירות תעבורה שונות. אחת מהרשעותיו הקודמות האמורות – מס' 8 בגיליון ע/2 – היא מיום 14.5.12 ב</w:t>
      </w:r>
      <w:hyperlink r:id="rId41" w:history="1">
        <w:r w:rsidRPr="00464244">
          <w:rPr>
            <w:rFonts w:ascii="Tahoma" w:hAnsi="Tahoma"/>
            <w:color w:val="0000FF"/>
            <w:u w:val="single"/>
            <w:rtl/>
          </w:rPr>
          <w:t>פ.ל. 6265-08-10</w:t>
        </w:r>
      </w:hyperlink>
      <w:r>
        <w:rPr>
          <w:rFonts w:ascii="Tahoma" w:hAnsi="Tahoma" w:hint="cs"/>
          <w:rtl/>
        </w:rPr>
        <w:t xml:space="preserve"> של בית משפט השלום לתעבורה בתל-אביב יפו (ר' גם ת/3; להלן – תיק התעבורה). באותו מקרה הורשע הנאשם בעבירה של נהיגה תחת השפעת משקאות משכרים, והוטלו עליו עונשים שונים הכוללים מאסר מותנה בן 10 חודשים, פסילה מותנית בת שנה, וכן התחייבות להימנע מעבירה על סך 15,000 ₪; עונשים שהינם בני הפעלה בענייננו.</w:t>
      </w:r>
    </w:p>
    <w:p w14:paraId="77D35F25" w14:textId="77777777" w:rsidR="00F53C54" w:rsidRDefault="00464244">
      <w:pPr>
        <w:numPr>
          <w:ilvl w:val="0"/>
          <w:numId w:val="1"/>
        </w:numPr>
        <w:tabs>
          <w:tab w:val="num" w:pos="720"/>
        </w:tabs>
        <w:spacing w:after="120" w:line="360" w:lineRule="auto"/>
        <w:ind w:left="720"/>
        <w:jc w:val="both"/>
        <w:rPr>
          <w:rFonts w:ascii="Tahoma" w:hAnsi="Tahoma"/>
          <w:rtl/>
        </w:rPr>
      </w:pPr>
      <w:r>
        <w:rPr>
          <w:rFonts w:ascii="Tahoma" w:hAnsi="Tahoma" w:hint="cs"/>
          <w:rtl/>
        </w:rPr>
        <w:t>ב"כ המאשימה טענו כי הסדר הטיעון אליו הגיעו עם הנאשם הינו מקל למדי, לרבות בהסכמה לחפיפה חלקית של המאסרים המותנים, וזאת "</w:t>
      </w:r>
      <w:r>
        <w:rPr>
          <w:rFonts w:ascii="Tahoma" w:hAnsi="Tahoma" w:hint="cs"/>
          <w:b/>
          <w:bCs/>
          <w:rtl/>
        </w:rPr>
        <w:t>לאחר שהתביעה לקחה בחשבון את הכשלים בתיק והתנהגות השוטר העוצר שהיה לו שיקול דעת לא ראוי בנסיבות העניין</w:t>
      </w:r>
      <w:r>
        <w:rPr>
          <w:rFonts w:ascii="Tahoma" w:hAnsi="Tahoma" w:hint="cs"/>
          <w:rtl/>
        </w:rPr>
        <w:t xml:space="preserve">" (ר' בפרוטוקול, עמ' 43 שורה 22). לשיטת ב"כ המאשימה, על אף שמעשי הנאשם מגבשים "אירוע" עברייני אחד בלבד, כהגדרתו של מונח זה בהוראות </w:t>
      </w:r>
      <w:hyperlink r:id="rId42" w:history="1">
        <w:r w:rsidRPr="00464244">
          <w:rPr>
            <w:rFonts w:ascii="Tahoma" w:hAnsi="Tahoma"/>
            <w:color w:val="0000FF"/>
            <w:u w:val="single"/>
            <w:rtl/>
          </w:rPr>
          <w:t>חוק העונשין</w:t>
        </w:r>
      </w:hyperlink>
      <w:r>
        <w:rPr>
          <w:rFonts w:ascii="Tahoma" w:hAnsi="Tahoma" w:hint="cs"/>
          <w:rtl/>
        </w:rPr>
        <w:t xml:space="preserve">, תשל"ז-1977 (להלן </w:t>
      </w:r>
      <w:r>
        <w:rPr>
          <w:rFonts w:ascii="Tahoma" w:hAnsi="Tahoma"/>
          <w:rtl/>
        </w:rPr>
        <w:t>–</w:t>
      </w:r>
      <w:r>
        <w:rPr>
          <w:rFonts w:ascii="Tahoma" w:hAnsi="Tahoma" w:hint="cs"/>
          <w:rtl/>
        </w:rPr>
        <w:t xml:space="preserve"> חוק העונשין), יש לקחת בחשבון את הצטברות העבירות במקרה זה. מדובר בנהיגה מסוכנת עם פוטנציאל סכנה גבוה, שלה הצטרפה החזקת סמים מסוכנים בכמות נכבדת, שלא לצריכה עצמית.</w:t>
      </w:r>
    </w:p>
    <w:p w14:paraId="02F61132"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בנסיבות אלה עתרו ב"כ המאשימה למתחם עונש הולם שבין 12 חודשי מאסר בפועל לבין 40 חודשי מאסר בפועל, אך הסתפקו בגזירת עונשו של הנאשם באמצע המתחם. בנוסף עתרו ב"כ המאשימה להפעלת המאסרים המותנים – בכפוף להסכמתם בהסדר הטיעון – במצטבר לעונש שייגזר על הנאשם; ובכל מקרה לתקופת מאסר בפועל שלא תפחת משלושים חודשים.</w:t>
      </w:r>
    </w:p>
    <w:p w14:paraId="34FE5D4B"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עוד עתרו ב"כ המאשימה להטלת מאסרים מותנים, להטלת פסילות בפועל ומותנות, תוך הפעלת עונשי הפסילה המותנים, וכן לצו בדבר תשלום סכום ההתחייבות להימנע מעבירה ולחילוט הרכב בו בוצעו העבירות. יחד עם זאת, בעניין בקשת החילוט הסכימה המאשימה להסתפק בתשלום דמי האחסנה והצגת רישיון רכב ותעודת ביטוח בתוקף, חלף חילוט הרכב (ר' בהודעה מטעם המאשימה, בבקשה מס' 7).</w:t>
      </w:r>
    </w:p>
    <w:p w14:paraId="1D4DCD95"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עו"ד שניר מטעם המאשימה הוסיף והדגיש את חומרת ההיבט התעבורתי של האירוע. אמנם כתב האישום תוקן לקולה לעבירה של נהיגה תחת השפעה – להבדיל מנהיגה בשכרות – אך עדיין אופן נהיגתו של הנאשם, כמתואר בעובדות כתב האישום המתוקן, היה מסוכן ביותר ועלול היה להסתיים בתאונה קטלנית. עוד הדגיש עו"ד שניר את עברו התעבורתי המכביד של הנאשם, הכולל עבירות של נהיגה ללא רישיון נהיגה ושלושה מקרים קודמים של נהיגה תחת השפעה. בנסיבות אלה, ועל פי מדיניות הענישה הנהוגה, יש לשיטתו מקום להחמיר עם הנאשם.</w:t>
      </w:r>
    </w:p>
    <w:p w14:paraId="4CD4949C"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ב"כ הנאשם עתרו, מצידם, להקלה בעונשו של הנאשם. לשיטת ב"כ הנאשם, בחינה-מקרוב של עברו הפלילי של הנאשם מגלה כי מדובר בעבר שאינו כה מכביד כטענת ב"כ המאשימה. הרשעת הנאשם המסומנת מס' 2, דהיינו הרשעתו שלפני הרשעתו הקודמת האחרונה, הינה בגין עבירות משנת 2006 ומאז כבר חלפו שנים ארוכות. מכאן, שמדובר באדם שבמשך תקופה ארוכה נמנע מלבצע עבירות פליליות.</w:t>
      </w:r>
    </w:p>
    <w:p w14:paraId="12560974"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בנוסף, הנאשם – בן 36 ואב לשלושה ילדים קטנים – לקח אחריות על מעשיו מיד, והודה עוד במהלך חקירותיו במשטרה (ר' למשל בהודעתו ת/11). ניהול המשפט על ידי הנאשם, עד להודאתו במסגרת הליך הגישור, נעשה בשל טענותיו, שבעקבותיהן אף תוקן כתב האישום לקולה באופן מהותי. מכאן, שיש לראות בנאשם כמי שהודה ונטל אחריות בהזדמנות הראשונה שניתנה לו.</w:t>
      </w:r>
    </w:p>
    <w:p w14:paraId="09B56662"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ב"כ הנאשם הפנו לכך שהנאשם הודה בחקירותיו בהחזקת הסמים לשימוש עצמי בלבד. לטענתם, הודאת הנאשם בבית המשפט בהחזקת הסמים שלא לשימוש עצמי נעשתה בשל החזקה שבדין, אך בפועל הסכמות הצדדים באשר לדרך הפעלת המאסרים המותנים נעשו נוכח משך התנאי של חמישה חודשים, אשר נקבע לעבירות עוון (בגזר הדין בתיק מראשון לציון).</w:t>
      </w:r>
    </w:p>
    <w:p w14:paraId="0F257CC5"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 xml:space="preserve">זאת ועוד: לטענת ההגנה, השימוש העצמי בסמים על ידי הנאשם נעשה על רקע תאונת דרכים קשה, בה נפגע הנאשם בעברו ושבעטייה הוא החל להשתמש בסמים קלים. התנהגות זו של הנאשם כמובן שאינה מאיינת את העבירה בה הוא הואשם, אך יש לה משמעות לעניין קביעת מתחם העונש ההולם, שכן בעניין זה יש להתחשב בין השאר בגורמים שהביאו את הנאשם לבצע את העבירות (ר' בהוראות </w:t>
      </w:r>
      <w:hyperlink r:id="rId43" w:history="1">
        <w:r w:rsidR="003B373A" w:rsidRPr="003B373A">
          <w:rPr>
            <w:rStyle w:val="Hyperlink"/>
            <w:rFonts w:ascii="Tahoma" w:hAnsi="Tahoma" w:hint="eastAsia"/>
            <w:rtl/>
          </w:rPr>
          <w:t>סעיף</w:t>
        </w:r>
        <w:r w:rsidR="003B373A" w:rsidRPr="003B373A">
          <w:rPr>
            <w:rStyle w:val="Hyperlink"/>
            <w:rFonts w:ascii="Tahoma" w:hAnsi="Tahoma"/>
            <w:rtl/>
          </w:rPr>
          <w:t xml:space="preserve"> 40ט(א)(5)</w:t>
        </w:r>
      </w:hyperlink>
      <w:r>
        <w:rPr>
          <w:rFonts w:ascii="Tahoma" w:hAnsi="Tahoma" w:hint="cs"/>
          <w:rtl/>
        </w:rPr>
        <w:t xml:space="preserve"> ל</w:t>
      </w:r>
      <w:hyperlink r:id="rId44" w:history="1">
        <w:r w:rsidRPr="00464244">
          <w:rPr>
            <w:rFonts w:ascii="Tahoma" w:hAnsi="Tahoma"/>
            <w:color w:val="0000FF"/>
            <w:u w:val="single"/>
            <w:rtl/>
          </w:rPr>
          <w:t>חוק העונשין</w:t>
        </w:r>
      </w:hyperlink>
      <w:r>
        <w:rPr>
          <w:rFonts w:ascii="Tahoma" w:hAnsi="Tahoma" w:hint="cs"/>
          <w:rtl/>
        </w:rPr>
        <w:t>).</w:t>
      </w:r>
    </w:p>
    <w:p w14:paraId="2C3049C4"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מבלי להקל ראש בעבירות בהן הורשע הנאשם הוסיפו ב"כ הנאשם וטענו כי התנהגות הנאשם, הן מבחינת הנהיגה והן מבחינת החזקת הסמים, אינה ברף העליון של חומרה. הנהיגה לא היתה כה מסוכנת, והחזקת הסמים מתייחסת לסמים קלים, כאשר אין מחלוקת שלא מדובר בנהיגה תחת השפעת סמים. לא מדובר אפוא בנאשם שביצע עבירות פליליות מובהקות, ובחינת הפסיקה מגלה כי בתי המשפט אינם מחמירים בכגון דא. יתר על כן, כאשר מדובר בהחזקת סמים מסוג חשיש, גם בכמויות גדולות בהרבה, העונשים המושתים הינם מתונים בהרבה מאלה להם טענו ב"כ המאשימה.</w:t>
      </w:r>
    </w:p>
    <w:p w14:paraId="538AA085"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עוד טענה ההגנה להתקיימות נסיבות מקלות בכל המדדים שנקבעו ב</w:t>
      </w:r>
      <w:hyperlink r:id="rId45" w:history="1">
        <w:r w:rsidRPr="00464244">
          <w:rPr>
            <w:rFonts w:ascii="Tahoma" w:hAnsi="Tahoma"/>
            <w:color w:val="0000FF"/>
            <w:u w:val="single"/>
            <w:rtl/>
          </w:rPr>
          <w:t>חוק העונשין</w:t>
        </w:r>
      </w:hyperlink>
      <w:r>
        <w:rPr>
          <w:rFonts w:ascii="Tahoma" w:hAnsi="Tahoma" w:hint="cs"/>
          <w:rtl/>
        </w:rPr>
        <w:t xml:space="preserve"> לגזירת העונש בתוך מתחם העונש ההולם, החל מהפגיעה במשפחת הנאשם וכלה בהתנהלות רשויות אכיפת החוק, כאשר לעניין זה הדגישו ב"כ הנאשם את האופן האגרסיבי והבלתי ראוי בו נערך החיפוש בגופו של הנאשם.</w:t>
      </w:r>
    </w:p>
    <w:p w14:paraId="083CF0A0"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בנוסף, הנאשם גדל בנסיבות חיים קשות ובהזנחה סביבתית. בין השאר, הנאשם חווה אלימות בבית והוריו התגרשו. בגיל צעיר, לאחר שחרורו מהצבא משירות חלקי, נאלץ הנאשם לצאת לעבוד שכן כבן בכור נדרש לסייע בכלכלת הבית. בנסיבות אלה עתרה ההגנה להקלה המקסימלית האפשרית בעונשו של הנאשם, דהיינו: להסתפקות בתקופת מעצרו ולחילופין בהפעלת תקופות המאסרים המותנים תוך חפיפת העונשים.</w:t>
      </w:r>
    </w:p>
    <w:p w14:paraId="24E7E997"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 xml:space="preserve">עו"ד חודורוב מטעם הנאשם הרחיב עוד בעניין ההיבט התעבורתי. עו"ד חודורוב הדגיש את התיקון המשמעותי שנערך בכתב האישום, כאשר העבירה בה הורשע הנאשם (לעניין הנהיגה תחת השפעה) הינה עבירה קלה באופן ניכר מהעבירה של נהיגה בשכרות לפי הוראות </w:t>
      </w:r>
      <w:hyperlink r:id="rId46" w:history="1">
        <w:r w:rsidRPr="00464244">
          <w:rPr>
            <w:rFonts w:ascii="Tahoma" w:hAnsi="Tahoma"/>
            <w:color w:val="0000FF"/>
            <w:u w:val="single"/>
            <w:rtl/>
          </w:rPr>
          <w:t>פקודת התעבורה</w:t>
        </w:r>
      </w:hyperlink>
      <w:r>
        <w:rPr>
          <w:rFonts w:ascii="Tahoma" w:hAnsi="Tahoma" w:hint="cs"/>
          <w:rtl/>
        </w:rPr>
        <w:t>; הבדל שבא לידי ביטוי, בין השאר, בתקופת פסילת-החובה המינימלית. הבדל מהותי זה הופך הפעלה מצטברת של המאסר המותנה בן 10 החודשים – שבכל מקרה הינו מאסר מותנה ממושך, בפרט כאשר מדובר בעבירות תעבורה – לבלתי ראויה ובלתי מידתית.</w:t>
      </w:r>
    </w:p>
    <w:p w14:paraId="6FF919EC"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 xml:space="preserve">עו"ד חודורוב הוסיף וטען בהקשר זה, ועל אף ההסכמות החלקיות שבין הצדדים לעניין הפעלת המאסרים המותנים, כי המאסר המותנה הנ"ל (בן 10 חודשים), שנגזר על הנאשם בתיק התעבורה, הינו בטל מדעיקרא וממילא לא ניתן להפעלה. במה דברים אמורים. המאסר המותנה בתיק התעבורה נגזר על הנאשם שלא בנוכחותו אלא בנוכחות בא-כוחו (עו"ד חודורוב) בלבד. לשיטת עו"ד חודורוב, כיוון שדין מפורש הוא שמאסר לא ייגזר אלא בפני הנאשם (בהתאם להוראות </w:t>
      </w:r>
      <w:hyperlink r:id="rId47" w:history="1">
        <w:r w:rsidR="003B373A" w:rsidRPr="003B373A">
          <w:rPr>
            <w:rStyle w:val="Hyperlink"/>
            <w:rFonts w:ascii="Tahoma" w:hAnsi="Tahoma" w:hint="eastAsia"/>
            <w:rtl/>
          </w:rPr>
          <w:t>סעיף</w:t>
        </w:r>
        <w:r w:rsidR="003B373A" w:rsidRPr="003B373A">
          <w:rPr>
            <w:rStyle w:val="Hyperlink"/>
            <w:rFonts w:ascii="Tahoma" w:hAnsi="Tahoma"/>
            <w:rtl/>
          </w:rPr>
          <w:t xml:space="preserve"> 129</w:t>
        </w:r>
      </w:hyperlink>
      <w:r>
        <w:rPr>
          <w:rFonts w:ascii="Tahoma" w:hAnsi="Tahoma" w:hint="cs"/>
          <w:rtl/>
        </w:rPr>
        <w:t xml:space="preserve"> ל</w:t>
      </w:r>
      <w:hyperlink r:id="rId48" w:history="1">
        <w:r w:rsidRPr="00464244">
          <w:rPr>
            <w:rFonts w:ascii="Tahoma" w:hAnsi="Tahoma"/>
            <w:color w:val="0000FF"/>
            <w:u w:val="single"/>
            <w:rtl/>
          </w:rPr>
          <w:t>חוק סדר הדין הפלילי</w:t>
        </w:r>
      </w:hyperlink>
      <w:r>
        <w:rPr>
          <w:rFonts w:ascii="Tahoma" w:hAnsi="Tahoma" w:hint="cs"/>
          <w:rtl/>
        </w:rPr>
        <w:t xml:space="preserve"> [נוסח משולב], תשמ"ב-1982 (להלן – ה</w:t>
      </w:r>
      <w:hyperlink r:id="rId49" w:history="1">
        <w:r w:rsidRPr="00464244">
          <w:rPr>
            <w:rFonts w:ascii="Tahoma" w:hAnsi="Tahoma"/>
            <w:color w:val="0000FF"/>
            <w:u w:val="single"/>
            <w:rtl/>
          </w:rPr>
          <w:t>חסד"פ</w:t>
        </w:r>
      </w:hyperlink>
      <w:r>
        <w:rPr>
          <w:rFonts w:ascii="Tahoma" w:hAnsi="Tahoma" w:hint="cs"/>
          <w:rtl/>
        </w:rPr>
        <w:t xml:space="preserve">)), וכיוון שמאסר מותנה הוא סוג של מאסר (ר' </w:t>
      </w:r>
      <w:hyperlink r:id="rId50" w:history="1">
        <w:r w:rsidRPr="00464244">
          <w:rPr>
            <w:rFonts w:ascii="Tahoma" w:hAnsi="Tahoma"/>
            <w:color w:val="0000FF"/>
            <w:u w:val="single"/>
            <w:rtl/>
          </w:rPr>
          <w:t>ע"פ 1867/00 מדינת ישראל נ' גוטמן, פ"ד נ"ד</w:t>
        </w:r>
      </w:hyperlink>
      <w:r>
        <w:rPr>
          <w:rFonts w:ascii="Tahoma" w:hAnsi="Tahoma" w:hint="cs"/>
          <w:rtl/>
        </w:rPr>
        <w:t xml:space="preserve"> (3) 145, 154 (2000)), המסקנה המתחייבת היא שהמאסר המותנה האמור ניתן שלא בסמכות ולפיכך הינו בטל מעיקרו.</w:t>
      </w:r>
    </w:p>
    <w:p w14:paraId="42646B4B" w14:textId="77777777" w:rsidR="00F53C54" w:rsidRDefault="00464244">
      <w:pPr>
        <w:numPr>
          <w:ilvl w:val="0"/>
          <w:numId w:val="1"/>
        </w:numPr>
        <w:tabs>
          <w:tab w:val="num" w:pos="720"/>
        </w:tabs>
        <w:spacing w:after="120" w:line="360" w:lineRule="auto"/>
        <w:ind w:left="720"/>
        <w:jc w:val="both"/>
        <w:rPr>
          <w:rFonts w:ascii="Tahoma" w:hAnsi="Tahoma"/>
          <w:rtl/>
        </w:rPr>
      </w:pPr>
      <w:r>
        <w:rPr>
          <w:rFonts w:ascii="Tahoma" w:hAnsi="Tahoma" w:hint="cs"/>
          <w:rtl/>
        </w:rPr>
        <w:t>עוד טען עו"ד חודורוב, כי במקרה דנא העבירה ה"עיקרית" היא החזקת הסמים שלא לצריכה עצמית. לפיכך, כאשר אין מחלוקת כי העונש בגין עבירה זו לא צריך לעלות על שמונה חודשי מאסר, אין מקום להטיל בגין עבירות התעבורה עונש חמור יותר. לבסוף חזר והדגיש עו"ד חודורוב את הודאתו של הנאשם ונטילת האחריות על ידיו, על כל משמעויותיהן לעניין העונש; כאשר יש להתחשב בכך שניהול התיק עד שלב ההודאה היה חיוני, כפי שהדברים באו לידי ביטוי בתיקונים המהותיים שנערכו בכתב האישום.</w:t>
      </w:r>
    </w:p>
    <w:p w14:paraId="21750021" w14:textId="77777777" w:rsidR="00F53C54" w:rsidRDefault="00464244">
      <w:pPr>
        <w:numPr>
          <w:ilvl w:val="0"/>
          <w:numId w:val="1"/>
        </w:numPr>
        <w:tabs>
          <w:tab w:val="num" w:pos="720"/>
        </w:tabs>
        <w:spacing w:after="120" w:line="360" w:lineRule="auto"/>
        <w:ind w:left="720"/>
        <w:jc w:val="both"/>
        <w:rPr>
          <w:rFonts w:ascii="Tahoma" w:hAnsi="Tahoma"/>
        </w:rPr>
      </w:pPr>
      <w:r>
        <w:rPr>
          <w:rFonts w:ascii="Tahoma" w:hAnsi="Tahoma" w:hint="cs"/>
          <w:rtl/>
        </w:rPr>
        <w:t>לבסוף הנאשם, בדברו האחרון לעונש, הביע צער וחרטה עמוקה. הנאשם הרחיב בתיאור נסיבותיו האישיות, וציין כי מעצרו בתיק זה זעזע אותו מאוד. לדבריו, במהלך המעצר הוא שולב בקבוצות טיפוליות, שהביאו אותו לבחון את הצורך לעשיית שינויים עמוקים בחייו, שינויים שעד היום לא היו לו הכלים לבצעם. הנאשם סיפר כי הוא מבקש לגדל את ילדיו כראוי, לא כפי שהוא עצמו גדל, וטען כי הוא מפנים את אחריותו למעשיו. עוד ציין הנאשם, כי במהלך מעצרו הוא שולב כחונך לעצירים, שנזקקו לעזרה עם כניסתם למעצר. לבסוף טען הנאשם כי הוא מתכוון לשים סוף לשימוש בסמים ולקבל טיפול מתאים לבעיות שיש לו במערכת העצבים כתוצאה מהתאונה שעבר בצעירותו, ושב והביע חרטה על "</w:t>
      </w:r>
      <w:r>
        <w:rPr>
          <w:rFonts w:ascii="Tahoma" w:hAnsi="Tahoma" w:hint="cs"/>
          <w:b/>
          <w:bCs/>
          <w:rtl/>
        </w:rPr>
        <w:t>המקרה עצמו</w:t>
      </w:r>
      <w:r>
        <w:rPr>
          <w:rFonts w:ascii="Tahoma" w:hAnsi="Tahoma" w:hint="cs"/>
          <w:rtl/>
        </w:rPr>
        <w:t>" (ר' בפרוטוקול, עמ' 49 שורה 21).</w:t>
      </w:r>
    </w:p>
    <w:p w14:paraId="2092AA56" w14:textId="77777777" w:rsidR="00F53C54" w:rsidRDefault="00F53C54">
      <w:pPr>
        <w:spacing w:after="120" w:line="360" w:lineRule="auto"/>
        <w:jc w:val="both"/>
        <w:rPr>
          <w:rFonts w:ascii="Tahoma" w:hAnsi="Tahoma"/>
        </w:rPr>
      </w:pPr>
    </w:p>
    <w:p w14:paraId="359D6F7F" w14:textId="77777777" w:rsidR="00F53C54" w:rsidRDefault="00464244">
      <w:pPr>
        <w:spacing w:after="120" w:line="360" w:lineRule="auto"/>
        <w:jc w:val="both"/>
        <w:rPr>
          <w:rFonts w:ascii="Tahoma" w:hAnsi="Tahoma"/>
        </w:rPr>
      </w:pPr>
      <w:r>
        <w:rPr>
          <w:rFonts w:hint="cs"/>
          <w:b/>
          <w:bCs/>
          <w:rtl/>
        </w:rPr>
        <w:t>ג.</w:t>
      </w:r>
      <w:r>
        <w:rPr>
          <w:rFonts w:hint="cs"/>
          <w:b/>
          <w:bCs/>
          <w:rtl/>
        </w:rPr>
        <w:tab/>
      </w:r>
      <w:r>
        <w:rPr>
          <w:rFonts w:hint="cs"/>
          <w:b/>
          <w:bCs/>
          <w:u w:val="single"/>
          <w:rtl/>
        </w:rPr>
        <w:t>קביעת מתחם העונש ההולם:</w:t>
      </w:r>
    </w:p>
    <w:p w14:paraId="73CB3533" w14:textId="77777777" w:rsidR="00F53C54" w:rsidRDefault="00464244">
      <w:pPr>
        <w:numPr>
          <w:ilvl w:val="0"/>
          <w:numId w:val="1"/>
        </w:numPr>
        <w:tabs>
          <w:tab w:val="num" w:pos="720"/>
        </w:tabs>
        <w:spacing w:after="120" w:line="360" w:lineRule="auto"/>
        <w:ind w:left="720"/>
        <w:jc w:val="both"/>
        <w:rPr>
          <w:rFonts w:ascii="Tahoma" w:hAnsi="Tahoma"/>
        </w:rPr>
      </w:pPr>
      <w:r>
        <w:rPr>
          <w:rFonts w:hint="cs"/>
          <w:rtl/>
        </w:rPr>
        <w:t xml:space="preserve">בעת גזירת עונשו של נאשם על בית המשפט לקבוע, תחילה, את מתחם העונש ההולם לכל אירוע עברייני שבגינו הורשע הנאשם, ולאחר מכן לגזור את עונשו של הנאשם בתוך מתחם העונש ההולם; והכל כאמור בהוראות </w:t>
      </w:r>
      <w:hyperlink r:id="rId51" w:history="1">
        <w:r w:rsidR="003B373A" w:rsidRPr="003B373A">
          <w:rPr>
            <w:rStyle w:val="Hyperlink"/>
            <w:rFonts w:hint="eastAsia"/>
            <w:rtl/>
          </w:rPr>
          <w:t>סעיף</w:t>
        </w:r>
        <w:r w:rsidR="003B373A" w:rsidRPr="003B373A">
          <w:rPr>
            <w:rStyle w:val="Hyperlink"/>
            <w:rtl/>
          </w:rPr>
          <w:t xml:space="preserve"> 40ג</w:t>
        </w:r>
      </w:hyperlink>
      <w:r>
        <w:rPr>
          <w:rFonts w:hint="cs"/>
          <w:rtl/>
        </w:rPr>
        <w:t xml:space="preserve"> יחד עם </w:t>
      </w:r>
      <w:hyperlink r:id="rId52" w:history="1">
        <w:r w:rsidR="003B373A" w:rsidRPr="003B373A">
          <w:rPr>
            <w:rStyle w:val="Hyperlink"/>
            <w:rFonts w:hint="eastAsia"/>
            <w:rtl/>
          </w:rPr>
          <w:t>סעיף</w:t>
        </w:r>
        <w:r w:rsidR="003B373A" w:rsidRPr="003B373A">
          <w:rPr>
            <w:rStyle w:val="Hyperlink"/>
            <w:rtl/>
          </w:rPr>
          <w:t xml:space="preserve"> 40יג</w:t>
        </w:r>
      </w:hyperlink>
      <w:r>
        <w:rPr>
          <w:rFonts w:hint="cs"/>
          <w:rtl/>
        </w:rPr>
        <w:t xml:space="preserve"> ל</w:t>
      </w:r>
      <w:hyperlink r:id="rId53" w:history="1">
        <w:r w:rsidRPr="00464244">
          <w:rPr>
            <w:color w:val="0000FF"/>
            <w:u w:val="single"/>
            <w:rtl/>
          </w:rPr>
          <w:t>חוק העונשין</w:t>
        </w:r>
      </w:hyperlink>
      <w:r>
        <w:rPr>
          <w:rFonts w:hint="cs"/>
          <w:rtl/>
        </w:rPr>
        <w:t xml:space="preserve">. קביעת מתחם העונש ההולם לכל אירוע תיעשה בהתאם </w:t>
      </w:r>
      <w:r>
        <w:rPr>
          <w:rFonts w:ascii="Tahoma" w:hAnsi="Tahoma" w:hint="cs"/>
          <w:rtl/>
        </w:rPr>
        <w:t xml:space="preserve">לעיקרון המנחה בענישה – הוא עקרון ההלימה – </w:t>
      </w:r>
      <w:r>
        <w:rPr>
          <w:rFonts w:hint="cs"/>
          <w:rtl/>
        </w:rPr>
        <w:t xml:space="preserve">תוך התחשבות בערך החברתי שנפגע מביצוע העבירות ובמידת הפגיעה בו, במדיניות הענישה הנהוגה ובנסיבות הקשורות בביצוע העבירות, כמפורט בהוראות </w:t>
      </w:r>
      <w:hyperlink r:id="rId54" w:history="1">
        <w:r w:rsidR="003B373A" w:rsidRPr="003B373A">
          <w:rPr>
            <w:rStyle w:val="Hyperlink"/>
            <w:rFonts w:hint="eastAsia"/>
            <w:rtl/>
          </w:rPr>
          <w:t>סעיף</w:t>
        </w:r>
        <w:r w:rsidR="003B373A" w:rsidRPr="003B373A">
          <w:rPr>
            <w:rStyle w:val="Hyperlink"/>
            <w:rtl/>
          </w:rPr>
          <w:t xml:space="preserve"> 40ט</w:t>
        </w:r>
      </w:hyperlink>
      <w:r>
        <w:rPr>
          <w:rFonts w:hint="cs"/>
          <w:rtl/>
        </w:rPr>
        <w:t xml:space="preserve"> ל</w:t>
      </w:r>
      <w:hyperlink r:id="rId55" w:history="1">
        <w:r w:rsidRPr="00464244">
          <w:rPr>
            <w:color w:val="0000FF"/>
            <w:u w:val="single"/>
            <w:rtl/>
          </w:rPr>
          <w:t>חוק העונשין</w:t>
        </w:r>
      </w:hyperlink>
      <w:r>
        <w:rPr>
          <w:rFonts w:hint="cs"/>
          <w:rtl/>
        </w:rPr>
        <w:t>.</w:t>
      </w:r>
    </w:p>
    <w:p w14:paraId="55C4CC1A" w14:textId="77777777" w:rsidR="00F53C54" w:rsidRDefault="00464244">
      <w:pPr>
        <w:numPr>
          <w:ilvl w:val="0"/>
          <w:numId w:val="1"/>
        </w:numPr>
        <w:tabs>
          <w:tab w:val="num" w:pos="720"/>
        </w:tabs>
        <w:spacing w:after="120" w:line="360" w:lineRule="auto"/>
        <w:ind w:left="720"/>
        <w:jc w:val="both"/>
      </w:pPr>
      <w:r>
        <w:rPr>
          <w:rFonts w:hint="cs"/>
          <w:rtl/>
        </w:rPr>
        <w:t>על פי מבחן ה"קשר ההדוק", שנקבע בדעת הרוב ב</w:t>
      </w:r>
      <w:hyperlink r:id="rId56" w:history="1">
        <w:r w:rsidRPr="00464244">
          <w:rPr>
            <w:color w:val="0000FF"/>
            <w:u w:val="single"/>
            <w:rtl/>
          </w:rPr>
          <w:t>ע"פ 4910/13</w:t>
        </w:r>
      </w:hyperlink>
      <w:r>
        <w:rPr>
          <w:rFonts w:hint="cs"/>
          <w:rtl/>
        </w:rPr>
        <w:t xml:space="preserve"> </w:t>
      </w:r>
      <w:r>
        <w:rPr>
          <w:rFonts w:hint="cs"/>
          <w:b/>
          <w:bCs/>
          <w:rtl/>
        </w:rPr>
        <w:t>ג'אבר נ' מדינת ישראל</w:t>
      </w:r>
      <w:r>
        <w:rPr>
          <w:rFonts w:hint="cs"/>
          <w:rtl/>
        </w:rPr>
        <w:t xml:space="preserve"> (2014) (להלן – עניין </w:t>
      </w:r>
      <w:r>
        <w:rPr>
          <w:rFonts w:hint="cs"/>
          <w:b/>
          <w:bCs/>
          <w:rtl/>
        </w:rPr>
        <w:t>ג'אבר</w:t>
      </w:r>
      <w:r>
        <w:rPr>
          <w:rFonts w:hint="cs"/>
          <w:rtl/>
        </w:rPr>
        <w:t>), במקרה דנא מדובר</w:t>
      </w:r>
      <w:r>
        <w:rPr>
          <w:rtl/>
        </w:rPr>
        <w:t xml:space="preserve"> –</w:t>
      </w:r>
      <w:r>
        <w:rPr>
          <w:rFonts w:hint="cs"/>
          <w:rtl/>
        </w:rPr>
        <w:t xml:space="preserve"> על פני הדברים, וכפי שהסכימו-למעשה גם ב"כ שני הצדדים </w:t>
      </w:r>
      <w:r>
        <w:rPr>
          <w:rtl/>
        </w:rPr>
        <w:t>–</w:t>
      </w:r>
      <w:r>
        <w:rPr>
          <w:rFonts w:hint="cs"/>
          <w:rtl/>
        </w:rPr>
        <w:t xml:space="preserve"> ב"אירוע" אחד בלבד. יחד עם זאת, מדובר באירוע הכולל מספר "מעשים" נפרדים </w:t>
      </w:r>
      <w:r>
        <w:rPr>
          <w:rtl/>
        </w:rPr>
        <w:t>–</w:t>
      </w:r>
      <w:r>
        <w:rPr>
          <w:rFonts w:hint="cs"/>
          <w:rtl/>
        </w:rPr>
        <w:t xml:space="preserve"> כהגדרת המונח "מעשה" על פי הוראות </w:t>
      </w:r>
      <w:hyperlink r:id="rId57" w:history="1">
        <w:r w:rsidR="003B373A" w:rsidRPr="003B373A">
          <w:rPr>
            <w:rStyle w:val="Hyperlink"/>
            <w:rFonts w:hint="eastAsia"/>
            <w:rtl/>
          </w:rPr>
          <w:t>סעיף</w:t>
        </w:r>
        <w:r w:rsidR="003B373A" w:rsidRPr="003B373A">
          <w:rPr>
            <w:rStyle w:val="Hyperlink"/>
            <w:rtl/>
          </w:rPr>
          <w:t xml:space="preserve"> 186</w:t>
        </w:r>
      </w:hyperlink>
      <w:r>
        <w:rPr>
          <w:rFonts w:hint="cs"/>
          <w:rtl/>
        </w:rPr>
        <w:t xml:space="preserve"> ל</w:t>
      </w:r>
      <w:hyperlink r:id="rId58" w:history="1">
        <w:r w:rsidRPr="00464244">
          <w:rPr>
            <w:color w:val="0000FF"/>
            <w:u w:val="single"/>
            <w:rtl/>
          </w:rPr>
          <w:t>חסד"פ</w:t>
        </w:r>
      </w:hyperlink>
      <w:r>
        <w:rPr>
          <w:rFonts w:hint="cs"/>
          <w:rtl/>
        </w:rPr>
        <w:t xml:space="preserve"> </w:t>
      </w:r>
      <w:r>
        <w:rPr>
          <w:rtl/>
        </w:rPr>
        <w:t>–</w:t>
      </w:r>
      <w:r>
        <w:rPr>
          <w:rFonts w:hint="cs"/>
          <w:rtl/>
        </w:rPr>
        <w:t xml:space="preserve"> ובהיבט מחמיר זה יש להתחשב בעת קביעת מתחם העונש ההולם לאירוע כולו, כפי שנקבע עוד בעניין </w:t>
      </w:r>
      <w:r>
        <w:rPr>
          <w:rFonts w:hint="cs"/>
          <w:b/>
          <w:bCs/>
          <w:rtl/>
        </w:rPr>
        <w:t>ג'אבר</w:t>
      </w:r>
      <w:r>
        <w:rPr>
          <w:rFonts w:hint="cs"/>
          <w:rtl/>
        </w:rPr>
        <w:t xml:space="preserve"> עצמו.</w:t>
      </w:r>
    </w:p>
    <w:p w14:paraId="79D6F4E8" w14:textId="77777777" w:rsidR="00F53C54" w:rsidRDefault="00464244">
      <w:pPr>
        <w:numPr>
          <w:ilvl w:val="0"/>
          <w:numId w:val="1"/>
        </w:numPr>
        <w:tabs>
          <w:tab w:val="num" w:pos="720"/>
        </w:tabs>
        <w:spacing w:after="120" w:line="360" w:lineRule="auto"/>
        <w:ind w:left="720"/>
        <w:jc w:val="both"/>
      </w:pPr>
      <w:r>
        <w:rPr>
          <w:rFonts w:hint="cs"/>
          <w:rtl/>
        </w:rPr>
        <w:t>ב"כ הצדדים הגישו לפניי, בהקשר זה, כמות נכבדה של אסמכתאות, חלקן עוד מלפני תחילתו של תיקון 113 ל</w:t>
      </w:r>
      <w:hyperlink r:id="rId59" w:history="1">
        <w:r w:rsidRPr="00464244">
          <w:rPr>
            <w:color w:val="0000FF"/>
            <w:u w:val="single"/>
            <w:rtl/>
          </w:rPr>
          <w:t>חוק העונשין</w:t>
        </w:r>
      </w:hyperlink>
      <w:r>
        <w:rPr>
          <w:rFonts w:hint="cs"/>
          <w:rtl/>
        </w:rPr>
        <w:t>. יחד עם זאת, עסקינן כאן במקרה ייחודי, במובן זה שהוא כולל הצטברות של מעשים שונים ועבירות שונות, כך שהיכולת להסתייע באסמכתאות הנ"ל היא מוגבלת. מכל מקום, אין ספק כי מדובר באירוע חמור, ואין לקבל את גישת עו"ד חודורוב שלפיה מדובר בתיק של החזקת סמים שעבירות התעבורה הן אך בבחינת נספחות לו.</w:t>
      </w:r>
    </w:p>
    <w:p w14:paraId="467E64F6" w14:textId="77777777" w:rsidR="00F53C54" w:rsidRDefault="00464244">
      <w:pPr>
        <w:numPr>
          <w:ilvl w:val="0"/>
          <w:numId w:val="1"/>
        </w:numPr>
        <w:tabs>
          <w:tab w:val="num" w:pos="720"/>
        </w:tabs>
        <w:spacing w:after="120" w:line="360" w:lineRule="auto"/>
        <w:ind w:left="720"/>
        <w:jc w:val="both"/>
      </w:pPr>
      <w:r>
        <w:rPr>
          <w:rFonts w:hint="cs"/>
          <w:rtl/>
        </w:rPr>
        <w:t xml:space="preserve">עניינן של עובדות כתב האישום המתוקן הוא במקרה של נסיעה פראית ברחובות תל-אביב </w:t>
      </w:r>
      <w:r>
        <w:rPr>
          <w:rtl/>
        </w:rPr>
        <w:t>–</w:t>
      </w:r>
      <w:r>
        <w:rPr>
          <w:rFonts w:hint="cs"/>
          <w:rtl/>
        </w:rPr>
        <w:t xml:space="preserve"> לרבות רחוב ראשי, הוא רחוב אבן גבירול </w:t>
      </w:r>
      <w:r>
        <w:rPr>
          <w:rtl/>
        </w:rPr>
        <w:t>–</w:t>
      </w:r>
      <w:r>
        <w:rPr>
          <w:rFonts w:hint="cs"/>
          <w:rtl/>
        </w:rPr>
        <w:t xml:space="preserve"> תוך ביצוע עבירות תנועה חמורות; והכל אגב כך שהנהג-הנאשם מצוי תחת השפעת משקאות משכרים. אכן, עובדות כתב האישום המקורי תוקנו לקולה באופן מהותי, ופשיטא כי יש ליתן לכך משמעות מהותית, אך עדיין עסקינן בהתנהגות שסכנתה לציבור המשתמשים בדרך רבה מאוד, ורק בדרך מקרה האירוע לא הסתיים בתוצאות חמורות בהרבה. אמנם מדובר באירוע שאירע בשעה 01:42 </w:t>
      </w:r>
      <w:r>
        <w:rPr>
          <w:rtl/>
        </w:rPr>
        <w:t>–</w:t>
      </w:r>
      <w:r>
        <w:rPr>
          <w:rFonts w:hint="cs"/>
          <w:rtl/>
        </w:rPr>
        <w:t xml:space="preserve"> בה כמות המשתמשים בדרך הינה פחותה </w:t>
      </w:r>
      <w:r>
        <w:rPr>
          <w:rtl/>
        </w:rPr>
        <w:t>–</w:t>
      </w:r>
      <w:r>
        <w:rPr>
          <w:rFonts w:hint="cs"/>
          <w:rtl/>
        </w:rPr>
        <w:t xml:space="preserve"> אך בהקשר זה יש לזכור כי עסקינן בין השאר ברחוב ראשי בעיר תל אביב, על כל המשתמע מכך מבחינת נפח התנועה.</w:t>
      </w:r>
    </w:p>
    <w:p w14:paraId="79F414CB" w14:textId="77777777" w:rsidR="00F53C54" w:rsidRDefault="00464244">
      <w:pPr>
        <w:numPr>
          <w:ilvl w:val="0"/>
          <w:numId w:val="1"/>
        </w:numPr>
        <w:tabs>
          <w:tab w:val="num" w:pos="720"/>
        </w:tabs>
        <w:spacing w:after="120" w:line="360" w:lineRule="auto"/>
        <w:ind w:left="720"/>
        <w:jc w:val="both"/>
      </w:pPr>
      <w:r>
        <w:rPr>
          <w:rFonts w:hint="cs"/>
          <w:rtl/>
        </w:rPr>
        <w:t>ואם לא די בכל אלה, הנאשם החזיק ברכב סמים מסוכנים מסוג חשיש, בכמות לא מבוטלת, העולה כמה וכמה מונים על הכמות הקבועה בחזקת הסחרות שב</w:t>
      </w:r>
      <w:hyperlink r:id="rId60" w:history="1">
        <w:r w:rsidRPr="00464244">
          <w:rPr>
            <w:color w:val="0000FF"/>
            <w:u w:val="single"/>
            <w:rtl/>
          </w:rPr>
          <w:t>פקודת הסמים המסוכנים</w:t>
        </w:r>
      </w:hyperlink>
      <w:r>
        <w:rPr>
          <w:rFonts w:hint="cs"/>
          <w:rtl/>
        </w:rPr>
        <w:t>. בנוסף, הסמים היו מחולקים ל-22 יחידות שונות. ההגנה אמנם טענה כי הנאשם נהג להשתמש בסמים על רקע מצוקה רפואית. ואולם, מעבר לכך שהטענה נטענה ללא כל ביסוס ראייתי, אין מקום ליתן לה משקל נורמטיבי, שכן מדובר הלכה למעשה לטענה לעשיית-דין עצמית.</w:t>
      </w:r>
    </w:p>
    <w:p w14:paraId="23CEB160" w14:textId="77777777" w:rsidR="00F53C54" w:rsidRDefault="00464244">
      <w:pPr>
        <w:numPr>
          <w:ilvl w:val="0"/>
          <w:numId w:val="1"/>
        </w:numPr>
        <w:tabs>
          <w:tab w:val="num" w:pos="720"/>
        </w:tabs>
        <w:spacing w:after="120" w:line="360" w:lineRule="auto"/>
        <w:ind w:left="720"/>
        <w:jc w:val="both"/>
      </w:pPr>
      <w:r>
        <w:rPr>
          <w:rFonts w:hint="cs"/>
          <w:rtl/>
        </w:rPr>
        <w:t>מדובר אפוא, בנסיבות אלה, ב"אירוע" חמור ומורכב, הכולל מספר מעשים נפרדים. לפיכך אני קובע את מתחם העונש ההולם בגינו בין 8 חודשי מאסר בפועל לבין 24 חודשי מאסר בפועל.</w:t>
      </w:r>
    </w:p>
    <w:p w14:paraId="4B776CA4" w14:textId="77777777" w:rsidR="00F53C54" w:rsidRDefault="00F53C54">
      <w:pPr>
        <w:spacing w:after="120" w:line="360" w:lineRule="auto"/>
        <w:ind w:left="720"/>
        <w:jc w:val="both"/>
      </w:pPr>
    </w:p>
    <w:p w14:paraId="3F8FB555" w14:textId="77777777" w:rsidR="00F53C54" w:rsidRDefault="00464244">
      <w:pPr>
        <w:snapToGrid w:val="0"/>
        <w:spacing w:after="120" w:line="360" w:lineRule="auto"/>
        <w:jc w:val="both"/>
        <w:rPr>
          <w:b/>
          <w:bCs/>
          <w:u w:val="single"/>
          <w:rtl/>
        </w:rPr>
      </w:pPr>
      <w:r>
        <w:rPr>
          <w:rFonts w:hint="cs"/>
          <w:b/>
          <w:bCs/>
          <w:rtl/>
        </w:rPr>
        <w:t>ד.</w:t>
      </w:r>
      <w:r>
        <w:rPr>
          <w:rFonts w:hint="cs"/>
          <w:b/>
          <w:bCs/>
          <w:rtl/>
        </w:rPr>
        <w:tab/>
      </w:r>
      <w:r>
        <w:rPr>
          <w:rFonts w:hint="cs"/>
          <w:b/>
          <w:bCs/>
          <w:u w:val="single"/>
          <w:rtl/>
        </w:rPr>
        <w:t>גזירת עונשו של הנאשם בתוך מתחם העונש ההולם:</w:t>
      </w:r>
    </w:p>
    <w:p w14:paraId="072C4AFC" w14:textId="77777777" w:rsidR="00F53C54" w:rsidRDefault="00464244">
      <w:pPr>
        <w:numPr>
          <w:ilvl w:val="0"/>
          <w:numId w:val="1"/>
        </w:numPr>
        <w:tabs>
          <w:tab w:val="num" w:pos="720"/>
        </w:tabs>
        <w:spacing w:after="120" w:line="360" w:lineRule="auto"/>
        <w:ind w:left="720"/>
        <w:jc w:val="both"/>
        <w:rPr>
          <w:rtl/>
        </w:rPr>
      </w:pPr>
      <w:r>
        <w:rPr>
          <w:rFonts w:hint="cs"/>
          <w:rtl/>
        </w:rPr>
        <w:t xml:space="preserve">לאחר קביעת מתחם העונש ההולם על בית המשפט לגזור את עונשו של הנאשם בתוך המתחם </w:t>
      </w:r>
      <w:r>
        <w:rPr>
          <w:rtl/>
        </w:rPr>
        <w:t>–</w:t>
      </w:r>
      <w:r>
        <w:rPr>
          <w:rFonts w:hint="cs"/>
          <w:rtl/>
        </w:rPr>
        <w:t xml:space="preserve"> למעט במקרים יוצאי דופן, בהם הוא רשאי לחרוג מכך, שאין עניינם לכאן </w:t>
      </w:r>
      <w:r>
        <w:rPr>
          <w:rtl/>
        </w:rPr>
        <w:t>–</w:t>
      </w:r>
      <w:r>
        <w:rPr>
          <w:rFonts w:hint="cs"/>
          <w:rtl/>
        </w:rPr>
        <w:t xml:space="preserve"> תוך התחשבות בנסיבות שאינן קשורות בביצוע העבירות, כמפורט בהוראות </w:t>
      </w:r>
      <w:hyperlink r:id="rId61" w:history="1">
        <w:r w:rsidR="003B373A" w:rsidRPr="003B373A">
          <w:rPr>
            <w:rStyle w:val="Hyperlink"/>
            <w:rFonts w:hint="eastAsia"/>
            <w:rtl/>
          </w:rPr>
          <w:t>סעיף</w:t>
        </w:r>
        <w:r w:rsidR="003B373A" w:rsidRPr="003B373A">
          <w:rPr>
            <w:rStyle w:val="Hyperlink"/>
            <w:rtl/>
          </w:rPr>
          <w:t xml:space="preserve"> 40יא</w:t>
        </w:r>
      </w:hyperlink>
      <w:r>
        <w:rPr>
          <w:rFonts w:hint="cs"/>
          <w:rtl/>
        </w:rPr>
        <w:t xml:space="preserve"> ל</w:t>
      </w:r>
      <w:hyperlink r:id="rId62" w:history="1">
        <w:r w:rsidRPr="00464244">
          <w:rPr>
            <w:color w:val="0000FF"/>
            <w:u w:val="single"/>
            <w:rtl/>
          </w:rPr>
          <w:t>חוק העונשין</w:t>
        </w:r>
      </w:hyperlink>
      <w:r>
        <w:rPr>
          <w:rFonts w:hint="cs"/>
          <w:rtl/>
        </w:rPr>
        <w:t>.</w:t>
      </w:r>
    </w:p>
    <w:p w14:paraId="49455580" w14:textId="77777777" w:rsidR="00F53C54" w:rsidRDefault="00464244">
      <w:pPr>
        <w:numPr>
          <w:ilvl w:val="0"/>
          <w:numId w:val="1"/>
        </w:numPr>
        <w:tabs>
          <w:tab w:val="num" w:pos="720"/>
        </w:tabs>
        <w:spacing w:after="120" w:line="360" w:lineRule="auto"/>
        <w:ind w:left="720"/>
        <w:jc w:val="both"/>
      </w:pPr>
      <w:r>
        <w:rPr>
          <w:rFonts w:hint="cs"/>
          <w:rtl/>
        </w:rPr>
        <w:t>באשר לנאשם שלפניי, השיקולים הרלוואנטיים לגזירת עונשו הם כלהלן:</w:t>
      </w:r>
    </w:p>
    <w:p w14:paraId="03EDF2EF" w14:textId="77777777" w:rsidR="00F53C54" w:rsidRDefault="00464244">
      <w:pPr>
        <w:snapToGrid w:val="0"/>
        <w:spacing w:after="120" w:line="360" w:lineRule="auto"/>
        <w:ind w:left="1440"/>
        <w:jc w:val="both"/>
        <w:rPr>
          <w:rtl/>
        </w:rPr>
      </w:pPr>
      <w:r>
        <w:rPr>
          <w:rFonts w:hint="cs"/>
          <w:b/>
          <w:bCs/>
          <w:rtl/>
        </w:rPr>
        <w:t xml:space="preserve">נתוניו האישיים של הנאשם ונסיבות חייו </w:t>
      </w:r>
      <w:r>
        <w:rPr>
          <w:b/>
          <w:bCs/>
          <w:rtl/>
        </w:rPr>
        <w:t>–</w:t>
      </w:r>
      <w:r>
        <w:rPr>
          <w:rFonts w:hint="cs"/>
          <w:rtl/>
        </w:rPr>
        <w:t xml:space="preserve"> הנאשם הינו יליד שנת 1979 ולו שלושה ילדים קטנים. פשיטא, כי עונש מאסר בפועל יפגע בנאשם ובמשפחתו. יחד עם זאת, לא ניתן לומר כי מדובר בפגיעה יוצאת דופן בהשוואה לנאשמים אחרים, המצויים במצבו של הנאשם. אף נסיבות חייו של הנאשם לא היו קלות והוריו התגרשו, אך שוב לא מדובר בנסיבות חריגות במיוחד.</w:t>
      </w:r>
    </w:p>
    <w:p w14:paraId="5A8D6FB9" w14:textId="77777777" w:rsidR="00F53C54" w:rsidRDefault="00464244">
      <w:pPr>
        <w:snapToGrid w:val="0"/>
        <w:spacing w:after="120" w:line="360" w:lineRule="auto"/>
        <w:ind w:left="1440"/>
        <w:jc w:val="both"/>
        <w:rPr>
          <w:rtl/>
        </w:rPr>
      </w:pPr>
      <w:r>
        <w:rPr>
          <w:rFonts w:hint="cs"/>
          <w:b/>
          <w:bCs/>
          <w:rtl/>
        </w:rPr>
        <w:t xml:space="preserve">עברו הפלילי והתעבורתי של הנאשם </w:t>
      </w:r>
      <w:r>
        <w:rPr>
          <w:b/>
          <w:bCs/>
          <w:rtl/>
        </w:rPr>
        <w:t>–</w:t>
      </w:r>
      <w:r>
        <w:rPr>
          <w:rFonts w:hint="cs"/>
          <w:rtl/>
        </w:rPr>
        <w:t xml:space="preserve"> כפי שפורט לעיל, לנאשם עבר מכביד הן בתחום הפלילי והן בתחום התעבורתי.</w:t>
      </w:r>
    </w:p>
    <w:p w14:paraId="7F03EF2F" w14:textId="77777777" w:rsidR="00F53C54" w:rsidRDefault="00464244">
      <w:pPr>
        <w:snapToGrid w:val="0"/>
        <w:spacing w:after="120" w:line="360" w:lineRule="auto"/>
        <w:ind w:left="1440"/>
        <w:jc w:val="both"/>
        <w:rPr>
          <w:rtl/>
        </w:rPr>
      </w:pPr>
      <w:r>
        <w:rPr>
          <w:rFonts w:hint="cs"/>
          <w:rtl/>
        </w:rPr>
        <w:t>באשר לעברו הפלילי של הנאשם יש לציין, כי הגם ש</w:t>
      </w:r>
      <w:r>
        <w:rPr>
          <w:rFonts w:ascii="Tahoma" w:hAnsi="Tahoma" w:hint="cs"/>
          <w:rtl/>
        </w:rPr>
        <w:t xml:space="preserve">הרשעתו מס' 2 </w:t>
      </w:r>
      <w:r>
        <w:rPr>
          <w:rFonts w:hint="cs"/>
          <w:rtl/>
        </w:rPr>
        <w:t xml:space="preserve">אמנם מתייחסת </w:t>
      </w:r>
      <w:r>
        <w:rPr>
          <w:rtl/>
        </w:rPr>
        <w:t>–</w:t>
      </w:r>
      <w:r>
        <w:rPr>
          <w:rFonts w:hint="cs"/>
          <w:rtl/>
        </w:rPr>
        <w:t xml:space="preserve"> כטענת ההגנה </w:t>
      </w:r>
      <w:r>
        <w:rPr>
          <w:rtl/>
        </w:rPr>
        <w:t>–</w:t>
      </w:r>
      <w:r>
        <w:rPr>
          <w:rFonts w:hint="cs"/>
          <w:rtl/>
        </w:rPr>
        <w:t xml:space="preserve"> למעשים ישנים יחסית משנת 2006, הרי שהרשעתו הקודמת לכך, מס' 3, מתייחסת בין השאר לעבירות סמים משנת 2010 (ר' ע/1). בנסיבות אלה, לא ניתן לומר שהיתה הפוגה של ממש, של שנים ארוכות, בפעילותו הפלילית של הנאשם, ומדובר בעבר פלילי מכביד.</w:t>
      </w:r>
    </w:p>
    <w:p w14:paraId="54FBDC41" w14:textId="77777777" w:rsidR="00F53C54" w:rsidRDefault="00464244">
      <w:pPr>
        <w:snapToGrid w:val="0"/>
        <w:spacing w:after="120" w:line="360" w:lineRule="auto"/>
        <w:ind w:left="1440"/>
        <w:jc w:val="both"/>
        <w:rPr>
          <w:rtl/>
        </w:rPr>
      </w:pPr>
      <w:r>
        <w:rPr>
          <w:rFonts w:hint="cs"/>
          <w:rtl/>
        </w:rPr>
        <w:t>עברו התעבורתי של הנאשם מכביד אף הוא וכולל מגוון של עבירות. זאת ועוד: למעשה עסקינן בנאשם שהחל לנהוג ברכב שנים ארוכות בטרם קיבל רישיון נהיגה. רישיון הנהיגה של הנאשם הוא משנת 2004 ואילו הרשעת התעבורה הראשונה שלו, בגין נהיגה ללא רישיון, הינה משנת 1995.</w:t>
      </w:r>
    </w:p>
    <w:p w14:paraId="5D3D7EF5" w14:textId="77777777" w:rsidR="00F53C54" w:rsidRDefault="00464244">
      <w:pPr>
        <w:snapToGrid w:val="0"/>
        <w:spacing w:after="120" w:line="360" w:lineRule="auto"/>
        <w:ind w:left="1440"/>
        <w:jc w:val="both"/>
        <w:rPr>
          <w:rtl/>
        </w:rPr>
      </w:pPr>
      <w:r>
        <w:rPr>
          <w:rFonts w:hint="cs"/>
          <w:rtl/>
        </w:rPr>
        <w:t>נוכח עבר זה המסקנה המתבקשת היא שמדובר בנאשם החוזר ומבצע עבירות, הן בתחום הפלילי והן בתחום התעבורתי, והעונשים שהושתו עליו בעבר לא הרתיעו אותו מלשוב לסורו. אף לא מדובר במקרה בו עומד הנאשם בפעם הראשונה בפני עונש של מאסר בפועל, וכפועל יוצא מכך אין מקום להתחשבות, הננקטת בנסיבות המתאימות, כלפי מי שעומד לראשונה בחייו בפני עונש מאסר. בנוסף, נגד הנאשם גם תלויים ועומדים כאמור עונשים מותנים, של מאסר ופסילה, שאף בהם לא היה כדי להרתיע אותו מלהמשיך ולבצע עבירות.</w:t>
      </w:r>
    </w:p>
    <w:p w14:paraId="1B3C5293" w14:textId="77777777" w:rsidR="00F53C54" w:rsidRDefault="00464244">
      <w:pPr>
        <w:snapToGrid w:val="0"/>
        <w:spacing w:after="120" w:line="360" w:lineRule="auto"/>
        <w:ind w:left="1440"/>
        <w:jc w:val="both"/>
        <w:rPr>
          <w:rtl/>
        </w:rPr>
      </w:pPr>
      <w:r>
        <w:rPr>
          <w:rFonts w:hint="cs"/>
          <w:b/>
          <w:bCs/>
          <w:rtl/>
        </w:rPr>
        <w:t xml:space="preserve">הודאה ונטילת אחריות </w:t>
      </w:r>
      <w:r>
        <w:rPr>
          <w:b/>
          <w:bCs/>
          <w:rtl/>
        </w:rPr>
        <w:t>–</w:t>
      </w:r>
      <w:r>
        <w:rPr>
          <w:rFonts w:hint="cs"/>
          <w:rtl/>
        </w:rPr>
        <w:t xml:space="preserve"> הנאשם הודה בעובדות כתב האישום המתוקן. אמנם מדובר בהודאה שניתנה בשלב מאוחר יחסית, לאחר שנשמעו ראיות, אך נוכח התיקון המהותי שנערך בעובדות כתב האישום המקורי נכון אני לקבל את טענת ההגנה כי יש לראות את הנאשם כמי שהודה בעובדות כתב האישום המתוקן מלכתחילה.</w:t>
      </w:r>
    </w:p>
    <w:p w14:paraId="74389582" w14:textId="77777777" w:rsidR="00F53C54" w:rsidRDefault="00464244">
      <w:pPr>
        <w:snapToGrid w:val="0"/>
        <w:spacing w:after="120" w:line="360" w:lineRule="auto"/>
        <w:ind w:left="1440"/>
        <w:jc w:val="both"/>
        <w:rPr>
          <w:rtl/>
        </w:rPr>
      </w:pPr>
      <w:r>
        <w:rPr>
          <w:rFonts w:hint="cs"/>
          <w:rtl/>
        </w:rPr>
        <w:t xml:space="preserve">בנסיבות אלה, מדובר בנסיבה מהותית לקולה והנאשם זכאי להקלה המלאה, </w:t>
      </w:r>
      <w:r>
        <w:rPr>
          <w:rFonts w:ascii="Tahoma" w:hAnsi="Tahoma" w:hint="cs"/>
          <w:rtl/>
        </w:rPr>
        <w:t xml:space="preserve">הניתנת למי שמודה באשמה ונוטל אחריות על מעשיו. </w:t>
      </w:r>
      <w:r>
        <w:rPr>
          <w:rFonts w:hint="cs"/>
          <w:rtl/>
        </w:rPr>
        <w:t>בנוסף, כפי שהדברים באו לידי ביטוי בדברו האחרון של הנאשם לעונש, הנאשם נטל אחריות על מעשיו, ואף זאת יש לזקוף לזכותו.</w:t>
      </w:r>
    </w:p>
    <w:p w14:paraId="39CCA0B3" w14:textId="77777777" w:rsidR="00F53C54" w:rsidRDefault="00464244">
      <w:pPr>
        <w:snapToGrid w:val="0"/>
        <w:spacing w:after="120" w:line="360" w:lineRule="auto"/>
        <w:ind w:left="1440"/>
        <w:jc w:val="both"/>
        <w:rPr>
          <w:rtl/>
        </w:rPr>
      </w:pPr>
      <w:r>
        <w:rPr>
          <w:rFonts w:hint="cs"/>
          <w:b/>
          <w:bCs/>
          <w:rtl/>
        </w:rPr>
        <w:t xml:space="preserve">התנהגות רשויות אכיפת החוק </w:t>
      </w:r>
      <w:r>
        <w:rPr>
          <w:b/>
          <w:bCs/>
          <w:rtl/>
        </w:rPr>
        <w:t>–</w:t>
      </w:r>
      <w:r>
        <w:rPr>
          <w:rFonts w:hint="cs"/>
          <w:rtl/>
        </w:rPr>
        <w:t xml:space="preserve"> כפי שציינה ב"כ המאשימה בהגינותה, במקרה דנא נפלו כשלים חמורים בהתנהלות השוטר העוצר, וברי כי יש להתחשב בכך לכף קולה.</w:t>
      </w:r>
    </w:p>
    <w:p w14:paraId="7A3DD242" w14:textId="77777777" w:rsidR="00F53C54" w:rsidRDefault="00464244">
      <w:pPr>
        <w:numPr>
          <w:ilvl w:val="0"/>
          <w:numId w:val="1"/>
        </w:numPr>
        <w:tabs>
          <w:tab w:val="num" w:pos="720"/>
        </w:tabs>
        <w:spacing w:after="120" w:line="360" w:lineRule="auto"/>
        <w:ind w:left="720"/>
        <w:jc w:val="both"/>
      </w:pPr>
      <w:r>
        <w:rPr>
          <w:rFonts w:hint="cs"/>
          <w:rtl/>
        </w:rPr>
        <w:t>בסך הכל, העולה מכל המקובץ הוא כי עסקינן במקרה בו נסיבות החומרה עולות לכאורה במשקלן על נסיבות הקולה. נסיבת הקולה המהותית העיקרית היא הודאתו של הנאשם ונטילת האחריות על ידיו. לעומת זאת, לנאשם עבר מכביד ביותר, שמציב סימני שאלה באשר לעתיד ולרצינות טענות הנאשם כי החליט לשנות את דרכיו. תקוות בית המשפט היא כי הפעם יעמוד הנאשם בהצהרות שהצהיר, יפנים את אחריותו למעשיו ויימנע מלשוב ולבצע עבירות דומות בעתיד.</w:t>
      </w:r>
    </w:p>
    <w:p w14:paraId="30B82903" w14:textId="77777777" w:rsidR="00F53C54" w:rsidRDefault="00464244">
      <w:pPr>
        <w:numPr>
          <w:ilvl w:val="0"/>
          <w:numId w:val="1"/>
        </w:numPr>
        <w:tabs>
          <w:tab w:val="num" w:pos="720"/>
        </w:tabs>
        <w:spacing w:after="120" w:line="360" w:lineRule="auto"/>
        <w:ind w:left="720"/>
        <w:jc w:val="both"/>
      </w:pPr>
      <w:r>
        <w:rPr>
          <w:rFonts w:hint="cs"/>
          <w:rtl/>
        </w:rPr>
        <w:t>לפיכך, ולו לפנים משורת הדין, אני קובע את עונשו של הנאשם בגין האירוע דנא באמצע מתחם העונש ההולם, דהיינו: לתקופת מאסר בפועל של 16 חודשים.</w:t>
      </w:r>
    </w:p>
    <w:p w14:paraId="240A1575" w14:textId="77777777" w:rsidR="00F53C54" w:rsidRDefault="00F53C54">
      <w:pPr>
        <w:spacing w:after="120" w:line="360" w:lineRule="auto"/>
        <w:jc w:val="both"/>
        <w:rPr>
          <w:rtl/>
        </w:rPr>
      </w:pPr>
    </w:p>
    <w:p w14:paraId="31E5FA47" w14:textId="77777777" w:rsidR="00F53C54" w:rsidRDefault="00464244">
      <w:pPr>
        <w:spacing w:after="120" w:line="360" w:lineRule="auto"/>
        <w:jc w:val="both"/>
        <w:rPr>
          <w:b/>
          <w:bCs/>
          <w:rtl/>
        </w:rPr>
      </w:pPr>
      <w:r>
        <w:rPr>
          <w:rFonts w:hint="cs"/>
          <w:b/>
          <w:bCs/>
          <w:rtl/>
        </w:rPr>
        <w:t>ה.</w:t>
      </w:r>
      <w:r>
        <w:rPr>
          <w:rFonts w:hint="cs"/>
          <w:b/>
          <w:bCs/>
          <w:rtl/>
        </w:rPr>
        <w:tab/>
      </w:r>
      <w:r>
        <w:rPr>
          <w:rFonts w:hint="cs"/>
          <w:b/>
          <w:bCs/>
          <w:u w:val="single"/>
          <w:rtl/>
        </w:rPr>
        <w:t>העונשים המותנים:</w:t>
      </w:r>
    </w:p>
    <w:p w14:paraId="5EBF484A" w14:textId="77777777" w:rsidR="00F53C54" w:rsidRDefault="00464244">
      <w:pPr>
        <w:numPr>
          <w:ilvl w:val="0"/>
          <w:numId w:val="1"/>
        </w:numPr>
        <w:tabs>
          <w:tab w:val="num" w:pos="720"/>
        </w:tabs>
        <w:spacing w:after="120" w:line="360" w:lineRule="auto"/>
        <w:ind w:left="720"/>
        <w:jc w:val="both"/>
      </w:pPr>
      <w:r>
        <w:rPr>
          <w:rFonts w:hint="cs"/>
          <w:rtl/>
        </w:rPr>
        <w:t xml:space="preserve">על אף הסכמות הצדדים החלקיות בעניין הפעלת המאסרים המותנים, עו"ד חודורוב הוסיף וטען, כאמור, כי עונש המאסר המותנה שהוטל בתיק התעבורה הינו בטל מעיקרו, משום שניתן בהיעדר הנאשם בניגוד להוראות </w:t>
      </w:r>
      <w:hyperlink r:id="rId63" w:history="1">
        <w:r w:rsidR="003B373A" w:rsidRPr="003B373A">
          <w:rPr>
            <w:rStyle w:val="Hyperlink"/>
            <w:rFonts w:hint="eastAsia"/>
            <w:rtl/>
          </w:rPr>
          <w:t>סעיף</w:t>
        </w:r>
        <w:r w:rsidR="003B373A" w:rsidRPr="003B373A">
          <w:rPr>
            <w:rStyle w:val="Hyperlink"/>
            <w:rtl/>
          </w:rPr>
          <w:t xml:space="preserve"> 129</w:t>
        </w:r>
      </w:hyperlink>
      <w:r>
        <w:rPr>
          <w:rFonts w:hint="cs"/>
          <w:rtl/>
        </w:rPr>
        <w:t xml:space="preserve"> ל</w:t>
      </w:r>
      <w:hyperlink r:id="rId64" w:history="1">
        <w:r w:rsidRPr="00464244">
          <w:rPr>
            <w:color w:val="0000FF"/>
            <w:u w:val="single"/>
            <w:rtl/>
          </w:rPr>
          <w:t>חסד"פ</w:t>
        </w:r>
      </w:hyperlink>
      <w:r>
        <w:rPr>
          <w:rFonts w:hint="cs"/>
          <w:rtl/>
        </w:rPr>
        <w:t>.</w:t>
      </w:r>
    </w:p>
    <w:p w14:paraId="6B451832" w14:textId="77777777" w:rsidR="00F53C54" w:rsidRDefault="00464244">
      <w:pPr>
        <w:numPr>
          <w:ilvl w:val="0"/>
          <w:numId w:val="1"/>
        </w:numPr>
        <w:tabs>
          <w:tab w:val="num" w:pos="720"/>
        </w:tabs>
        <w:spacing w:after="120" w:line="360" w:lineRule="auto"/>
        <w:ind w:left="720"/>
        <w:jc w:val="both"/>
      </w:pPr>
      <w:r>
        <w:rPr>
          <w:rFonts w:hint="cs"/>
          <w:rtl/>
        </w:rPr>
        <w:t>יאמר מיד, כי על פני הדברים הטענה היא טענה מוקשה: גזר הדין בתיק התעבורה ניתן במסגרת הסדר טיעון דיוני בין ב"כ הנאשם, עו"ד חודורוב, לבין ב"כ המאשימה דשם. פשיטא, כי מדובר בהסדר שנעשה על דעת הנאשם ומטעמו, ואף לא נטען לפניי אחרת. לפיכך, בעצם העובדה שהנאשם לא טרח להתייצב לאותו דיון, והעדיף להיות מיוצג על ידי בא-כוחו בלבד, אין כדי לפטור אותו מתוצאות גזר הדין, שניתן כאמור במסגרת הסדר שהוא עצמו היה צד לו.</w:t>
      </w:r>
    </w:p>
    <w:p w14:paraId="54BE23C9" w14:textId="77777777" w:rsidR="00F53C54" w:rsidRDefault="00464244">
      <w:pPr>
        <w:numPr>
          <w:ilvl w:val="0"/>
          <w:numId w:val="1"/>
        </w:numPr>
        <w:tabs>
          <w:tab w:val="num" w:pos="720"/>
        </w:tabs>
        <w:spacing w:after="120" w:line="360" w:lineRule="auto"/>
        <w:ind w:left="720"/>
        <w:jc w:val="both"/>
      </w:pPr>
      <w:r>
        <w:rPr>
          <w:rFonts w:ascii="Tahoma" w:hAnsi="Tahoma" w:hint="cs"/>
          <w:rtl/>
        </w:rPr>
        <w:t xml:space="preserve">מדובר למעשה בסוג של השתק: הנאשם, שביקש להידון בבית המשפט לתעבורה בפרוצדורה מסוימת, אינו רשאי להיזכר כיום, כשהדבר אינו עולה בקנה אחד עם האינטרס שלו, כי מדובר בפרוצדורה שאינה כדין; והוא מושתק מלהעלות טענה זו. מכל מקום, גם אם תאמר כי אין בכוחו של השתק כדי לרפא פגם-של-סמכות, הרי שכפי שקבע בית המשפט המחוזי בבאר-שבע </w:t>
      </w:r>
      <w:r>
        <w:rPr>
          <w:rFonts w:ascii="Tahoma" w:hAnsi="Tahoma"/>
          <w:rtl/>
        </w:rPr>
        <w:t>–</w:t>
      </w:r>
      <w:r>
        <w:rPr>
          <w:rFonts w:ascii="Tahoma" w:hAnsi="Tahoma" w:hint="cs"/>
          <w:rtl/>
        </w:rPr>
        <w:t xml:space="preserve"> בטענה דומה של עו"ד חודורוב במקרה אחר </w:t>
      </w:r>
      <w:r>
        <w:rPr>
          <w:rFonts w:ascii="Tahoma" w:hAnsi="Tahoma"/>
          <w:rtl/>
        </w:rPr>
        <w:t>–</w:t>
      </w:r>
      <w:r>
        <w:rPr>
          <w:rFonts w:ascii="Tahoma" w:hAnsi="Tahoma" w:hint="cs"/>
          <w:rtl/>
        </w:rPr>
        <w:t xml:space="preserve"> במקרה כגון דא אין כלל תחולה להוראות </w:t>
      </w:r>
      <w:hyperlink r:id="rId65" w:history="1">
        <w:r w:rsidR="003B373A" w:rsidRPr="003B373A">
          <w:rPr>
            <w:rStyle w:val="Hyperlink"/>
            <w:rFonts w:ascii="Tahoma" w:hAnsi="Tahoma" w:hint="eastAsia"/>
            <w:rtl/>
          </w:rPr>
          <w:t>סעיף</w:t>
        </w:r>
        <w:r w:rsidR="003B373A" w:rsidRPr="003B373A">
          <w:rPr>
            <w:rStyle w:val="Hyperlink"/>
            <w:rFonts w:ascii="Tahoma" w:hAnsi="Tahoma"/>
            <w:rtl/>
          </w:rPr>
          <w:t xml:space="preserve"> 129</w:t>
        </w:r>
      </w:hyperlink>
      <w:r>
        <w:rPr>
          <w:rFonts w:ascii="Tahoma" w:hAnsi="Tahoma" w:hint="cs"/>
          <w:rtl/>
        </w:rPr>
        <w:t xml:space="preserve"> ל</w:t>
      </w:r>
      <w:hyperlink r:id="rId66" w:history="1">
        <w:r w:rsidRPr="00464244">
          <w:rPr>
            <w:rFonts w:ascii="Tahoma" w:hAnsi="Tahoma"/>
            <w:color w:val="0000FF"/>
            <w:u w:val="single"/>
            <w:rtl/>
          </w:rPr>
          <w:t>חסד"פ</w:t>
        </w:r>
      </w:hyperlink>
      <w:r>
        <w:rPr>
          <w:rFonts w:ascii="Tahoma" w:hAnsi="Tahoma" w:hint="cs"/>
          <w:rtl/>
        </w:rPr>
        <w:t xml:space="preserve"> (ר' </w:t>
      </w:r>
      <w:hyperlink r:id="rId67" w:history="1">
        <w:r w:rsidRPr="00464244">
          <w:rPr>
            <w:rFonts w:ascii="Tahoma" w:hAnsi="Tahoma"/>
            <w:color w:val="0000FF"/>
            <w:u w:val="single"/>
            <w:rtl/>
          </w:rPr>
          <w:t>ע"פ (ב"ש) 7112/02</w:t>
        </w:r>
      </w:hyperlink>
      <w:r>
        <w:rPr>
          <w:rFonts w:ascii="Tahoma" w:hAnsi="Tahoma" w:hint="cs"/>
          <w:rtl/>
        </w:rPr>
        <w:t xml:space="preserve"> </w:t>
      </w:r>
      <w:r>
        <w:rPr>
          <w:rFonts w:ascii="Tahoma" w:hAnsi="Tahoma" w:hint="cs"/>
          <w:b/>
          <w:bCs/>
          <w:rtl/>
        </w:rPr>
        <w:t>אלג'ביר נ' מדינת ישראל</w:t>
      </w:r>
      <w:r>
        <w:rPr>
          <w:rFonts w:ascii="Tahoma" w:hAnsi="Tahoma" w:hint="cs"/>
          <w:rtl/>
        </w:rPr>
        <w:t xml:space="preserve"> </w:t>
      </w:r>
      <w:r>
        <w:rPr>
          <w:rFonts w:hint="cs"/>
          <w:rtl/>
        </w:rPr>
        <w:t xml:space="preserve">(2003)). כפי שנפסק שם, </w:t>
      </w:r>
      <w:hyperlink r:id="rId68" w:history="1">
        <w:r w:rsidR="003B373A" w:rsidRPr="003B373A">
          <w:rPr>
            <w:rStyle w:val="Hyperlink"/>
            <w:rFonts w:hint="eastAsia"/>
            <w:rtl/>
          </w:rPr>
          <w:t>סעיף</w:t>
        </w:r>
        <w:r w:rsidR="003B373A" w:rsidRPr="003B373A">
          <w:rPr>
            <w:rStyle w:val="Hyperlink"/>
            <w:rtl/>
          </w:rPr>
          <w:t xml:space="preserve"> 129</w:t>
        </w:r>
      </w:hyperlink>
      <w:r>
        <w:rPr>
          <w:rFonts w:hint="cs"/>
          <w:rtl/>
        </w:rPr>
        <w:t xml:space="preserve"> ל</w:t>
      </w:r>
      <w:hyperlink r:id="rId69" w:history="1">
        <w:r w:rsidRPr="00464244">
          <w:rPr>
            <w:color w:val="0000FF"/>
            <w:u w:val="single"/>
            <w:rtl/>
          </w:rPr>
          <w:t>חסד"פ</w:t>
        </w:r>
      </w:hyperlink>
      <w:r>
        <w:rPr>
          <w:rFonts w:hint="cs"/>
          <w:rtl/>
        </w:rPr>
        <w:t xml:space="preserve"> מפנה להוראות </w:t>
      </w:r>
      <w:hyperlink r:id="rId70" w:history="1">
        <w:r w:rsidR="003B373A" w:rsidRPr="003B373A">
          <w:rPr>
            <w:rStyle w:val="Hyperlink"/>
            <w:rFonts w:hint="eastAsia"/>
            <w:rtl/>
          </w:rPr>
          <w:t>סעיף</w:t>
        </w:r>
        <w:r w:rsidR="003B373A" w:rsidRPr="003B373A">
          <w:rPr>
            <w:rStyle w:val="Hyperlink"/>
            <w:rtl/>
          </w:rPr>
          <w:t xml:space="preserve"> 128(1)</w:t>
        </w:r>
      </w:hyperlink>
      <w:r>
        <w:rPr>
          <w:rFonts w:hint="cs"/>
          <w:rtl/>
        </w:rPr>
        <w:t xml:space="preserve">, אך במצב דברים כבענייננו חלות הוראות </w:t>
      </w:r>
      <w:hyperlink r:id="rId71" w:history="1">
        <w:r w:rsidR="003B373A" w:rsidRPr="003B373A">
          <w:rPr>
            <w:rStyle w:val="Hyperlink"/>
            <w:rFonts w:hint="eastAsia"/>
            <w:rtl/>
          </w:rPr>
          <w:t>סעיף</w:t>
        </w:r>
        <w:r w:rsidR="003B373A" w:rsidRPr="003B373A">
          <w:rPr>
            <w:rStyle w:val="Hyperlink"/>
            <w:rtl/>
          </w:rPr>
          <w:t xml:space="preserve"> 128(2)</w:t>
        </w:r>
      </w:hyperlink>
      <w:r>
        <w:rPr>
          <w:rFonts w:hint="cs"/>
          <w:rtl/>
        </w:rPr>
        <w:t xml:space="preserve">, העוסקות במקרה בו הנאשם ביקש שמשפטו יתנהל שלא בפניו והוא מיוצג באותו משפט על ידי סניגור. ממילא אפוא אין בענייננו תחולה להוראות </w:t>
      </w:r>
      <w:hyperlink r:id="rId72" w:history="1">
        <w:r w:rsidR="003B373A" w:rsidRPr="003B373A">
          <w:rPr>
            <w:rStyle w:val="Hyperlink"/>
            <w:rFonts w:hint="eastAsia"/>
            <w:rtl/>
          </w:rPr>
          <w:t>סעיף</w:t>
        </w:r>
        <w:r w:rsidR="003B373A" w:rsidRPr="003B373A">
          <w:rPr>
            <w:rStyle w:val="Hyperlink"/>
            <w:rtl/>
          </w:rPr>
          <w:t xml:space="preserve"> 129</w:t>
        </w:r>
      </w:hyperlink>
      <w:r>
        <w:rPr>
          <w:rFonts w:hint="cs"/>
          <w:rtl/>
        </w:rPr>
        <w:t xml:space="preserve"> ל</w:t>
      </w:r>
      <w:hyperlink r:id="rId73" w:history="1">
        <w:r w:rsidRPr="00464244">
          <w:rPr>
            <w:color w:val="0000FF"/>
            <w:u w:val="single"/>
            <w:rtl/>
          </w:rPr>
          <w:t>חסד"פ</w:t>
        </w:r>
      </w:hyperlink>
      <w:r>
        <w:rPr>
          <w:rFonts w:hint="cs"/>
          <w:rtl/>
        </w:rPr>
        <w:t>.</w:t>
      </w:r>
    </w:p>
    <w:p w14:paraId="1D6FA5F8" w14:textId="77777777" w:rsidR="00F53C54" w:rsidRDefault="00464244">
      <w:pPr>
        <w:numPr>
          <w:ilvl w:val="0"/>
          <w:numId w:val="1"/>
        </w:numPr>
        <w:tabs>
          <w:tab w:val="num" w:pos="720"/>
        </w:tabs>
        <w:spacing w:after="120" w:line="360" w:lineRule="auto"/>
        <w:ind w:left="720"/>
        <w:jc w:val="both"/>
      </w:pPr>
      <w:r>
        <w:rPr>
          <w:rFonts w:hint="cs"/>
          <w:rtl/>
        </w:rPr>
        <w:t xml:space="preserve">המסקנה המתבקשת הינה, אם כן, שהמאסר המותנה בתיק התעבורה הוטל כדין, והוא בר הפעלה בעניינו. כאמור, נגד הנאשם גם תלוי ועומד מאסר מותנה בר הפעלה נוסף, שנגזר עליו בתיק מראשון לציון, והשאלה הטעונה הכרעה היא כיצד יש להפעיל עונשים מותנים אלה. הכלל שבדין הוא </w:t>
      </w:r>
      <w:r>
        <w:rPr>
          <w:rtl/>
        </w:rPr>
        <w:t>–</w:t>
      </w:r>
      <w:r>
        <w:rPr>
          <w:rFonts w:hint="cs"/>
          <w:rtl/>
        </w:rPr>
        <w:t xml:space="preserve"> כפי שנקבע בהוראות </w:t>
      </w:r>
      <w:hyperlink r:id="rId74" w:history="1">
        <w:r w:rsidR="003B373A" w:rsidRPr="003B373A">
          <w:rPr>
            <w:rStyle w:val="Hyperlink"/>
            <w:rFonts w:hint="eastAsia"/>
            <w:rtl/>
          </w:rPr>
          <w:t>סעיף</w:t>
        </w:r>
        <w:r w:rsidR="003B373A" w:rsidRPr="003B373A">
          <w:rPr>
            <w:rStyle w:val="Hyperlink"/>
            <w:rtl/>
          </w:rPr>
          <w:t xml:space="preserve"> 58</w:t>
        </w:r>
      </w:hyperlink>
      <w:r>
        <w:rPr>
          <w:rFonts w:hint="cs"/>
          <w:rtl/>
        </w:rPr>
        <w:t xml:space="preserve"> ל</w:t>
      </w:r>
      <w:hyperlink r:id="rId75" w:history="1">
        <w:r w:rsidRPr="00464244">
          <w:rPr>
            <w:color w:val="0000FF"/>
            <w:u w:val="single"/>
            <w:rtl/>
          </w:rPr>
          <w:t>חוק העונשין</w:t>
        </w:r>
      </w:hyperlink>
      <w:r>
        <w:rPr>
          <w:rFonts w:hint="cs"/>
          <w:rtl/>
        </w:rPr>
        <w:t xml:space="preserve"> </w:t>
      </w:r>
      <w:r>
        <w:rPr>
          <w:rtl/>
        </w:rPr>
        <w:t>–</w:t>
      </w:r>
      <w:r>
        <w:rPr>
          <w:rFonts w:hint="cs"/>
          <w:rtl/>
        </w:rPr>
        <w:t xml:space="preserve"> שכל מאסר מותנה יופעל במצטבר לעונש מאסר בפועל הנגזר על הנאשם. רק בנסיבות מיוחדות רשאי בית המשפט לסטות מכלל זה, שהגיונו בצידו, ומכאן שנקודת המוצא היא שיש להפעיל את עונשי המאסר המותנים במצטבר.</w:t>
      </w:r>
    </w:p>
    <w:p w14:paraId="5F3EEDAA" w14:textId="77777777" w:rsidR="00F53C54" w:rsidRDefault="00464244">
      <w:pPr>
        <w:numPr>
          <w:ilvl w:val="0"/>
          <w:numId w:val="1"/>
        </w:numPr>
        <w:tabs>
          <w:tab w:val="num" w:pos="720"/>
        </w:tabs>
        <w:spacing w:after="120" w:line="360" w:lineRule="auto"/>
        <w:ind w:left="720"/>
        <w:jc w:val="both"/>
      </w:pPr>
      <w:r>
        <w:rPr>
          <w:rFonts w:hint="cs"/>
          <w:rtl/>
        </w:rPr>
        <w:t xml:space="preserve">יחד עם זאת, במקרה דנא הצדדים הסכימו על חפיפה חלקית של עונשי המאסר המותנים, בנסיבות שאותן פירטו בטיעוניהם כאמור לעיל. הסברים אלה מקובלים עליי, ומקובלת עליי אף טענת ההגנה כי בנסיבות מקרה זה יש משמעות לכך שעונש המאסר המותנה שהוטל בתיק התעבורה הוא חריג בחומרתו. </w:t>
      </w:r>
    </w:p>
    <w:p w14:paraId="0C30730B" w14:textId="77777777" w:rsidR="00F53C54" w:rsidRDefault="00464244">
      <w:pPr>
        <w:numPr>
          <w:ilvl w:val="0"/>
          <w:numId w:val="1"/>
        </w:numPr>
        <w:tabs>
          <w:tab w:val="num" w:pos="720"/>
        </w:tabs>
        <w:spacing w:after="120" w:line="360" w:lineRule="auto"/>
        <w:ind w:left="720"/>
        <w:jc w:val="both"/>
      </w:pPr>
      <w:r>
        <w:rPr>
          <w:rFonts w:hint="cs"/>
          <w:rtl/>
        </w:rPr>
        <w:t>לפיכך אני קובע כי במקרה דנא יופעלו שני עונשי המאסר המותנים בחפיפה מלאה ביניהם ובחפיפה חלקית לעונש בגין האירוע דנא, כך שלעונש זה יצטברו 8 חודשי מאסר בפועל. הנאשם ירצה אפוא תקופת מאסר בפועל בת 24 חודשים, בסך הכל.</w:t>
      </w:r>
    </w:p>
    <w:p w14:paraId="39BA3022" w14:textId="77777777" w:rsidR="00F53C54" w:rsidRDefault="00464244">
      <w:pPr>
        <w:numPr>
          <w:ilvl w:val="0"/>
          <w:numId w:val="1"/>
        </w:numPr>
        <w:tabs>
          <w:tab w:val="num" w:pos="720"/>
        </w:tabs>
        <w:spacing w:after="120" w:line="360" w:lineRule="auto"/>
        <w:ind w:left="720"/>
        <w:jc w:val="both"/>
      </w:pPr>
      <w:r>
        <w:rPr>
          <w:rFonts w:hint="cs"/>
          <w:rtl/>
        </w:rPr>
        <w:t>באשר לפסילות המותנות לא מצאתי כל מקום לסטות מהכלל שלפיו יש להפעילן במצטבר. תקופת הפסילה המותנות יופעלו אפוא במצטבר האחת לשנייה ובמצטבר לעונש הפסילה שיוטל בגין האירוע דנא.</w:t>
      </w:r>
    </w:p>
    <w:p w14:paraId="36D5589A" w14:textId="77777777" w:rsidR="00F53C54" w:rsidRDefault="00F53C54">
      <w:pPr>
        <w:spacing w:after="120" w:line="360" w:lineRule="auto"/>
        <w:jc w:val="both"/>
        <w:rPr>
          <w:rtl/>
        </w:rPr>
      </w:pPr>
    </w:p>
    <w:p w14:paraId="31B4D407" w14:textId="77777777" w:rsidR="00F53C54" w:rsidRDefault="00464244">
      <w:pPr>
        <w:spacing w:after="120" w:line="360" w:lineRule="auto"/>
        <w:jc w:val="both"/>
        <w:rPr>
          <w:b/>
          <w:bCs/>
        </w:rPr>
      </w:pPr>
      <w:r>
        <w:rPr>
          <w:rFonts w:hint="cs"/>
          <w:b/>
          <w:bCs/>
          <w:rtl/>
        </w:rPr>
        <w:t>ו.</w:t>
      </w:r>
      <w:r>
        <w:rPr>
          <w:rFonts w:hint="cs"/>
          <w:b/>
          <w:bCs/>
          <w:rtl/>
        </w:rPr>
        <w:tab/>
      </w:r>
      <w:r>
        <w:rPr>
          <w:rFonts w:hint="cs"/>
          <w:b/>
          <w:bCs/>
          <w:u w:val="single"/>
          <w:rtl/>
        </w:rPr>
        <w:t>עתירת המאשימה לצוות על תשלום סכום ההתחייבות:</w:t>
      </w:r>
    </w:p>
    <w:p w14:paraId="0136E059" w14:textId="77777777" w:rsidR="00F53C54" w:rsidRDefault="00464244">
      <w:pPr>
        <w:numPr>
          <w:ilvl w:val="0"/>
          <w:numId w:val="1"/>
        </w:numPr>
        <w:tabs>
          <w:tab w:val="num" w:pos="720"/>
        </w:tabs>
        <w:spacing w:after="120" w:line="360" w:lineRule="auto"/>
        <w:ind w:left="720"/>
        <w:jc w:val="both"/>
      </w:pPr>
      <w:r>
        <w:rPr>
          <w:rFonts w:hint="cs"/>
          <w:rtl/>
        </w:rPr>
        <w:t>כאמור, בתיק התעבורה נגזר על הנאשם גם עונש של התחייבות, על סך 15,000 ₪, שבמשך שלוש לא יעבור הנאשם "</w:t>
      </w:r>
      <w:r>
        <w:rPr>
          <w:rFonts w:hint="cs"/>
          <w:b/>
          <w:bCs/>
          <w:rtl/>
        </w:rPr>
        <w:t>עבירה של נהיגה בזמן פסילה או נהיגה בשכרות, או נהיגה תחת השפעת משקאות משכרים</w:t>
      </w:r>
      <w:r>
        <w:rPr>
          <w:rFonts w:hint="cs"/>
          <w:rtl/>
        </w:rPr>
        <w:t>" (ר' גם העתק כתב ההתחייבות, שצורף לע/3). יש לציין, כי בית המשפט לתעבורה לא קבע בגזר דינו חלופה של מאסר למקרה שההתחייבות הנ"ל לא תשולם, ואף לא קבע מאסר למקרה שההתחייבות לא תיחתם.</w:t>
      </w:r>
    </w:p>
    <w:p w14:paraId="3149549B" w14:textId="77777777" w:rsidR="00F53C54" w:rsidRDefault="00464244">
      <w:pPr>
        <w:numPr>
          <w:ilvl w:val="0"/>
          <w:numId w:val="1"/>
        </w:numPr>
        <w:tabs>
          <w:tab w:val="num" w:pos="720"/>
        </w:tabs>
        <w:spacing w:after="120" w:line="360" w:lineRule="auto"/>
        <w:ind w:left="720"/>
        <w:jc w:val="both"/>
      </w:pPr>
      <w:r>
        <w:rPr>
          <w:rFonts w:hint="cs"/>
          <w:rtl/>
        </w:rPr>
        <w:t>עונש של התחייבות להימנע מעבירה הינו במהותו עונש מותנה ("</w:t>
      </w:r>
      <w:r>
        <w:rPr>
          <w:rFonts w:hint="cs"/>
          <w:b/>
          <w:bCs/>
          <w:rtl/>
        </w:rPr>
        <w:t>לאמיתו של דבר, מדובר בקנס על-תנאי</w:t>
      </w:r>
      <w:r>
        <w:rPr>
          <w:rFonts w:hint="cs"/>
          <w:rtl/>
        </w:rPr>
        <w:t xml:space="preserve">" </w:t>
      </w:r>
      <w:r>
        <w:rPr>
          <w:rtl/>
        </w:rPr>
        <w:t>–</w:t>
      </w:r>
      <w:r>
        <w:rPr>
          <w:rFonts w:hint="cs"/>
          <w:rtl/>
        </w:rPr>
        <w:t xml:space="preserve"> ר' ש"ז </w:t>
      </w:r>
      <w:r w:rsidRPr="003348B4">
        <w:rPr>
          <w:color w:val="000000"/>
          <w:rtl/>
        </w:rPr>
        <w:t xml:space="preserve">פלר, </w:t>
      </w:r>
      <w:hyperlink r:id="rId76" w:history="1">
        <w:r w:rsidR="003348B4" w:rsidRPr="003348B4">
          <w:rPr>
            <w:color w:val="0000FF"/>
            <w:u w:val="single"/>
            <w:rtl/>
          </w:rPr>
          <w:t>יסודות בדיני עונשין</w:t>
        </w:r>
      </w:hyperlink>
      <w:r>
        <w:rPr>
          <w:rFonts w:hint="cs"/>
          <w:rtl/>
        </w:rPr>
        <w:t xml:space="preserve">, כרך ג' (תשנ"ב-1992), בעמ' 338). דהיינו: מדובר בעונש הנגזר על ידי ערכאה מסוימת (להלן </w:t>
      </w:r>
      <w:r>
        <w:rPr>
          <w:rtl/>
        </w:rPr>
        <w:t>–</w:t>
      </w:r>
      <w:r>
        <w:rPr>
          <w:rFonts w:hint="cs"/>
          <w:rtl/>
        </w:rPr>
        <w:t xml:space="preserve"> הערכאה הגוזרת),  ועשוי להיות מופעל על ידי ערכאה אחרת (להלן </w:t>
      </w:r>
      <w:r>
        <w:rPr>
          <w:rtl/>
        </w:rPr>
        <w:t>–</w:t>
      </w:r>
      <w:r>
        <w:rPr>
          <w:rFonts w:hint="cs"/>
          <w:rtl/>
        </w:rPr>
        <w:t xml:space="preserve"> הערכאה המפעילה). יוער, כי לעניין עונש מותנה אין משמעות לדירוג הערכאות: עונש מותנה שנגזר בבית משפט מחוזי עשוי להיות מופעל בבית משפט שלום, ולהיפך.</w:t>
      </w:r>
    </w:p>
    <w:p w14:paraId="653F8078" w14:textId="77777777" w:rsidR="00F53C54" w:rsidRDefault="00464244">
      <w:pPr>
        <w:numPr>
          <w:ilvl w:val="0"/>
          <w:numId w:val="1"/>
        </w:numPr>
        <w:tabs>
          <w:tab w:val="num" w:pos="720"/>
        </w:tabs>
        <w:spacing w:after="120" w:line="360" w:lineRule="auto"/>
        <w:ind w:left="720"/>
        <w:jc w:val="both"/>
      </w:pPr>
      <w:r>
        <w:rPr>
          <w:rFonts w:hint="cs"/>
          <w:rtl/>
        </w:rPr>
        <w:t xml:space="preserve">כעונש מותנה, התחייבות הינה עונש הנגזר על ידי הערכאה הגוזרת, להבדיל מהערכאה המפעילה. לפיכך, לערכאה המפעילה אין שום שיקול דעת לגביו והיא חייבת </w:t>
      </w:r>
      <w:r>
        <w:rPr>
          <w:rtl/>
        </w:rPr>
        <w:t>–</w:t>
      </w:r>
      <w:r>
        <w:rPr>
          <w:rFonts w:hint="cs"/>
          <w:rtl/>
        </w:rPr>
        <w:t xml:space="preserve"> בהתמלא תנאיו, כמובן </w:t>
      </w:r>
      <w:r>
        <w:rPr>
          <w:rtl/>
        </w:rPr>
        <w:t>–</w:t>
      </w:r>
      <w:r>
        <w:rPr>
          <w:rFonts w:hint="cs"/>
          <w:rtl/>
        </w:rPr>
        <w:t xml:space="preserve"> להפעילו, שכן היא אינה משמשת כערכאת ערעור על הערכאה הגוזרת. המחוקק אמנם עשוי להסמיך את הערכאה המפעילה להאריך תקופת תנאי של עונש מותנה, ודוגמא מובהקת לכך מצויה בהוראות בדבר האפשרות להאריך תקופת תנאי של מאסר מותנה (ר' </w:t>
      </w:r>
      <w:hyperlink r:id="rId77" w:history="1">
        <w:r w:rsidR="003B373A" w:rsidRPr="003B373A">
          <w:rPr>
            <w:rStyle w:val="Hyperlink"/>
            <w:rFonts w:hint="eastAsia"/>
            <w:rtl/>
          </w:rPr>
          <w:t>בסעיפים</w:t>
        </w:r>
        <w:r w:rsidR="003B373A" w:rsidRPr="003B373A">
          <w:rPr>
            <w:rStyle w:val="Hyperlink"/>
            <w:rtl/>
          </w:rPr>
          <w:t xml:space="preserve"> 56</w:t>
        </w:r>
      </w:hyperlink>
      <w:r>
        <w:rPr>
          <w:rFonts w:hint="cs"/>
          <w:rtl/>
        </w:rPr>
        <w:t xml:space="preserve"> ו-</w:t>
      </w:r>
      <w:hyperlink r:id="rId78" w:history="1">
        <w:r w:rsidR="003B373A" w:rsidRPr="003B373A">
          <w:rPr>
            <w:rStyle w:val="Hyperlink"/>
            <w:rtl/>
          </w:rPr>
          <w:t>85</w:t>
        </w:r>
      </w:hyperlink>
      <w:r>
        <w:rPr>
          <w:rFonts w:hint="cs"/>
          <w:rtl/>
        </w:rPr>
        <w:t xml:space="preserve"> ל</w:t>
      </w:r>
      <w:hyperlink r:id="rId79" w:history="1">
        <w:r w:rsidRPr="00464244">
          <w:rPr>
            <w:color w:val="0000FF"/>
            <w:u w:val="single"/>
            <w:rtl/>
          </w:rPr>
          <w:t>חוק העונשין</w:t>
        </w:r>
      </w:hyperlink>
      <w:r>
        <w:rPr>
          <w:rFonts w:hint="cs"/>
          <w:rtl/>
        </w:rPr>
        <w:t xml:space="preserve">). ואולם, בהיעדר הסמכה מפורשת בדין, הפעלת העונש המותנה על ידי הערכאה המפעילה היא בגדר חובה שיפוטית. לפיכך, כאשר מדובר בהתחייבות להימנע מעבירה זוהי חובתה של הערכאה המפעילה לצוות על תשלום ההתחייבות (ר' והשווה </w:t>
      </w:r>
      <w:hyperlink r:id="rId80" w:history="1">
        <w:r w:rsidRPr="00464244">
          <w:rPr>
            <w:color w:val="0000FF"/>
            <w:u w:val="single"/>
            <w:rtl/>
          </w:rPr>
          <w:t>ע"פ (ת"א) 70683/06</w:t>
        </w:r>
      </w:hyperlink>
      <w:r>
        <w:rPr>
          <w:rFonts w:hint="cs"/>
          <w:rtl/>
        </w:rPr>
        <w:t xml:space="preserve"> </w:t>
      </w:r>
      <w:r>
        <w:rPr>
          <w:rFonts w:hint="cs"/>
          <w:b/>
          <w:bCs/>
          <w:rtl/>
        </w:rPr>
        <w:t>מדינת ישראל נ' מרקין</w:t>
      </w:r>
      <w:r>
        <w:rPr>
          <w:rFonts w:hint="cs"/>
          <w:rtl/>
        </w:rPr>
        <w:t xml:space="preserve"> (2007); להלן </w:t>
      </w:r>
      <w:r>
        <w:rPr>
          <w:rtl/>
        </w:rPr>
        <w:t>–</w:t>
      </w:r>
      <w:r>
        <w:rPr>
          <w:rFonts w:hint="cs"/>
          <w:rtl/>
        </w:rPr>
        <w:t xml:space="preserve"> ע"פ </w:t>
      </w:r>
      <w:r>
        <w:rPr>
          <w:rFonts w:hint="cs"/>
          <w:b/>
          <w:bCs/>
          <w:rtl/>
        </w:rPr>
        <w:t>מרקין</w:t>
      </w:r>
      <w:r>
        <w:rPr>
          <w:rFonts w:hint="cs"/>
          <w:rtl/>
        </w:rPr>
        <w:t>).</w:t>
      </w:r>
    </w:p>
    <w:p w14:paraId="50306FD8" w14:textId="77777777" w:rsidR="00F53C54" w:rsidRDefault="00464244">
      <w:pPr>
        <w:numPr>
          <w:ilvl w:val="0"/>
          <w:numId w:val="1"/>
        </w:numPr>
        <w:tabs>
          <w:tab w:val="num" w:pos="720"/>
        </w:tabs>
        <w:spacing w:after="120" w:line="360" w:lineRule="auto"/>
        <w:ind w:left="720"/>
        <w:jc w:val="both"/>
      </w:pPr>
      <w:r>
        <w:rPr>
          <w:rFonts w:hint="cs"/>
          <w:rtl/>
        </w:rPr>
        <w:t xml:space="preserve">לפני מספר שנים תוקנו </w:t>
      </w:r>
      <w:r>
        <w:rPr>
          <w:rtl/>
        </w:rPr>
        <w:t>–</w:t>
      </w:r>
      <w:r>
        <w:rPr>
          <w:rFonts w:hint="cs"/>
          <w:rtl/>
        </w:rPr>
        <w:t xml:space="preserve"> ולמעשה הוחלפו </w:t>
      </w:r>
      <w:r>
        <w:rPr>
          <w:rtl/>
        </w:rPr>
        <w:t>–</w:t>
      </w:r>
      <w:r>
        <w:rPr>
          <w:rFonts w:hint="cs"/>
          <w:rtl/>
        </w:rPr>
        <w:t xml:space="preserve"> הוראות </w:t>
      </w:r>
      <w:hyperlink r:id="rId81" w:history="1">
        <w:r w:rsidRPr="00464244">
          <w:rPr>
            <w:color w:val="0000FF"/>
            <w:u w:val="single"/>
            <w:rtl/>
          </w:rPr>
          <w:t>חוק העונשין</w:t>
        </w:r>
      </w:hyperlink>
      <w:r>
        <w:rPr>
          <w:rFonts w:hint="cs"/>
          <w:rtl/>
        </w:rPr>
        <w:t xml:space="preserve"> בעניין עונש ההתחייבות (ר' חוק העונשין (תיקון מס' 104), תש"ע-2010; להלן </w:t>
      </w:r>
      <w:r>
        <w:rPr>
          <w:rtl/>
        </w:rPr>
        <w:t>–</w:t>
      </w:r>
      <w:r>
        <w:rPr>
          <w:rFonts w:hint="cs"/>
          <w:rtl/>
        </w:rPr>
        <w:t xml:space="preserve"> החוק המתקן). בדברי ההסבר להצעת החוק המתקן הובהר העיקרון הנ"ל במפורש, אגב הפנייה לדבריו האמורים של פרופ' פלר אודות מהותה של ההתחייבות כעונש של קנס מותנה, כלהלן:</w:t>
      </w:r>
    </w:p>
    <w:p w14:paraId="6D3F975E" w14:textId="77777777" w:rsidR="00F53C54" w:rsidRDefault="00464244">
      <w:pPr>
        <w:tabs>
          <w:tab w:val="num" w:pos="720"/>
        </w:tabs>
        <w:spacing w:after="120" w:line="360" w:lineRule="auto"/>
        <w:ind w:left="1440"/>
        <w:jc w:val="both"/>
        <w:rPr>
          <w:b/>
          <w:bCs/>
          <w:rtl/>
        </w:rPr>
      </w:pPr>
      <w:r>
        <w:rPr>
          <w:rFonts w:hint="cs"/>
          <w:b/>
          <w:bCs/>
          <w:rtl/>
        </w:rPr>
        <w:t>הסכום המלווה את ההתחייבות של הנאשם הוא למעשה קנס מותלה...</w:t>
      </w:r>
    </w:p>
    <w:p w14:paraId="3B9EF28D" w14:textId="77777777" w:rsidR="00F53C54" w:rsidRDefault="00464244">
      <w:pPr>
        <w:tabs>
          <w:tab w:val="num" w:pos="720"/>
        </w:tabs>
        <w:spacing w:after="120" w:line="360" w:lineRule="auto"/>
        <w:ind w:left="1440"/>
        <w:jc w:val="both"/>
        <w:rPr>
          <w:rtl/>
        </w:rPr>
      </w:pPr>
      <w:r>
        <w:rPr>
          <w:rFonts w:hint="cs"/>
          <w:b/>
          <w:bCs/>
          <w:rtl/>
        </w:rPr>
        <w:t xml:space="preserve">התיקון המוצע מבהיר כי בית המשפט שמרשיע נאשם בעבירה שהתחייב להימנע ממנה... מחויב לצוות על תשלום סכום ההתחייבות </w:t>
      </w:r>
      <w:r>
        <w:rPr>
          <w:rFonts w:hint="cs"/>
          <w:b/>
          <w:bCs/>
          <w:u w:val="single"/>
          <w:rtl/>
        </w:rPr>
        <w:t>ואינו יכול להתערב בתנאיה</w:t>
      </w:r>
      <w:r>
        <w:rPr>
          <w:rFonts w:hint="cs"/>
          <w:b/>
          <w:bCs/>
          <w:rtl/>
        </w:rPr>
        <w:t xml:space="preserve"> או להאריך את תקופת ההתחייבות</w:t>
      </w:r>
      <w:r>
        <w:rPr>
          <w:rFonts w:hint="cs"/>
          <w:rtl/>
        </w:rPr>
        <w:t xml:space="preserve"> (ר' דברי ההסבר להצעת </w:t>
      </w:r>
      <w:hyperlink r:id="rId82" w:history="1">
        <w:r w:rsidRPr="00464244">
          <w:rPr>
            <w:color w:val="0000FF"/>
            <w:u w:val="single"/>
            <w:rtl/>
          </w:rPr>
          <w:t>חוק העונשין</w:t>
        </w:r>
      </w:hyperlink>
      <w:r>
        <w:rPr>
          <w:rFonts w:hint="cs"/>
          <w:rtl/>
        </w:rPr>
        <w:t xml:space="preserve"> (תיקון מס' 107) (התחייבות להימנע מעבירה), תש"ע-2009, הצ"ח הממשלה 463 תש"ע, בעמ' 97. ההדגשה הוספה).</w:t>
      </w:r>
    </w:p>
    <w:p w14:paraId="5BCBD95F" w14:textId="77777777" w:rsidR="00F53C54" w:rsidRDefault="00464244">
      <w:pPr>
        <w:numPr>
          <w:ilvl w:val="0"/>
          <w:numId w:val="1"/>
        </w:numPr>
        <w:tabs>
          <w:tab w:val="num" w:pos="720"/>
        </w:tabs>
        <w:spacing w:after="120" w:line="360" w:lineRule="auto"/>
        <w:ind w:left="720"/>
        <w:jc w:val="both"/>
      </w:pPr>
      <w:r>
        <w:rPr>
          <w:rFonts w:hint="cs"/>
          <w:rtl/>
        </w:rPr>
        <w:t xml:space="preserve">הנה כי כן, זוהי חובתו השיפוטית של בית משפט זה לצוות על תשלום ההתחייבות עליה חתם הנאשם, וכך אני מורה. נשאלת אפוא השאלה, אם אגב הוראה זו מוסמך בית משפט זה להורות על עונש של מאסר, למקרה שההתחייבות לא תשולם, הגם שחלופה כזו לא נקבעה בגזר דינו של בית המשפט לתעבורה. </w:t>
      </w:r>
    </w:p>
    <w:p w14:paraId="365EFCA9" w14:textId="77777777" w:rsidR="00F53C54" w:rsidRDefault="00464244">
      <w:pPr>
        <w:numPr>
          <w:ilvl w:val="0"/>
          <w:numId w:val="1"/>
        </w:numPr>
        <w:tabs>
          <w:tab w:val="num" w:pos="720"/>
        </w:tabs>
        <w:spacing w:after="120" w:line="360" w:lineRule="auto"/>
        <w:ind w:left="720"/>
        <w:jc w:val="both"/>
      </w:pPr>
      <w:r>
        <w:rPr>
          <w:rFonts w:hint="cs"/>
          <w:rtl/>
        </w:rPr>
        <w:t xml:space="preserve">בעבר נאמר, כי טרם הוכרעה השאלה איזו ערכאה היא המוסמכת לקבוע מאסר למקרה שההתחייבות לא תשולם: הערכאה הגוזרת או הערכאה המפעילה (ר' י' קדמי, </w:t>
      </w:r>
      <w:hyperlink r:id="rId83" w:history="1">
        <w:r w:rsidR="003348B4" w:rsidRPr="003348B4">
          <w:rPr>
            <w:b/>
            <w:bCs/>
            <w:color w:val="000000"/>
            <w:rtl/>
          </w:rPr>
          <w:t>על סדר הדין בפלילים</w:t>
        </w:r>
      </w:hyperlink>
      <w:r>
        <w:rPr>
          <w:rFonts w:hint="cs"/>
          <w:rtl/>
        </w:rPr>
        <w:t>, חלק שני ב' (מהדורה מעודכנת, תשס"ט-2009), בעמ' 1755). יחד עם זאת נראה, לאור כל האמור לעיל, כי התשובה המתבקשת היא שהסמכות לכך נתונה לערכאה הגוזרת. החלופה של מאסר למקרה של אי תשלום ענוש כספי מהווה חלק מהותי מהעונש, ועל כן הסמכות לקביעתה מצויה באופן בלעדי בידיה של הערכאה המפעילה. כאמור, הערכאה המפעילה אינה ערכאת ערעור על הערכאה הגוזרת, וכפי שהובהר בדברי ההסבר להצעת החוק המתקן היא אינה מוסמכת להתערב בתנאי ההתחייבות. סמכותה של הערכאה המפעילה מוגבלת אפוא להיבטים הטכניים של ההפעלה בלבד, דהיינו: לקביעה אם ההתחייבות הופרה ולקביעת המועד לתשלום ההתחייבות או לחלוקתו לתשלומים.</w:t>
      </w:r>
    </w:p>
    <w:p w14:paraId="750FAF7D" w14:textId="77777777" w:rsidR="00F53C54" w:rsidRDefault="00464244">
      <w:pPr>
        <w:numPr>
          <w:ilvl w:val="0"/>
          <w:numId w:val="1"/>
        </w:numPr>
        <w:tabs>
          <w:tab w:val="num" w:pos="720"/>
        </w:tabs>
        <w:spacing w:after="120" w:line="360" w:lineRule="auto"/>
        <w:ind w:left="720"/>
        <w:jc w:val="both"/>
      </w:pPr>
      <w:r>
        <w:rPr>
          <w:rFonts w:hint="cs"/>
          <w:rtl/>
        </w:rPr>
        <w:t xml:space="preserve">יש להעיר, כי במסגרת הצעת החוק המתקן הוצע לבטל כליל את האפשרות לקבוע מאסר חלף התחייבות, הצעה שבסופו של דבר לא התקבלה במסגרת הוראות החוק המתקן. יחד עם זאת, אין בכך כדי לשנות מהאמור לעיל: הקביעה של מאסר חלף אי תשלום מהווה כאמור חלק מהותי מהעונש, ועל כן הסמכות להטילו נתונה לערכאה הגוזרת בלבד. יש לזכור, כי לא מוטלת על הערכאה הגוזרת חובה לקבוע עונש של מאסר חלף אי תשלום (קנס או התחייבות), והיא רשאית לעשות כן לפי שיקול דעתה (ר' בהוראות </w:t>
      </w:r>
      <w:hyperlink r:id="rId84" w:history="1">
        <w:r w:rsidR="003B373A" w:rsidRPr="003B373A">
          <w:rPr>
            <w:rStyle w:val="Hyperlink"/>
            <w:rFonts w:hint="eastAsia"/>
            <w:rtl/>
          </w:rPr>
          <w:t>סעיפים</w:t>
        </w:r>
        <w:r w:rsidR="003B373A" w:rsidRPr="003B373A">
          <w:rPr>
            <w:rStyle w:val="Hyperlink"/>
            <w:rtl/>
          </w:rPr>
          <w:t xml:space="preserve"> 71(א)</w:t>
        </w:r>
      </w:hyperlink>
      <w:r>
        <w:rPr>
          <w:rFonts w:hint="cs"/>
          <w:rtl/>
        </w:rPr>
        <w:t xml:space="preserve"> ו-</w:t>
      </w:r>
      <w:hyperlink r:id="rId85" w:history="1">
        <w:r w:rsidR="003B373A" w:rsidRPr="003B373A">
          <w:rPr>
            <w:rStyle w:val="Hyperlink"/>
            <w:rtl/>
          </w:rPr>
          <w:t>76</w:t>
        </w:r>
      </w:hyperlink>
      <w:r>
        <w:rPr>
          <w:rFonts w:hint="cs"/>
          <w:rtl/>
        </w:rPr>
        <w:t xml:space="preserve"> סיפא ל</w:t>
      </w:r>
      <w:hyperlink r:id="rId86" w:history="1">
        <w:r w:rsidRPr="00464244">
          <w:rPr>
            <w:color w:val="0000FF"/>
            <w:u w:val="single"/>
            <w:rtl/>
          </w:rPr>
          <w:t>חוק העונשין</w:t>
        </w:r>
      </w:hyperlink>
      <w:r>
        <w:rPr>
          <w:rFonts w:hint="cs"/>
          <w:rtl/>
        </w:rPr>
        <w:t>). לפיכך, משנמנעה הערכאה הגוזרת להטיל מאסר חלף אי תשלום אין הערכאה המפעילה יכולה להתערב בקביעתה זו ולשנותה.</w:t>
      </w:r>
    </w:p>
    <w:p w14:paraId="75CC5547" w14:textId="77777777" w:rsidR="00F53C54" w:rsidRDefault="00464244">
      <w:pPr>
        <w:numPr>
          <w:ilvl w:val="0"/>
          <w:numId w:val="1"/>
        </w:numPr>
        <w:tabs>
          <w:tab w:val="num" w:pos="720"/>
        </w:tabs>
        <w:spacing w:after="120" w:line="360" w:lineRule="auto"/>
        <w:ind w:left="720"/>
        <w:jc w:val="both"/>
      </w:pPr>
      <w:r>
        <w:rPr>
          <w:rFonts w:hint="cs"/>
          <w:rtl/>
        </w:rPr>
        <w:t xml:space="preserve">עוד ראוי לציין, בהקשר זה, כי הגם שבע"פ </w:t>
      </w:r>
      <w:r>
        <w:rPr>
          <w:rFonts w:hint="cs"/>
          <w:b/>
          <w:bCs/>
          <w:rtl/>
        </w:rPr>
        <w:t>מרקין</w:t>
      </w:r>
      <w:r>
        <w:rPr>
          <w:rFonts w:hint="cs"/>
          <w:rtl/>
        </w:rPr>
        <w:t xml:space="preserve"> לא הוכרעה השאלה איזוהי הערכאה המוסמכת לקבוע מאסר למקרה של אי תשלום התחייבות, משום שבית המשפט המחוזי לא נדרש לה, בכל זאת נמנע בית המשפט המחוזי </w:t>
      </w:r>
      <w:r>
        <w:rPr>
          <w:rtl/>
        </w:rPr>
        <w:t>–</w:t>
      </w:r>
      <w:r>
        <w:rPr>
          <w:rFonts w:hint="cs"/>
          <w:rtl/>
        </w:rPr>
        <w:t xml:space="preserve"> שהורה על תשלום ההתחייבות דשם </w:t>
      </w:r>
      <w:r>
        <w:rPr>
          <w:rtl/>
        </w:rPr>
        <w:t>–</w:t>
      </w:r>
      <w:r>
        <w:rPr>
          <w:rFonts w:hint="cs"/>
          <w:rtl/>
        </w:rPr>
        <w:t xml:space="preserve"> מלקבוע מאסר למקרה שההתחייבות לא תשולם.</w:t>
      </w:r>
    </w:p>
    <w:p w14:paraId="3AF08333" w14:textId="77777777" w:rsidR="00F53C54" w:rsidRDefault="00F53C54">
      <w:pPr>
        <w:spacing w:after="120" w:line="360" w:lineRule="auto"/>
        <w:jc w:val="both"/>
        <w:rPr>
          <w:rtl/>
        </w:rPr>
      </w:pPr>
    </w:p>
    <w:p w14:paraId="37E5FF7D" w14:textId="77777777" w:rsidR="00F53C54" w:rsidRDefault="00464244">
      <w:pPr>
        <w:spacing w:after="120" w:line="360" w:lineRule="auto"/>
        <w:jc w:val="both"/>
        <w:rPr>
          <w:b/>
          <w:bCs/>
        </w:rPr>
      </w:pPr>
      <w:r>
        <w:rPr>
          <w:rFonts w:hint="cs"/>
          <w:b/>
          <w:bCs/>
          <w:rtl/>
        </w:rPr>
        <w:t>ו.</w:t>
      </w:r>
      <w:r>
        <w:rPr>
          <w:rFonts w:hint="cs"/>
          <w:b/>
          <w:bCs/>
          <w:rtl/>
        </w:rPr>
        <w:tab/>
      </w:r>
      <w:r>
        <w:rPr>
          <w:rFonts w:hint="cs"/>
          <w:b/>
          <w:bCs/>
          <w:u w:val="single"/>
          <w:rtl/>
        </w:rPr>
        <w:t>סוף דבר:</w:t>
      </w:r>
    </w:p>
    <w:p w14:paraId="0D872E96" w14:textId="77777777" w:rsidR="00F53C54" w:rsidRDefault="00464244">
      <w:pPr>
        <w:numPr>
          <w:ilvl w:val="0"/>
          <w:numId w:val="1"/>
        </w:numPr>
        <w:tabs>
          <w:tab w:val="num" w:pos="720"/>
        </w:tabs>
        <w:spacing w:after="120" w:line="360" w:lineRule="auto"/>
        <w:ind w:left="720"/>
        <w:jc w:val="both"/>
        <w:rPr>
          <w:rtl/>
        </w:rPr>
      </w:pPr>
      <w:r>
        <w:rPr>
          <w:rFonts w:hint="cs"/>
          <w:rtl/>
        </w:rPr>
        <w:t xml:space="preserve">אשר על כן, לאור כל המקובץ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1612F19C" w14:textId="77777777" w:rsidR="00F53C54" w:rsidRDefault="00464244">
      <w:pPr>
        <w:spacing w:after="120" w:line="360" w:lineRule="auto"/>
        <w:ind w:left="1440" w:hanging="720"/>
        <w:jc w:val="both"/>
        <w:rPr>
          <w:rFonts w:ascii="Tahoma" w:hAnsi="Tahoma"/>
        </w:rPr>
      </w:pPr>
      <w:r>
        <w:rPr>
          <w:rFonts w:hint="cs"/>
          <w:rtl/>
        </w:rPr>
        <w:t>(א)</w:t>
      </w:r>
      <w:r>
        <w:rPr>
          <w:rtl/>
        </w:rPr>
        <w:tab/>
      </w:r>
      <w:r>
        <w:rPr>
          <w:rFonts w:hint="cs"/>
          <w:rtl/>
        </w:rPr>
        <w:t>16 חודשי מאסר לריצוי בפועל, החל מיום מעצרו (22.11.14).</w:t>
      </w:r>
    </w:p>
    <w:p w14:paraId="6FCB9B3A" w14:textId="77777777" w:rsidR="00F53C54" w:rsidRDefault="00464244">
      <w:pPr>
        <w:spacing w:after="120" w:line="360" w:lineRule="auto"/>
        <w:ind w:left="1440" w:hanging="720"/>
        <w:jc w:val="both"/>
        <w:rPr>
          <w:rFonts w:ascii="Tahoma" w:hAnsi="Tahoma"/>
        </w:rPr>
      </w:pPr>
      <w:r>
        <w:rPr>
          <w:rFonts w:hint="cs"/>
          <w:rtl/>
        </w:rPr>
        <w:t>(ב)</w:t>
      </w:r>
      <w:r>
        <w:rPr>
          <w:rtl/>
        </w:rPr>
        <w:tab/>
      </w:r>
      <w:r>
        <w:rPr>
          <w:rFonts w:hint="cs"/>
          <w:rtl/>
        </w:rPr>
        <w:t>המאסר המותנה, בן 9 חודשים, אשר נגזר על הנאשם ב</w:t>
      </w:r>
      <w:hyperlink r:id="rId87" w:history="1">
        <w:r w:rsidRPr="00464244">
          <w:rPr>
            <w:color w:val="0000FF"/>
            <w:u w:val="single"/>
            <w:rtl/>
          </w:rPr>
          <w:t>ת.פ. 23980-07-13</w:t>
        </w:r>
      </w:hyperlink>
      <w:r>
        <w:rPr>
          <w:rFonts w:hint="cs"/>
          <w:rtl/>
        </w:rPr>
        <w:t xml:space="preserve"> בבית משפט השלום בראשון לציון, והמאסר המותנה, בן  10 חודשים, אשר נגזר על הנאשם ב</w:t>
      </w:r>
      <w:hyperlink r:id="rId88" w:history="1">
        <w:r w:rsidRPr="00464244">
          <w:rPr>
            <w:color w:val="0000FF"/>
            <w:u w:val="single"/>
            <w:rtl/>
          </w:rPr>
          <w:t>פ.ל. 6265-08-10</w:t>
        </w:r>
      </w:hyperlink>
      <w:r>
        <w:rPr>
          <w:rFonts w:hint="cs"/>
          <w:rtl/>
        </w:rPr>
        <w:t xml:space="preserve"> בבית משפט השלום לתעבורה בתל אביב, מופעלים בזה בחופף זה לזה ובמצטבר, באופן ששמונה חודשי מאסר יצטרפו לעונש המאסר אשר הוטל בסעיף 1 דלעיל.</w:t>
      </w:r>
    </w:p>
    <w:p w14:paraId="710EEAB1" w14:textId="77777777" w:rsidR="00F53C54" w:rsidRDefault="00464244">
      <w:pPr>
        <w:spacing w:after="120" w:line="360" w:lineRule="auto"/>
        <w:ind w:left="1440"/>
        <w:jc w:val="both"/>
        <w:rPr>
          <w:rFonts w:ascii="Tahoma" w:hAnsi="Tahoma"/>
          <w:b/>
          <w:bCs/>
        </w:rPr>
      </w:pPr>
      <w:r>
        <w:rPr>
          <w:rFonts w:hint="cs"/>
          <w:b/>
          <w:bCs/>
          <w:rtl/>
        </w:rPr>
        <w:t>בסך הכל ירצה אפוא הנאשם 24 חודשי מאסר, החל מיום מעצרו (22.11.14).</w:t>
      </w:r>
    </w:p>
    <w:p w14:paraId="644E746C" w14:textId="77777777" w:rsidR="00F53C54" w:rsidRDefault="00464244">
      <w:pPr>
        <w:spacing w:after="120" w:line="360" w:lineRule="auto"/>
        <w:ind w:left="1440" w:hanging="720"/>
        <w:jc w:val="both"/>
        <w:rPr>
          <w:rFonts w:ascii="Tahoma" w:hAnsi="Tahoma"/>
        </w:rPr>
      </w:pPr>
      <w:r>
        <w:rPr>
          <w:rFonts w:hint="cs"/>
          <w:rtl/>
        </w:rPr>
        <w:t>(ג)</w:t>
      </w:r>
      <w:r>
        <w:rPr>
          <w:rtl/>
        </w:rPr>
        <w:tab/>
      </w:r>
      <w:r>
        <w:rPr>
          <w:rFonts w:hint="cs"/>
          <w:rtl/>
        </w:rPr>
        <w:t>מאסר על תנאי למשך 6 חודשים, אותו לא יישא הנאשם אלא אם כן יעבור, תוך שלוש שנים מיום שחרורו מן המאסר, עבירה על פקודת הסמים מסוג פשע, או עבירה של נהיגה בזמן פסילה, או עבירה של נהיגה בשכרות, או עבירה ש</w:t>
      </w:r>
      <w:r>
        <w:rPr>
          <w:rFonts w:ascii="Tahoma" w:hAnsi="Tahoma" w:hint="cs"/>
          <w:rtl/>
        </w:rPr>
        <w:t>ל נהיגה תחת השפעת משקאות משכרים או סמים.</w:t>
      </w:r>
    </w:p>
    <w:p w14:paraId="30D53145" w14:textId="77777777" w:rsidR="00F53C54" w:rsidRDefault="00464244">
      <w:pPr>
        <w:spacing w:after="120" w:line="360" w:lineRule="auto"/>
        <w:ind w:left="1440" w:hanging="720"/>
        <w:jc w:val="both"/>
        <w:rPr>
          <w:rtl/>
        </w:rPr>
      </w:pPr>
      <w:r>
        <w:rPr>
          <w:rFonts w:hint="cs"/>
          <w:rtl/>
        </w:rPr>
        <w:t>(ד)</w:t>
      </w:r>
      <w:r>
        <w:rPr>
          <w:rtl/>
        </w:rPr>
        <w:tab/>
      </w:r>
      <w:r>
        <w:rPr>
          <w:rFonts w:hint="cs"/>
          <w:rtl/>
        </w:rPr>
        <w:t>פסילה מלקבל או מלהחזיק רישיון נהיגה לתקופה של 12 חודשים מיום שחרורו של הנאשם מן המאסר.</w:t>
      </w:r>
    </w:p>
    <w:p w14:paraId="7DCFFC54" w14:textId="77777777" w:rsidR="00F53C54" w:rsidRDefault="00464244">
      <w:pPr>
        <w:spacing w:after="120" w:line="360" w:lineRule="auto"/>
        <w:ind w:left="1440"/>
        <w:jc w:val="both"/>
        <w:rPr>
          <w:rtl/>
        </w:rPr>
      </w:pPr>
      <w:r>
        <w:rPr>
          <w:rFonts w:hint="cs"/>
          <w:rtl/>
        </w:rPr>
        <w:t>אני מורה בזה על הפעלה הפסילה המותנית בת שנתיים ימים, אשר נגזרה על הנאשם ב</w:t>
      </w:r>
      <w:hyperlink r:id="rId89" w:history="1">
        <w:r w:rsidRPr="00464244">
          <w:rPr>
            <w:color w:val="0000FF"/>
            <w:u w:val="single"/>
            <w:rtl/>
          </w:rPr>
          <w:t>ת.פ. 23980-07-13</w:t>
        </w:r>
      </w:hyperlink>
      <w:r>
        <w:rPr>
          <w:rFonts w:hint="cs"/>
          <w:rtl/>
        </w:rPr>
        <w:t xml:space="preserve"> בבית משפט השלום בראשון לציון, והפסילה המותנית בת שנה, אשר נגזר על הנאשם ב</w:t>
      </w:r>
      <w:hyperlink r:id="rId90" w:history="1">
        <w:r w:rsidRPr="00464244">
          <w:rPr>
            <w:color w:val="0000FF"/>
            <w:u w:val="single"/>
            <w:rtl/>
          </w:rPr>
          <w:t>פ.ל. 6265-08-10</w:t>
        </w:r>
      </w:hyperlink>
      <w:r>
        <w:rPr>
          <w:rFonts w:hint="cs"/>
          <w:rtl/>
        </w:rPr>
        <w:t xml:space="preserve"> בבית משפט השלום לתעבורה בתל אביב, במצטבר.</w:t>
      </w:r>
    </w:p>
    <w:p w14:paraId="2F1021AC" w14:textId="77777777" w:rsidR="00F53C54" w:rsidRDefault="00464244">
      <w:pPr>
        <w:spacing w:after="120" w:line="360" w:lineRule="auto"/>
        <w:ind w:left="1440"/>
        <w:jc w:val="both"/>
        <w:rPr>
          <w:b/>
          <w:bCs/>
          <w:rtl/>
        </w:rPr>
      </w:pPr>
      <w:r>
        <w:rPr>
          <w:rFonts w:hint="cs"/>
          <w:b/>
          <w:bCs/>
          <w:rtl/>
        </w:rPr>
        <w:t>בסך הכל פסילת הנאשם בפועל תהא אפוא לתקופה של ארבע שנים, החל מיום שחרורו מן המאסר.</w:t>
      </w:r>
    </w:p>
    <w:p w14:paraId="18E88067" w14:textId="77777777" w:rsidR="00F53C54" w:rsidRDefault="00464244">
      <w:pPr>
        <w:spacing w:after="120" w:line="360" w:lineRule="auto"/>
        <w:ind w:left="1440" w:hanging="720"/>
        <w:jc w:val="both"/>
        <w:rPr>
          <w:rtl/>
        </w:rPr>
      </w:pPr>
      <w:r>
        <w:rPr>
          <w:rFonts w:hint="cs"/>
          <w:rtl/>
        </w:rPr>
        <w:t>(ה)</w:t>
      </w:r>
      <w:r>
        <w:rPr>
          <w:rtl/>
        </w:rPr>
        <w:tab/>
      </w:r>
      <w:r>
        <w:rPr>
          <w:rFonts w:hint="cs"/>
          <w:rtl/>
        </w:rPr>
        <w:t>פסילה מלקבל או להחזיק רישיון נהיגה למשך 12 חודשים על תנאי, והתנאי הוא שבמשך שנתיים מיום שחרורו מן המאסר לא יעבור הנאשם עבירה מהעבירות שבהן הורשע.</w:t>
      </w:r>
    </w:p>
    <w:p w14:paraId="2A92BCBF" w14:textId="77777777" w:rsidR="00F53C54" w:rsidRDefault="00464244">
      <w:pPr>
        <w:spacing w:after="120" w:line="360" w:lineRule="auto"/>
        <w:ind w:left="1440" w:hanging="720"/>
        <w:jc w:val="both"/>
        <w:rPr>
          <w:rtl/>
        </w:rPr>
      </w:pPr>
      <w:r>
        <w:rPr>
          <w:rFonts w:hint="cs"/>
          <w:rtl/>
        </w:rPr>
        <w:t>(ו)</w:t>
      </w:r>
      <w:r>
        <w:rPr>
          <w:rtl/>
        </w:rPr>
        <w:tab/>
      </w:r>
      <w:r>
        <w:rPr>
          <w:rFonts w:hint="cs"/>
          <w:rtl/>
        </w:rPr>
        <w:t xml:space="preserve">אני מצווה בזה על תשלום ההתחייבות, על סך 15,000 ₪, שעליה חתם הנאשם במסגרת תיק </w:t>
      </w:r>
      <w:hyperlink r:id="rId91" w:history="1">
        <w:r w:rsidRPr="00464244">
          <w:rPr>
            <w:color w:val="0000FF"/>
            <w:u w:val="single"/>
            <w:rtl/>
          </w:rPr>
          <w:t>פ.ל. 6265-08-10</w:t>
        </w:r>
      </w:hyperlink>
      <w:r>
        <w:rPr>
          <w:rFonts w:hint="cs"/>
          <w:rtl/>
        </w:rPr>
        <w:t xml:space="preserve"> הנ"ל. הנאשם ישלם את סכום ההתחייבות, בסך 15,000 ₪, עד ליום 1.7.16.</w:t>
      </w:r>
    </w:p>
    <w:p w14:paraId="5A5FB03F" w14:textId="77777777" w:rsidR="00F53C54" w:rsidRDefault="00464244">
      <w:pPr>
        <w:spacing w:after="120" w:line="360" w:lineRule="auto"/>
        <w:jc w:val="both"/>
        <w:rPr>
          <w:rtl/>
        </w:rPr>
      </w:pPr>
      <w:r>
        <w:rPr>
          <w:rFonts w:hint="cs"/>
          <w:rtl/>
        </w:rPr>
        <w:t xml:space="preserve">ניתן בזה צו כללי, לעניין מוצגים, לשיקול דעתו של קצין משטרה. </w:t>
      </w:r>
    </w:p>
    <w:p w14:paraId="23F937F5" w14:textId="77777777" w:rsidR="00F53C54" w:rsidRDefault="00464244">
      <w:pPr>
        <w:spacing w:after="120" w:line="360" w:lineRule="auto"/>
        <w:jc w:val="both"/>
        <w:rPr>
          <w:rFonts w:ascii="Tahoma" w:hAnsi="Tahoma"/>
        </w:rPr>
      </w:pPr>
      <w:r>
        <w:rPr>
          <w:rFonts w:hint="cs"/>
          <w:rtl/>
        </w:rPr>
        <w:t>אני מורה בזה למשטרה להחזיר לנאשם את הרכב שנתפס ממנו (מ.ר. 76-319-18), בכפוף לקיום כל התנאים הבאים: (1) תשלום מלוא דמי אחסנת הרכב; (2) הצגת רישיון רכב ותעודת ביטוח בתוקף.</w:t>
      </w:r>
    </w:p>
    <w:p w14:paraId="2AE46807" w14:textId="77777777" w:rsidR="00F53C54" w:rsidRDefault="00464244">
      <w:pPr>
        <w:snapToGrid w:val="0"/>
        <w:spacing w:after="120" w:line="360" w:lineRule="auto"/>
        <w:jc w:val="both"/>
        <w:rPr>
          <w:rtl/>
        </w:rPr>
      </w:pPr>
      <w:r>
        <w:rPr>
          <w:rFonts w:hint="cs"/>
          <w:rtl/>
        </w:rPr>
        <w:t>זכות ערעור בתוך 45 יום מהיום.</w:t>
      </w:r>
    </w:p>
    <w:p w14:paraId="1777ACF6" w14:textId="77777777" w:rsidR="00F53C54" w:rsidRDefault="00F53C54">
      <w:pPr>
        <w:snapToGrid w:val="0"/>
        <w:spacing w:after="120" w:line="360" w:lineRule="auto"/>
        <w:jc w:val="both"/>
        <w:rPr>
          <w:rtl/>
        </w:rPr>
      </w:pPr>
    </w:p>
    <w:p w14:paraId="653319BB" w14:textId="77777777" w:rsidR="00F53C54" w:rsidRDefault="00464244">
      <w:pPr>
        <w:spacing w:line="360" w:lineRule="auto"/>
        <w:jc w:val="both"/>
        <w:rPr>
          <w:rFonts w:ascii="Arial" w:hAnsi="Arial"/>
        </w:rPr>
      </w:pPr>
      <w:r w:rsidRPr="00464244">
        <w:rPr>
          <w:rFonts w:ascii="Arial" w:hAnsi="Arial"/>
          <w:color w:val="FFFFFF"/>
          <w:sz w:val="2"/>
          <w:szCs w:val="2"/>
          <w:rtl/>
        </w:rPr>
        <w:t>5129371</w:t>
      </w:r>
      <w:r>
        <w:rPr>
          <w:rFonts w:ascii="Arial" w:hAnsi="Arial"/>
          <w:rtl/>
        </w:rPr>
        <w:t xml:space="preserve">ניתן היום, כ"ה אלול תשע"ה, 09 ספטמבר 2015, במעמד הצדדים. </w:t>
      </w:r>
    </w:p>
    <w:p w14:paraId="746EF5E5" w14:textId="77777777" w:rsidR="00F53C54" w:rsidRPr="00464244" w:rsidRDefault="00464244">
      <w:pPr>
        <w:rPr>
          <w:rFonts w:cs="FrankRuehl"/>
          <w:color w:val="FFFFFF"/>
          <w:sz w:val="2"/>
          <w:szCs w:val="2"/>
          <w:rtl/>
        </w:rPr>
      </w:pPr>
      <w:r w:rsidRPr="00464244">
        <w:rPr>
          <w:rFonts w:cs="FrankRuehl"/>
          <w:color w:val="FFFFFF"/>
          <w:sz w:val="2"/>
          <w:szCs w:val="2"/>
          <w:rtl/>
        </w:rPr>
        <w:t>54678313</w:t>
      </w:r>
    </w:p>
    <w:p w14:paraId="5FDC3FA9" w14:textId="77777777" w:rsidR="00F53C54" w:rsidRDefault="0046424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F831EC6" w14:textId="77777777" w:rsidR="00F53C54" w:rsidRDefault="00F53C54">
      <w:pPr>
        <w:jc w:val="center"/>
        <w:rPr>
          <w:rFonts w:ascii="Arial" w:hAnsi="Arial" w:cs="FrankRuehl"/>
          <w:sz w:val="28"/>
          <w:szCs w:val="28"/>
          <w:rtl/>
        </w:rPr>
      </w:pPr>
    </w:p>
    <w:p w14:paraId="04404662" w14:textId="77777777" w:rsidR="00F53C54" w:rsidRDefault="00F53C54">
      <w:pPr>
        <w:rPr>
          <w:rFonts w:cs="FrankRuehl"/>
          <w:sz w:val="28"/>
          <w:szCs w:val="28"/>
          <w:rtl/>
        </w:rPr>
      </w:pPr>
    </w:p>
    <w:p w14:paraId="30D8D6C6" w14:textId="77777777" w:rsidR="00F53C54" w:rsidRPr="003B373A" w:rsidRDefault="003B373A">
      <w:pPr>
        <w:pStyle w:val="a3"/>
        <w:jc w:val="center"/>
        <w:rPr>
          <w:color w:val="FFFFFF"/>
          <w:sz w:val="2"/>
          <w:szCs w:val="2"/>
          <w:rtl/>
        </w:rPr>
      </w:pPr>
      <w:r w:rsidRPr="003B373A">
        <w:rPr>
          <w:color w:val="FFFFFF"/>
          <w:sz w:val="2"/>
          <w:szCs w:val="2"/>
          <w:rtl/>
        </w:rPr>
        <w:t>5129371</w:t>
      </w:r>
    </w:p>
    <w:p w14:paraId="09B4341D" w14:textId="77777777" w:rsidR="00464244" w:rsidRPr="003B373A" w:rsidRDefault="003B373A" w:rsidP="00464244">
      <w:pPr>
        <w:keepNext/>
        <w:rPr>
          <w:rFonts w:ascii="David" w:hAnsi="David"/>
          <w:color w:val="FFFFFF"/>
          <w:sz w:val="2"/>
          <w:szCs w:val="2"/>
          <w:rtl/>
        </w:rPr>
      </w:pPr>
      <w:r w:rsidRPr="003B373A">
        <w:rPr>
          <w:rFonts w:ascii="David" w:hAnsi="David"/>
          <w:color w:val="FFFFFF"/>
          <w:sz w:val="2"/>
          <w:szCs w:val="2"/>
          <w:rtl/>
        </w:rPr>
        <w:t>54678313</w:t>
      </w:r>
    </w:p>
    <w:p w14:paraId="613FE944" w14:textId="77777777" w:rsidR="00464244" w:rsidRDefault="00464244" w:rsidP="00464244">
      <w:pPr>
        <w:jc w:val="center"/>
        <w:rPr>
          <w:color w:val="0000FF"/>
          <w:u w:val="single"/>
        </w:rPr>
      </w:pPr>
      <w:hyperlink r:id="rId92" w:history="1">
        <w:r>
          <w:rPr>
            <w:color w:val="0000FF"/>
            <w:u w:val="single"/>
            <w:rtl/>
          </w:rPr>
          <w:t>בעניין עריכה ושינויים במסמכי פסיקה, חקיקה ועוד באתר נבו – הקש כאן</w:t>
        </w:r>
      </w:hyperlink>
    </w:p>
    <w:p w14:paraId="6BE4C066" w14:textId="77777777" w:rsidR="003B373A" w:rsidRPr="003B373A" w:rsidRDefault="003B373A" w:rsidP="003B373A">
      <w:pPr>
        <w:keepNext/>
        <w:rPr>
          <w:rFonts w:ascii="David" w:hAnsi="David"/>
          <w:color w:val="000000"/>
          <w:sz w:val="22"/>
          <w:szCs w:val="22"/>
          <w:rtl/>
        </w:rPr>
      </w:pPr>
    </w:p>
    <w:p w14:paraId="41B5FC12" w14:textId="77777777" w:rsidR="003B373A" w:rsidRPr="003B373A" w:rsidRDefault="003B373A" w:rsidP="003B373A">
      <w:pPr>
        <w:keepNext/>
        <w:rPr>
          <w:rFonts w:ascii="David" w:hAnsi="David"/>
          <w:color w:val="000000"/>
          <w:sz w:val="22"/>
          <w:szCs w:val="22"/>
          <w:rtl/>
        </w:rPr>
      </w:pPr>
      <w:r w:rsidRPr="003B373A">
        <w:rPr>
          <w:rFonts w:ascii="David" w:hAnsi="David"/>
          <w:color w:val="000000"/>
          <w:sz w:val="22"/>
          <w:szCs w:val="22"/>
          <w:rtl/>
        </w:rPr>
        <w:t>שאול אבינור 54678313-/</w:t>
      </w:r>
    </w:p>
    <w:p w14:paraId="7D94117B" w14:textId="77777777" w:rsidR="00F53C54" w:rsidRPr="00464244" w:rsidRDefault="003B373A" w:rsidP="003B373A">
      <w:pPr>
        <w:rPr>
          <w:color w:val="0000FF"/>
          <w:u w:val="single"/>
        </w:rPr>
      </w:pPr>
      <w:r w:rsidRPr="003B373A">
        <w:rPr>
          <w:color w:val="000000"/>
          <w:u w:val="single"/>
          <w:rtl/>
        </w:rPr>
        <w:t>נוסח מסמך זה כפוף לשינויי ניסוח ועריכה</w:t>
      </w:r>
    </w:p>
    <w:sectPr w:rsidR="00F53C54" w:rsidRPr="00464244" w:rsidSect="003B373A">
      <w:headerReference w:type="even" r:id="rId93"/>
      <w:headerReference w:type="default" r:id="rId94"/>
      <w:footerReference w:type="even" r:id="rId95"/>
      <w:footerReference w:type="default" r:id="rId9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CBA1F" w14:textId="77777777" w:rsidR="00072D49" w:rsidRDefault="00072D49">
      <w:r>
        <w:separator/>
      </w:r>
    </w:p>
  </w:endnote>
  <w:endnote w:type="continuationSeparator" w:id="0">
    <w:p w14:paraId="4D8C2C8A" w14:textId="77777777" w:rsidR="00072D49" w:rsidRDefault="0007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F55AC" w14:textId="77777777" w:rsidR="00A023C8" w:rsidRDefault="00A023C8" w:rsidP="003B373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06A6DD" w14:textId="77777777" w:rsidR="00A023C8" w:rsidRPr="003B373A" w:rsidRDefault="00A023C8" w:rsidP="003B373A">
    <w:pPr>
      <w:pStyle w:val="a4"/>
      <w:pBdr>
        <w:top w:val="single" w:sz="4" w:space="1" w:color="auto"/>
        <w:between w:val="single" w:sz="4" w:space="0" w:color="auto"/>
      </w:pBdr>
      <w:spacing w:after="60"/>
      <w:jc w:val="center"/>
      <w:rPr>
        <w:rFonts w:ascii="FrankRuehl" w:hAnsi="FrankRuehl" w:cs="FrankRuehl"/>
        <w:color w:val="000000"/>
      </w:rPr>
    </w:pPr>
    <w:r w:rsidRPr="003B37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49944" w14:textId="77777777" w:rsidR="00A023C8" w:rsidRDefault="00A023C8" w:rsidP="003B373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660F">
      <w:rPr>
        <w:rFonts w:ascii="FrankRuehl" w:hAnsi="FrankRuehl" w:cs="FrankRuehl"/>
        <w:noProof/>
        <w:rtl/>
      </w:rPr>
      <w:t>1</w:t>
    </w:r>
    <w:r>
      <w:rPr>
        <w:rFonts w:ascii="FrankRuehl" w:hAnsi="FrankRuehl" w:cs="FrankRuehl"/>
        <w:rtl/>
      </w:rPr>
      <w:fldChar w:fldCharType="end"/>
    </w:r>
  </w:p>
  <w:p w14:paraId="7A188FCE" w14:textId="77777777" w:rsidR="00A023C8" w:rsidRPr="003B373A" w:rsidRDefault="00A023C8" w:rsidP="003B373A">
    <w:pPr>
      <w:pStyle w:val="a4"/>
      <w:pBdr>
        <w:top w:val="single" w:sz="4" w:space="1" w:color="auto"/>
        <w:between w:val="single" w:sz="4" w:space="0" w:color="auto"/>
      </w:pBdr>
      <w:spacing w:after="60"/>
      <w:jc w:val="center"/>
      <w:rPr>
        <w:rFonts w:ascii="FrankRuehl" w:hAnsi="FrankRuehl" w:cs="FrankRuehl"/>
        <w:color w:val="000000"/>
      </w:rPr>
    </w:pPr>
    <w:r w:rsidRPr="003B373A">
      <w:rPr>
        <w:rFonts w:ascii="FrankRuehl" w:hAnsi="FrankRuehl" w:cs="FrankRuehl"/>
        <w:color w:val="000000"/>
      </w:rPr>
      <w:pict w14:anchorId="44442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C403E" w14:textId="77777777" w:rsidR="00072D49" w:rsidRDefault="00072D49">
      <w:r>
        <w:separator/>
      </w:r>
    </w:p>
  </w:footnote>
  <w:footnote w:type="continuationSeparator" w:id="0">
    <w:p w14:paraId="0B6AAABA" w14:textId="77777777" w:rsidR="00072D49" w:rsidRDefault="00072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6F90" w14:textId="77777777" w:rsidR="00A023C8" w:rsidRPr="003B373A" w:rsidRDefault="00A023C8" w:rsidP="003B37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53725-11-14</w:t>
    </w:r>
    <w:r>
      <w:rPr>
        <w:rFonts w:ascii="David" w:hAnsi="David"/>
        <w:color w:val="000000"/>
        <w:sz w:val="22"/>
        <w:szCs w:val="22"/>
        <w:rtl/>
      </w:rPr>
      <w:tab/>
      <w:t xml:space="preserve"> מדינת ישראל נ' שמעון אלון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D8677" w14:textId="77777777" w:rsidR="00A023C8" w:rsidRPr="003B373A" w:rsidRDefault="00A023C8" w:rsidP="003B37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53725-11-14</w:t>
    </w:r>
    <w:r>
      <w:rPr>
        <w:rFonts w:ascii="David" w:hAnsi="David"/>
        <w:color w:val="000000"/>
        <w:sz w:val="22"/>
        <w:szCs w:val="22"/>
        <w:rtl/>
      </w:rPr>
      <w:tab/>
      <w:t xml:space="preserve"> מדינת ישראל נ' שמעון אלון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F0CA6"/>
    <w:multiLevelType w:val="hybridMultilevel"/>
    <w:tmpl w:val="CC58C5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2281BE8"/>
    <w:multiLevelType w:val="hybridMultilevel"/>
    <w:tmpl w:val="96CA2DE4"/>
    <w:lvl w:ilvl="0" w:tplc="D0FE5274">
      <w:start w:val="1"/>
      <w:numFmt w:val="decimal"/>
      <w:lvlText w:val="%1."/>
      <w:lvlJc w:val="left"/>
      <w:pPr>
        <w:tabs>
          <w:tab w:val="num" w:pos="1080"/>
        </w:tabs>
        <w:ind w:left="1080" w:hanging="720"/>
      </w:pPr>
      <w:rPr>
        <w:rFonts w:cs="David"/>
        <w:b w:val="0"/>
        <w:bCs w:val="0"/>
        <w:lang w:val="en-US" w:bidi="he-I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640111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836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3C54"/>
    <w:rsid w:val="00072D49"/>
    <w:rsid w:val="00080FA0"/>
    <w:rsid w:val="001540BF"/>
    <w:rsid w:val="001C7294"/>
    <w:rsid w:val="003348B4"/>
    <w:rsid w:val="003B373A"/>
    <w:rsid w:val="00464244"/>
    <w:rsid w:val="007E660F"/>
    <w:rsid w:val="009845A8"/>
    <w:rsid w:val="00A023C8"/>
    <w:rsid w:val="00A123DB"/>
    <w:rsid w:val="00F53C54"/>
    <w:rsid w:val="00FD19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E8DA56"/>
  <w15:chartTrackingRefBased/>
  <w15:docId w15:val="{8C4A32B4-88C3-4627-A535-12B93EB5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3C5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53C54"/>
    <w:pPr>
      <w:tabs>
        <w:tab w:val="center" w:pos="4153"/>
        <w:tab w:val="right" w:pos="8306"/>
      </w:tabs>
    </w:pPr>
  </w:style>
  <w:style w:type="paragraph" w:styleId="a4">
    <w:name w:val="footer"/>
    <w:basedOn w:val="a"/>
    <w:rsid w:val="00F53C54"/>
    <w:pPr>
      <w:tabs>
        <w:tab w:val="center" w:pos="4153"/>
        <w:tab w:val="right" w:pos="8306"/>
      </w:tabs>
    </w:pPr>
  </w:style>
  <w:style w:type="character" w:styleId="a5">
    <w:name w:val="page number"/>
    <w:basedOn w:val="a0"/>
    <w:rsid w:val="00F53C54"/>
  </w:style>
  <w:style w:type="character" w:styleId="Hyperlink">
    <w:name w:val="Hyperlink"/>
    <w:rsid w:val="00464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 TargetMode="External"/><Relationship Id="rId21" Type="http://schemas.openxmlformats.org/officeDocument/2006/relationships/hyperlink" Target="http://www.nevo.co.il/law/70301/71.a"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4903/129" TargetMode="External"/><Relationship Id="rId63" Type="http://schemas.openxmlformats.org/officeDocument/2006/relationships/hyperlink" Target="http://www.nevo.co.il/law/74903/129" TargetMode="External"/><Relationship Id="rId68" Type="http://schemas.openxmlformats.org/officeDocument/2006/relationships/hyperlink" Target="http://www.nevo.co.il/law/74903/129" TargetMode="External"/><Relationship Id="rId84" Type="http://schemas.openxmlformats.org/officeDocument/2006/relationships/hyperlink" Target="http://www.nevo.co.il/law/70301/71.a" TargetMode="External"/><Relationship Id="rId89" Type="http://schemas.openxmlformats.org/officeDocument/2006/relationships/hyperlink" Target="http://www.nevo.co.il/case/7786732" TargetMode="External"/><Relationship Id="rId16" Type="http://schemas.openxmlformats.org/officeDocument/2006/relationships/hyperlink" Target="http://www.nevo.co.il/law/70301/40c" TargetMode="External"/><Relationship Id="rId11" Type="http://schemas.openxmlformats.org/officeDocument/2006/relationships/hyperlink" Target="http://www.nevo.co.il/law/5227/38.1" TargetMode="External"/><Relationship Id="rId32" Type="http://schemas.openxmlformats.org/officeDocument/2006/relationships/hyperlink" Target="http://www.nevo.co.il/law/4216/7.D" TargetMode="External"/><Relationship Id="rId37" Type="http://schemas.openxmlformats.org/officeDocument/2006/relationships/hyperlink" Target="http://www.nevo.co.il/law/74274"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4903" TargetMode="External"/><Relationship Id="rId74" Type="http://schemas.openxmlformats.org/officeDocument/2006/relationships/hyperlink" Target="http://www.nevo.co.il/law/70301/58"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case/6589650" TargetMode="External"/><Relationship Id="rId95" Type="http://schemas.openxmlformats.org/officeDocument/2006/relationships/footer" Target="footer1.xml"/><Relationship Id="rId22" Type="http://schemas.openxmlformats.org/officeDocument/2006/relationships/hyperlink" Target="http://www.nevo.co.il/law/70301/76" TargetMode="External"/><Relationship Id="rId27" Type="http://schemas.openxmlformats.org/officeDocument/2006/relationships/hyperlink" Target="http://www.nevo.co.il/law/74903/128.1" TargetMode="External"/><Relationship Id="rId43" Type="http://schemas.openxmlformats.org/officeDocument/2006/relationships/hyperlink" Target="http://www.nevo.co.il/law/70301/40i.a.5" TargetMode="External"/><Relationship Id="rId48" Type="http://schemas.openxmlformats.org/officeDocument/2006/relationships/hyperlink" Target="http://www.nevo.co.il/law/74903" TargetMode="External"/><Relationship Id="rId64" Type="http://schemas.openxmlformats.org/officeDocument/2006/relationships/hyperlink" Target="http://www.nevo.co.il/law/74903" TargetMode="External"/><Relationship Id="rId69" Type="http://schemas.openxmlformats.org/officeDocument/2006/relationships/hyperlink" Target="http://www.nevo.co.il/law/74903" TargetMode="External"/><Relationship Id="rId80" Type="http://schemas.openxmlformats.org/officeDocument/2006/relationships/hyperlink" Target="http://www.nevo.co.il/case/2299633" TargetMode="External"/><Relationship Id="rId85" Type="http://schemas.openxmlformats.org/officeDocument/2006/relationships/hyperlink" Target="http://www.nevo.co.il/law/70301/76" TargetMode="External"/><Relationship Id="rId3" Type="http://schemas.openxmlformats.org/officeDocument/2006/relationships/settings" Target="settings.xml"/><Relationship Id="rId12" Type="http://schemas.openxmlformats.org/officeDocument/2006/relationships/hyperlink" Target="http://www.nevo.co.il/law/5227/62.2"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law/4216" TargetMode="External"/><Relationship Id="rId38" Type="http://schemas.openxmlformats.org/officeDocument/2006/relationships/hyperlink" Target="http://www.nevo.co.il/law/5227/38.1" TargetMode="External"/><Relationship Id="rId46" Type="http://schemas.openxmlformats.org/officeDocument/2006/relationships/hyperlink" Target="http://www.nevo.co.il/law/5227"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79537" TargetMode="External"/><Relationship Id="rId20" Type="http://schemas.openxmlformats.org/officeDocument/2006/relationships/hyperlink" Target="http://www.nevo.co.il/law/70301/58" TargetMode="External"/><Relationship Id="rId41" Type="http://schemas.openxmlformats.org/officeDocument/2006/relationships/hyperlink" Target="http://www.nevo.co.il/case/6589650" TargetMode="External"/><Relationship Id="rId54" Type="http://schemas.openxmlformats.org/officeDocument/2006/relationships/hyperlink" Target="http://www.nevo.co.il/law/70301/40i"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4903/128.1" TargetMode="External"/><Relationship Id="rId75" Type="http://schemas.openxmlformats.org/officeDocument/2006/relationships/hyperlink" Target="http://www.nevo.co.il/law/70301" TargetMode="External"/><Relationship Id="rId83" Type="http://schemas.openxmlformats.org/officeDocument/2006/relationships/hyperlink" Target="http://www.nevo.co.il/safrut/bookgroup/2344" TargetMode="External"/><Relationship Id="rId88" Type="http://schemas.openxmlformats.org/officeDocument/2006/relationships/hyperlink" Target="http://www.nevo.co.il/case/6589650" TargetMode="External"/><Relationship Id="rId91" Type="http://schemas.openxmlformats.org/officeDocument/2006/relationships/hyperlink" Target="http://www.nevo.co.il/case/6589650"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85" TargetMode="External"/><Relationship Id="rId28" Type="http://schemas.openxmlformats.org/officeDocument/2006/relationships/hyperlink" Target="http://www.nevo.co.il/law/74903/128.2" TargetMode="External"/><Relationship Id="rId36" Type="http://schemas.openxmlformats.org/officeDocument/2006/relationships/hyperlink" Target="http://www.nevo.co.il/law/74274/26.2" TargetMode="External"/><Relationship Id="rId49" Type="http://schemas.openxmlformats.org/officeDocument/2006/relationships/hyperlink" Target="http://www.nevo.co.il/law/74903" TargetMode="External"/><Relationship Id="rId57" Type="http://schemas.openxmlformats.org/officeDocument/2006/relationships/hyperlink" Target="http://www.nevo.co.il/law/74903/186" TargetMode="External"/><Relationship Id="rId10" Type="http://schemas.openxmlformats.org/officeDocument/2006/relationships/hyperlink" Target="http://www.nevo.co.il/law/5227"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40jc" TargetMode="External"/><Relationship Id="rId60" Type="http://schemas.openxmlformats.org/officeDocument/2006/relationships/hyperlink" Target="http://www.nevo.co.il/law/4216" TargetMode="External"/><Relationship Id="rId65" Type="http://schemas.openxmlformats.org/officeDocument/2006/relationships/hyperlink" Target="http://www.nevo.co.il/law/74903/129" TargetMode="External"/><Relationship Id="rId73" Type="http://schemas.openxmlformats.org/officeDocument/2006/relationships/hyperlink" Target="http://www.nevo.co.il/law/74903" TargetMode="External"/><Relationship Id="rId78" Type="http://schemas.openxmlformats.org/officeDocument/2006/relationships/hyperlink" Target="http://www.nevo.co.il/law/70301/85"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9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4274" TargetMode="External"/><Relationship Id="rId18" Type="http://schemas.openxmlformats.org/officeDocument/2006/relationships/hyperlink" Target="http://www.nevo.co.il/law/70301/40i.a.5" TargetMode="External"/><Relationship Id="rId39" Type="http://schemas.openxmlformats.org/officeDocument/2006/relationships/hyperlink" Target="http://www.nevo.co.il/law/5227" TargetMode="External"/><Relationship Id="rId34" Type="http://schemas.openxmlformats.org/officeDocument/2006/relationships/hyperlink" Target="http://www.nevo.co.il/law/5227/62.2" TargetMode="External"/><Relationship Id="rId50" Type="http://schemas.openxmlformats.org/officeDocument/2006/relationships/hyperlink" Target="http://www.nevo.co.il/case/5796872" TargetMode="External"/><Relationship Id="rId55" Type="http://schemas.openxmlformats.org/officeDocument/2006/relationships/hyperlink" Target="http://www.nevo.co.il/law/70301" TargetMode="External"/><Relationship Id="rId76" Type="http://schemas.openxmlformats.org/officeDocument/2006/relationships/hyperlink" Target="http://www.nevo.co.il/safrut/bookgroup/412" TargetMode="External"/><Relationship Id="rId97"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law/74903/128.2" TargetMode="External"/><Relationship Id="rId92"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4903/129" TargetMode="External"/><Relationship Id="rId24" Type="http://schemas.openxmlformats.org/officeDocument/2006/relationships/hyperlink" Target="http://www.nevo.co.il/law/70301/40ja" TargetMode="External"/><Relationship Id="rId40" Type="http://schemas.openxmlformats.org/officeDocument/2006/relationships/hyperlink" Target="http://www.nevo.co.il/case/7786732"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4903" TargetMode="External"/><Relationship Id="rId87" Type="http://schemas.openxmlformats.org/officeDocument/2006/relationships/hyperlink" Target="http://www.nevo.co.il/case/7786732" TargetMode="External"/><Relationship Id="rId61" Type="http://schemas.openxmlformats.org/officeDocument/2006/relationships/hyperlink" Target="http://www.nevo.co.il/law/70301/40ja"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56" TargetMode="External"/><Relationship Id="rId14" Type="http://schemas.openxmlformats.org/officeDocument/2006/relationships/hyperlink" Target="http://www.nevo.co.il/law/74274/26.2" TargetMode="External"/><Relationship Id="rId30" Type="http://schemas.openxmlformats.org/officeDocument/2006/relationships/hyperlink" Target="http://www.nevo.co.il/law/74903/186" TargetMode="External"/><Relationship Id="rId35" Type="http://schemas.openxmlformats.org/officeDocument/2006/relationships/hyperlink" Target="http://www.nevo.co.il/law/5227" TargetMode="External"/><Relationship Id="rId56" Type="http://schemas.openxmlformats.org/officeDocument/2006/relationships/hyperlink" Target="http://www.nevo.co.il/case/13093721" TargetMode="External"/><Relationship Id="rId77" Type="http://schemas.openxmlformats.org/officeDocument/2006/relationships/hyperlink" Target="http://www.nevo.co.il/law/70301/56" TargetMode="External"/><Relationship Id="rId8" Type="http://schemas.openxmlformats.org/officeDocument/2006/relationships/hyperlink" Target="http://www.nevo.co.il/law/4216/7.D" TargetMode="External"/><Relationship Id="rId51" Type="http://schemas.openxmlformats.org/officeDocument/2006/relationships/hyperlink" Target="http://www.nevo.co.il/law/70301/40c" TargetMode="External"/><Relationship Id="rId72" Type="http://schemas.openxmlformats.org/officeDocument/2006/relationships/hyperlink" Target="http://www.nevo.co.il/law/74903/129" TargetMode="External"/><Relationship Id="rId93" Type="http://schemas.openxmlformats.org/officeDocument/2006/relationships/header" Target="header1.xm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4793</Words>
  <Characters>23967</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28703</CharactersWithSpaces>
  <SharedDoc>false</SharedDoc>
  <HLinks>
    <vt:vector size="522" baseType="variant">
      <vt:variant>
        <vt:i4>393283</vt:i4>
      </vt:variant>
      <vt:variant>
        <vt:i4>258</vt:i4>
      </vt:variant>
      <vt:variant>
        <vt:i4>0</vt:i4>
      </vt:variant>
      <vt:variant>
        <vt:i4>5</vt:i4>
      </vt:variant>
      <vt:variant>
        <vt:lpwstr>http://www.nevo.co.il/advertisements/nevo-100.doc</vt:lpwstr>
      </vt:variant>
      <vt:variant>
        <vt:lpwstr/>
      </vt:variant>
      <vt:variant>
        <vt:i4>3670141</vt:i4>
      </vt:variant>
      <vt:variant>
        <vt:i4>255</vt:i4>
      </vt:variant>
      <vt:variant>
        <vt:i4>0</vt:i4>
      </vt:variant>
      <vt:variant>
        <vt:i4>5</vt:i4>
      </vt:variant>
      <vt:variant>
        <vt:lpwstr>http://www.nevo.co.il/case/6589650</vt:lpwstr>
      </vt:variant>
      <vt:variant>
        <vt:lpwstr/>
      </vt:variant>
      <vt:variant>
        <vt:i4>3670141</vt:i4>
      </vt:variant>
      <vt:variant>
        <vt:i4>252</vt:i4>
      </vt:variant>
      <vt:variant>
        <vt:i4>0</vt:i4>
      </vt:variant>
      <vt:variant>
        <vt:i4>5</vt:i4>
      </vt:variant>
      <vt:variant>
        <vt:lpwstr>http://www.nevo.co.il/case/6589650</vt:lpwstr>
      </vt:variant>
      <vt:variant>
        <vt:lpwstr/>
      </vt:variant>
      <vt:variant>
        <vt:i4>3801206</vt:i4>
      </vt:variant>
      <vt:variant>
        <vt:i4>249</vt:i4>
      </vt:variant>
      <vt:variant>
        <vt:i4>0</vt:i4>
      </vt:variant>
      <vt:variant>
        <vt:i4>5</vt:i4>
      </vt:variant>
      <vt:variant>
        <vt:lpwstr>http://www.nevo.co.il/case/7786732</vt:lpwstr>
      </vt:variant>
      <vt:variant>
        <vt:lpwstr/>
      </vt:variant>
      <vt:variant>
        <vt:i4>3670141</vt:i4>
      </vt:variant>
      <vt:variant>
        <vt:i4>246</vt:i4>
      </vt:variant>
      <vt:variant>
        <vt:i4>0</vt:i4>
      </vt:variant>
      <vt:variant>
        <vt:i4>5</vt:i4>
      </vt:variant>
      <vt:variant>
        <vt:lpwstr>http://www.nevo.co.il/case/6589650</vt:lpwstr>
      </vt:variant>
      <vt:variant>
        <vt:lpwstr/>
      </vt:variant>
      <vt:variant>
        <vt:i4>3801206</vt:i4>
      </vt:variant>
      <vt:variant>
        <vt:i4>243</vt:i4>
      </vt:variant>
      <vt:variant>
        <vt:i4>0</vt:i4>
      </vt:variant>
      <vt:variant>
        <vt:i4>5</vt:i4>
      </vt:variant>
      <vt:variant>
        <vt:lpwstr>http://www.nevo.co.il/case/7786732</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6488162</vt:i4>
      </vt:variant>
      <vt:variant>
        <vt:i4>237</vt:i4>
      </vt:variant>
      <vt:variant>
        <vt:i4>0</vt:i4>
      </vt:variant>
      <vt:variant>
        <vt:i4>5</vt:i4>
      </vt:variant>
      <vt:variant>
        <vt:lpwstr>http://www.nevo.co.il/law/70301/76</vt:lpwstr>
      </vt:variant>
      <vt:variant>
        <vt:lpwstr/>
      </vt:variant>
      <vt:variant>
        <vt:i4>327756</vt:i4>
      </vt:variant>
      <vt:variant>
        <vt:i4>234</vt:i4>
      </vt:variant>
      <vt:variant>
        <vt:i4>0</vt:i4>
      </vt:variant>
      <vt:variant>
        <vt:i4>5</vt:i4>
      </vt:variant>
      <vt:variant>
        <vt:lpwstr>http://www.nevo.co.il/law/70301/71.a</vt:lpwstr>
      </vt:variant>
      <vt:variant>
        <vt:lpwstr/>
      </vt:variant>
      <vt:variant>
        <vt:i4>2097195</vt:i4>
      </vt:variant>
      <vt:variant>
        <vt:i4>231</vt:i4>
      </vt:variant>
      <vt:variant>
        <vt:i4>0</vt:i4>
      </vt:variant>
      <vt:variant>
        <vt:i4>5</vt:i4>
      </vt:variant>
      <vt:variant>
        <vt:lpwstr>http://www.nevo.co.il/safrut/bookgroup/2344</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7995492</vt:i4>
      </vt:variant>
      <vt:variant>
        <vt:i4>225</vt:i4>
      </vt:variant>
      <vt:variant>
        <vt:i4>0</vt:i4>
      </vt:variant>
      <vt:variant>
        <vt:i4>5</vt:i4>
      </vt:variant>
      <vt:variant>
        <vt:lpwstr>http://www.nevo.co.il/law/70301</vt:lpwstr>
      </vt:variant>
      <vt:variant>
        <vt:lpwstr/>
      </vt:variant>
      <vt:variant>
        <vt:i4>4063356</vt:i4>
      </vt:variant>
      <vt:variant>
        <vt:i4>222</vt:i4>
      </vt:variant>
      <vt:variant>
        <vt:i4>0</vt:i4>
      </vt:variant>
      <vt:variant>
        <vt:i4>5</vt:i4>
      </vt:variant>
      <vt:variant>
        <vt:lpwstr>http://www.nevo.co.il/case/2299633</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6291565</vt:i4>
      </vt:variant>
      <vt:variant>
        <vt:i4>216</vt:i4>
      </vt:variant>
      <vt:variant>
        <vt:i4>0</vt:i4>
      </vt:variant>
      <vt:variant>
        <vt:i4>5</vt:i4>
      </vt:variant>
      <vt:variant>
        <vt:lpwstr>http://www.nevo.co.il/law/70301/85</vt:lpwstr>
      </vt:variant>
      <vt:variant>
        <vt:lpwstr/>
      </vt:variant>
      <vt:variant>
        <vt:i4>6488160</vt:i4>
      </vt:variant>
      <vt:variant>
        <vt:i4>213</vt:i4>
      </vt:variant>
      <vt:variant>
        <vt:i4>0</vt:i4>
      </vt:variant>
      <vt:variant>
        <vt:i4>5</vt:i4>
      </vt:variant>
      <vt:variant>
        <vt:lpwstr>http://www.nevo.co.il/law/70301/56</vt:lpwstr>
      </vt:variant>
      <vt:variant>
        <vt:lpwstr/>
      </vt:variant>
      <vt:variant>
        <vt:i4>2097193</vt:i4>
      </vt:variant>
      <vt:variant>
        <vt:i4>210</vt:i4>
      </vt:variant>
      <vt:variant>
        <vt:i4>0</vt:i4>
      </vt:variant>
      <vt:variant>
        <vt:i4>5</vt:i4>
      </vt:variant>
      <vt:variant>
        <vt:lpwstr>http://www.nevo.co.il/safrut/bookgroup/412</vt:lpwstr>
      </vt:variant>
      <vt:variant>
        <vt:lpwstr/>
      </vt:variant>
      <vt:variant>
        <vt:i4>7995492</vt:i4>
      </vt:variant>
      <vt:variant>
        <vt:i4>207</vt:i4>
      </vt:variant>
      <vt:variant>
        <vt:i4>0</vt:i4>
      </vt:variant>
      <vt:variant>
        <vt:i4>5</vt:i4>
      </vt:variant>
      <vt:variant>
        <vt:lpwstr>http://www.nevo.co.il/law/70301</vt:lpwstr>
      </vt:variant>
      <vt:variant>
        <vt:lpwstr/>
      </vt:variant>
      <vt:variant>
        <vt:i4>7143520</vt:i4>
      </vt:variant>
      <vt:variant>
        <vt:i4>204</vt:i4>
      </vt:variant>
      <vt:variant>
        <vt:i4>0</vt:i4>
      </vt:variant>
      <vt:variant>
        <vt:i4>5</vt:i4>
      </vt:variant>
      <vt:variant>
        <vt:lpwstr>http://www.nevo.co.il/law/70301/58</vt:lpwstr>
      </vt:variant>
      <vt:variant>
        <vt:lpwstr/>
      </vt:variant>
      <vt:variant>
        <vt:i4>8257646</vt:i4>
      </vt:variant>
      <vt:variant>
        <vt:i4>201</vt:i4>
      </vt:variant>
      <vt:variant>
        <vt:i4>0</vt:i4>
      </vt:variant>
      <vt:variant>
        <vt:i4>5</vt:i4>
      </vt:variant>
      <vt:variant>
        <vt:lpwstr>http://www.nevo.co.il/law/74903</vt:lpwstr>
      </vt:variant>
      <vt:variant>
        <vt:lpwstr/>
      </vt:variant>
      <vt:variant>
        <vt:i4>6488172</vt:i4>
      </vt:variant>
      <vt:variant>
        <vt:i4>198</vt:i4>
      </vt:variant>
      <vt:variant>
        <vt:i4>0</vt:i4>
      </vt:variant>
      <vt:variant>
        <vt:i4>5</vt:i4>
      </vt:variant>
      <vt:variant>
        <vt:lpwstr>http://www.nevo.co.il/law/74903/129</vt:lpwstr>
      </vt:variant>
      <vt:variant>
        <vt:lpwstr/>
      </vt:variant>
      <vt:variant>
        <vt:i4>5046356</vt:i4>
      </vt:variant>
      <vt:variant>
        <vt:i4>195</vt:i4>
      </vt:variant>
      <vt:variant>
        <vt:i4>0</vt:i4>
      </vt:variant>
      <vt:variant>
        <vt:i4>5</vt:i4>
      </vt:variant>
      <vt:variant>
        <vt:lpwstr>http://www.nevo.co.il/law/74903/128.2</vt:lpwstr>
      </vt:variant>
      <vt:variant>
        <vt:lpwstr/>
      </vt:variant>
      <vt:variant>
        <vt:i4>5046356</vt:i4>
      </vt:variant>
      <vt:variant>
        <vt:i4>192</vt:i4>
      </vt:variant>
      <vt:variant>
        <vt:i4>0</vt:i4>
      </vt:variant>
      <vt:variant>
        <vt:i4>5</vt:i4>
      </vt:variant>
      <vt:variant>
        <vt:lpwstr>http://www.nevo.co.il/law/74903/128.1</vt:lpwstr>
      </vt:variant>
      <vt:variant>
        <vt:lpwstr/>
      </vt:variant>
      <vt:variant>
        <vt:i4>8257646</vt:i4>
      </vt:variant>
      <vt:variant>
        <vt:i4>189</vt:i4>
      </vt:variant>
      <vt:variant>
        <vt:i4>0</vt:i4>
      </vt:variant>
      <vt:variant>
        <vt:i4>5</vt:i4>
      </vt:variant>
      <vt:variant>
        <vt:lpwstr>http://www.nevo.co.il/law/74903</vt:lpwstr>
      </vt:variant>
      <vt:variant>
        <vt:lpwstr/>
      </vt:variant>
      <vt:variant>
        <vt:i4>6488172</vt:i4>
      </vt:variant>
      <vt:variant>
        <vt:i4>186</vt:i4>
      </vt:variant>
      <vt:variant>
        <vt:i4>0</vt:i4>
      </vt:variant>
      <vt:variant>
        <vt:i4>5</vt:i4>
      </vt:variant>
      <vt:variant>
        <vt:lpwstr>http://www.nevo.co.il/law/74903/129</vt:lpwstr>
      </vt:variant>
      <vt:variant>
        <vt:lpwstr/>
      </vt:variant>
      <vt:variant>
        <vt:i4>524358</vt:i4>
      </vt:variant>
      <vt:variant>
        <vt:i4>183</vt:i4>
      </vt:variant>
      <vt:variant>
        <vt:i4>0</vt:i4>
      </vt:variant>
      <vt:variant>
        <vt:i4>5</vt:i4>
      </vt:variant>
      <vt:variant>
        <vt:lpwstr>http://www.nevo.co.il/case/279537</vt:lpwstr>
      </vt:variant>
      <vt:variant>
        <vt:lpwstr/>
      </vt:variant>
      <vt:variant>
        <vt:i4>8257646</vt:i4>
      </vt:variant>
      <vt:variant>
        <vt:i4>180</vt:i4>
      </vt:variant>
      <vt:variant>
        <vt:i4>0</vt:i4>
      </vt:variant>
      <vt:variant>
        <vt:i4>5</vt:i4>
      </vt:variant>
      <vt:variant>
        <vt:lpwstr>http://www.nevo.co.il/law/74903</vt:lpwstr>
      </vt:variant>
      <vt:variant>
        <vt:lpwstr/>
      </vt:variant>
      <vt:variant>
        <vt:i4>6488172</vt:i4>
      </vt:variant>
      <vt:variant>
        <vt:i4>177</vt:i4>
      </vt:variant>
      <vt:variant>
        <vt:i4>0</vt:i4>
      </vt:variant>
      <vt:variant>
        <vt:i4>5</vt:i4>
      </vt:variant>
      <vt:variant>
        <vt:lpwstr>http://www.nevo.co.il/law/74903/129</vt:lpwstr>
      </vt:variant>
      <vt:variant>
        <vt:lpwstr/>
      </vt:variant>
      <vt:variant>
        <vt:i4>8257646</vt:i4>
      </vt:variant>
      <vt:variant>
        <vt:i4>174</vt:i4>
      </vt:variant>
      <vt:variant>
        <vt:i4>0</vt:i4>
      </vt:variant>
      <vt:variant>
        <vt:i4>5</vt:i4>
      </vt:variant>
      <vt:variant>
        <vt:lpwstr>http://www.nevo.co.il/law/74903</vt:lpwstr>
      </vt:variant>
      <vt:variant>
        <vt:lpwstr/>
      </vt:variant>
      <vt:variant>
        <vt:i4>6488172</vt:i4>
      </vt:variant>
      <vt:variant>
        <vt:i4>171</vt:i4>
      </vt:variant>
      <vt:variant>
        <vt:i4>0</vt:i4>
      </vt:variant>
      <vt:variant>
        <vt:i4>5</vt:i4>
      </vt:variant>
      <vt:variant>
        <vt:lpwstr>http://www.nevo.co.il/law/74903/129</vt:lpwstr>
      </vt:variant>
      <vt:variant>
        <vt:lpwstr/>
      </vt:variant>
      <vt:variant>
        <vt:i4>7995492</vt:i4>
      </vt:variant>
      <vt:variant>
        <vt:i4>168</vt:i4>
      </vt:variant>
      <vt:variant>
        <vt:i4>0</vt:i4>
      </vt:variant>
      <vt:variant>
        <vt:i4>5</vt:i4>
      </vt:variant>
      <vt:variant>
        <vt:lpwstr>http://www.nevo.co.il/law/70301</vt:lpwstr>
      </vt:variant>
      <vt:variant>
        <vt:lpwstr/>
      </vt:variant>
      <vt:variant>
        <vt:i4>262155</vt:i4>
      </vt:variant>
      <vt:variant>
        <vt:i4>165</vt:i4>
      </vt:variant>
      <vt:variant>
        <vt:i4>0</vt:i4>
      </vt:variant>
      <vt:variant>
        <vt:i4>5</vt:i4>
      </vt:variant>
      <vt:variant>
        <vt:lpwstr>http://www.nevo.co.il/law/70301/40ja</vt:lpwstr>
      </vt:variant>
      <vt:variant>
        <vt:lpwstr/>
      </vt:variant>
      <vt:variant>
        <vt:i4>8257637</vt:i4>
      </vt:variant>
      <vt:variant>
        <vt:i4>162</vt:i4>
      </vt:variant>
      <vt:variant>
        <vt:i4>0</vt:i4>
      </vt:variant>
      <vt:variant>
        <vt:i4>5</vt:i4>
      </vt:variant>
      <vt:variant>
        <vt:lpwstr>http://www.nevo.co.il/law/4216</vt:lpwstr>
      </vt:variant>
      <vt:variant>
        <vt:lpwstr/>
      </vt:variant>
      <vt:variant>
        <vt:i4>7995492</vt:i4>
      </vt:variant>
      <vt:variant>
        <vt:i4>159</vt:i4>
      </vt:variant>
      <vt:variant>
        <vt:i4>0</vt:i4>
      </vt:variant>
      <vt:variant>
        <vt:i4>5</vt:i4>
      </vt:variant>
      <vt:variant>
        <vt:lpwstr>http://www.nevo.co.il/law/70301</vt:lpwstr>
      </vt:variant>
      <vt:variant>
        <vt:lpwstr/>
      </vt:variant>
      <vt:variant>
        <vt:i4>8257646</vt:i4>
      </vt:variant>
      <vt:variant>
        <vt:i4>156</vt:i4>
      </vt:variant>
      <vt:variant>
        <vt:i4>0</vt:i4>
      </vt:variant>
      <vt:variant>
        <vt:i4>5</vt:i4>
      </vt:variant>
      <vt:variant>
        <vt:lpwstr>http://www.nevo.co.il/law/74903</vt:lpwstr>
      </vt:variant>
      <vt:variant>
        <vt:lpwstr/>
      </vt:variant>
      <vt:variant>
        <vt:i4>6881388</vt:i4>
      </vt:variant>
      <vt:variant>
        <vt:i4>153</vt:i4>
      </vt:variant>
      <vt:variant>
        <vt:i4>0</vt:i4>
      </vt:variant>
      <vt:variant>
        <vt:i4>5</vt:i4>
      </vt:variant>
      <vt:variant>
        <vt:lpwstr>http://www.nevo.co.il/law/74903/186</vt:lpwstr>
      </vt:variant>
      <vt:variant>
        <vt:lpwstr/>
      </vt:variant>
      <vt:variant>
        <vt:i4>3145849</vt:i4>
      </vt:variant>
      <vt:variant>
        <vt:i4>150</vt:i4>
      </vt:variant>
      <vt:variant>
        <vt:i4>0</vt:i4>
      </vt:variant>
      <vt:variant>
        <vt:i4>5</vt:i4>
      </vt:variant>
      <vt:variant>
        <vt:lpwstr>http://www.nevo.co.il/case/13093721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393227</vt:i4>
      </vt:variant>
      <vt:variant>
        <vt:i4>138</vt:i4>
      </vt:variant>
      <vt:variant>
        <vt:i4>0</vt:i4>
      </vt:variant>
      <vt:variant>
        <vt:i4>5</vt:i4>
      </vt:variant>
      <vt:variant>
        <vt:lpwstr>http://www.nevo.co.il/law/70301/40jc</vt:lpwstr>
      </vt:variant>
      <vt:variant>
        <vt:lpwstr/>
      </vt:variant>
      <vt:variant>
        <vt:i4>6619233</vt:i4>
      </vt:variant>
      <vt:variant>
        <vt:i4>135</vt:i4>
      </vt:variant>
      <vt:variant>
        <vt:i4>0</vt:i4>
      </vt:variant>
      <vt:variant>
        <vt:i4>5</vt:i4>
      </vt:variant>
      <vt:variant>
        <vt:lpwstr>http://www.nevo.co.il/law/70301/40c</vt:lpwstr>
      </vt:variant>
      <vt:variant>
        <vt:lpwstr/>
      </vt:variant>
      <vt:variant>
        <vt:i4>3539058</vt:i4>
      </vt:variant>
      <vt:variant>
        <vt:i4>132</vt:i4>
      </vt:variant>
      <vt:variant>
        <vt:i4>0</vt:i4>
      </vt:variant>
      <vt:variant>
        <vt:i4>5</vt:i4>
      </vt:variant>
      <vt:variant>
        <vt:lpwstr>http://www.nevo.co.il/case/5796872</vt:lpwstr>
      </vt:variant>
      <vt:variant>
        <vt:lpwstr/>
      </vt:variant>
      <vt:variant>
        <vt:i4>8257646</vt:i4>
      </vt:variant>
      <vt:variant>
        <vt:i4>129</vt:i4>
      </vt:variant>
      <vt:variant>
        <vt:i4>0</vt:i4>
      </vt:variant>
      <vt:variant>
        <vt:i4>5</vt:i4>
      </vt:variant>
      <vt:variant>
        <vt:lpwstr>http://www.nevo.co.il/law/74903</vt:lpwstr>
      </vt:variant>
      <vt:variant>
        <vt:lpwstr/>
      </vt:variant>
      <vt:variant>
        <vt:i4>8257646</vt:i4>
      </vt:variant>
      <vt:variant>
        <vt:i4>126</vt:i4>
      </vt:variant>
      <vt:variant>
        <vt:i4>0</vt:i4>
      </vt:variant>
      <vt:variant>
        <vt:i4>5</vt:i4>
      </vt:variant>
      <vt:variant>
        <vt:lpwstr>http://www.nevo.co.il/law/74903</vt:lpwstr>
      </vt:variant>
      <vt:variant>
        <vt:lpwstr/>
      </vt:variant>
      <vt:variant>
        <vt:i4>6488172</vt:i4>
      </vt:variant>
      <vt:variant>
        <vt:i4>123</vt:i4>
      </vt:variant>
      <vt:variant>
        <vt:i4>0</vt:i4>
      </vt:variant>
      <vt:variant>
        <vt:i4>5</vt:i4>
      </vt:variant>
      <vt:variant>
        <vt:lpwstr>http://www.nevo.co.il/law/74903/129</vt:lpwstr>
      </vt:variant>
      <vt:variant>
        <vt:lpwstr/>
      </vt:variant>
      <vt:variant>
        <vt:i4>8323175</vt:i4>
      </vt:variant>
      <vt:variant>
        <vt:i4>120</vt:i4>
      </vt:variant>
      <vt:variant>
        <vt:i4>0</vt:i4>
      </vt:variant>
      <vt:variant>
        <vt:i4>5</vt:i4>
      </vt:variant>
      <vt:variant>
        <vt:lpwstr>http://www.nevo.co.il/law/5227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6619241</vt:i4>
      </vt:variant>
      <vt:variant>
        <vt:i4>111</vt:i4>
      </vt:variant>
      <vt:variant>
        <vt:i4>0</vt:i4>
      </vt:variant>
      <vt:variant>
        <vt:i4>5</vt:i4>
      </vt:variant>
      <vt:variant>
        <vt:lpwstr>http://www.nevo.co.il/law/70301/40i.a.5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3670141</vt:i4>
      </vt:variant>
      <vt:variant>
        <vt:i4>105</vt:i4>
      </vt:variant>
      <vt:variant>
        <vt:i4>0</vt:i4>
      </vt:variant>
      <vt:variant>
        <vt:i4>5</vt:i4>
      </vt:variant>
      <vt:variant>
        <vt:lpwstr>http://www.nevo.co.il/case/6589650</vt:lpwstr>
      </vt:variant>
      <vt:variant>
        <vt:lpwstr/>
      </vt:variant>
      <vt:variant>
        <vt:i4>3801206</vt:i4>
      </vt:variant>
      <vt:variant>
        <vt:i4>102</vt:i4>
      </vt:variant>
      <vt:variant>
        <vt:i4>0</vt:i4>
      </vt:variant>
      <vt:variant>
        <vt:i4>5</vt:i4>
      </vt:variant>
      <vt:variant>
        <vt:lpwstr>http://www.nevo.co.il/case/7786732</vt:lpwstr>
      </vt:variant>
      <vt:variant>
        <vt:lpwstr/>
      </vt:variant>
      <vt:variant>
        <vt:i4>8323175</vt:i4>
      </vt:variant>
      <vt:variant>
        <vt:i4>99</vt:i4>
      </vt:variant>
      <vt:variant>
        <vt:i4>0</vt:i4>
      </vt:variant>
      <vt:variant>
        <vt:i4>5</vt:i4>
      </vt:variant>
      <vt:variant>
        <vt:lpwstr>http://www.nevo.co.il/law/5227</vt:lpwstr>
      </vt:variant>
      <vt:variant>
        <vt:lpwstr/>
      </vt:variant>
      <vt:variant>
        <vt:i4>6422640</vt:i4>
      </vt:variant>
      <vt:variant>
        <vt:i4>96</vt:i4>
      </vt:variant>
      <vt:variant>
        <vt:i4>0</vt:i4>
      </vt:variant>
      <vt:variant>
        <vt:i4>5</vt:i4>
      </vt:variant>
      <vt:variant>
        <vt:lpwstr>http://www.nevo.co.il/law/5227/38.1</vt:lpwstr>
      </vt:variant>
      <vt:variant>
        <vt:lpwstr/>
      </vt:variant>
      <vt:variant>
        <vt:i4>7929957</vt:i4>
      </vt:variant>
      <vt:variant>
        <vt:i4>93</vt:i4>
      </vt:variant>
      <vt:variant>
        <vt:i4>0</vt:i4>
      </vt:variant>
      <vt:variant>
        <vt:i4>5</vt:i4>
      </vt:variant>
      <vt:variant>
        <vt:lpwstr>http://www.nevo.co.il/law/74274</vt:lpwstr>
      </vt:variant>
      <vt:variant>
        <vt:lpwstr/>
      </vt:variant>
      <vt:variant>
        <vt:i4>5374029</vt:i4>
      </vt:variant>
      <vt:variant>
        <vt:i4>90</vt:i4>
      </vt:variant>
      <vt:variant>
        <vt:i4>0</vt:i4>
      </vt:variant>
      <vt:variant>
        <vt:i4>5</vt:i4>
      </vt:variant>
      <vt:variant>
        <vt:lpwstr>http://www.nevo.co.il/law/74274/26.2</vt:lpwstr>
      </vt:variant>
      <vt:variant>
        <vt:lpwstr/>
      </vt:variant>
      <vt:variant>
        <vt:i4>8323175</vt:i4>
      </vt:variant>
      <vt:variant>
        <vt:i4>87</vt:i4>
      </vt:variant>
      <vt:variant>
        <vt:i4>0</vt:i4>
      </vt:variant>
      <vt:variant>
        <vt:i4>5</vt:i4>
      </vt:variant>
      <vt:variant>
        <vt:lpwstr>http://www.nevo.co.il/law/5227</vt:lpwstr>
      </vt:variant>
      <vt:variant>
        <vt:lpwstr/>
      </vt:variant>
      <vt:variant>
        <vt:i4>6750330</vt:i4>
      </vt:variant>
      <vt:variant>
        <vt:i4>84</vt:i4>
      </vt:variant>
      <vt:variant>
        <vt:i4>0</vt:i4>
      </vt:variant>
      <vt:variant>
        <vt:i4>5</vt:i4>
      </vt:variant>
      <vt:variant>
        <vt:lpwstr>http://www.nevo.co.il/law/5227/62.2</vt:lpwstr>
      </vt:variant>
      <vt:variant>
        <vt:lpwstr/>
      </vt:variant>
      <vt:variant>
        <vt:i4>8257637</vt:i4>
      </vt:variant>
      <vt:variant>
        <vt:i4>81</vt:i4>
      </vt:variant>
      <vt:variant>
        <vt:i4>0</vt:i4>
      </vt:variant>
      <vt:variant>
        <vt:i4>5</vt:i4>
      </vt:variant>
      <vt:variant>
        <vt:lpwstr>http://www.nevo.co.il/law/4216</vt:lpwstr>
      </vt:variant>
      <vt:variant>
        <vt:lpwstr/>
      </vt:variant>
      <vt:variant>
        <vt:i4>2949220</vt:i4>
      </vt:variant>
      <vt:variant>
        <vt:i4>78</vt:i4>
      </vt:variant>
      <vt:variant>
        <vt:i4>0</vt:i4>
      </vt:variant>
      <vt:variant>
        <vt:i4>5</vt:i4>
      </vt:variant>
      <vt:variant>
        <vt:lpwstr>http://www.nevo.co.il/law/4216/7.D</vt:lpwstr>
      </vt:variant>
      <vt:variant>
        <vt:lpwstr/>
      </vt:variant>
      <vt:variant>
        <vt:i4>2621540</vt:i4>
      </vt:variant>
      <vt:variant>
        <vt:i4>75</vt:i4>
      </vt:variant>
      <vt:variant>
        <vt:i4>0</vt:i4>
      </vt:variant>
      <vt:variant>
        <vt:i4>5</vt:i4>
      </vt:variant>
      <vt:variant>
        <vt:lpwstr>http://www.nevo.co.il/law/4216/7.a</vt:lpwstr>
      </vt:variant>
      <vt:variant>
        <vt:lpwstr/>
      </vt:variant>
      <vt:variant>
        <vt:i4>6881388</vt:i4>
      </vt:variant>
      <vt:variant>
        <vt:i4>72</vt:i4>
      </vt:variant>
      <vt:variant>
        <vt:i4>0</vt:i4>
      </vt:variant>
      <vt:variant>
        <vt:i4>5</vt:i4>
      </vt:variant>
      <vt:variant>
        <vt:lpwstr>http://www.nevo.co.il/law/74903/186</vt:lpwstr>
      </vt:variant>
      <vt:variant>
        <vt:lpwstr/>
      </vt:variant>
      <vt:variant>
        <vt:i4>6488172</vt:i4>
      </vt:variant>
      <vt:variant>
        <vt:i4>69</vt:i4>
      </vt:variant>
      <vt:variant>
        <vt:i4>0</vt:i4>
      </vt:variant>
      <vt:variant>
        <vt:i4>5</vt:i4>
      </vt:variant>
      <vt:variant>
        <vt:lpwstr>http://www.nevo.co.il/law/74903/129</vt:lpwstr>
      </vt:variant>
      <vt:variant>
        <vt:lpwstr/>
      </vt:variant>
      <vt:variant>
        <vt:i4>5046356</vt:i4>
      </vt:variant>
      <vt:variant>
        <vt:i4>66</vt:i4>
      </vt:variant>
      <vt:variant>
        <vt:i4>0</vt:i4>
      </vt:variant>
      <vt:variant>
        <vt:i4>5</vt:i4>
      </vt:variant>
      <vt:variant>
        <vt:lpwstr>http://www.nevo.co.il/law/74903/128.2</vt:lpwstr>
      </vt:variant>
      <vt:variant>
        <vt:lpwstr/>
      </vt:variant>
      <vt:variant>
        <vt:i4>5046356</vt:i4>
      </vt:variant>
      <vt:variant>
        <vt:i4>63</vt:i4>
      </vt:variant>
      <vt:variant>
        <vt:i4>0</vt:i4>
      </vt:variant>
      <vt:variant>
        <vt:i4>5</vt:i4>
      </vt:variant>
      <vt:variant>
        <vt:lpwstr>http://www.nevo.co.il/law/74903/128.1</vt:lpwstr>
      </vt:variant>
      <vt:variant>
        <vt:lpwstr/>
      </vt:variant>
      <vt:variant>
        <vt:i4>8257646</vt:i4>
      </vt:variant>
      <vt:variant>
        <vt:i4>60</vt:i4>
      </vt:variant>
      <vt:variant>
        <vt:i4>0</vt:i4>
      </vt:variant>
      <vt:variant>
        <vt:i4>5</vt:i4>
      </vt:variant>
      <vt:variant>
        <vt:lpwstr>http://www.nevo.co.il/law/74903</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6291565</vt:i4>
      </vt:variant>
      <vt:variant>
        <vt:i4>51</vt:i4>
      </vt:variant>
      <vt:variant>
        <vt:i4>0</vt:i4>
      </vt:variant>
      <vt:variant>
        <vt:i4>5</vt:i4>
      </vt:variant>
      <vt:variant>
        <vt:lpwstr>http://www.nevo.co.il/law/70301/85</vt:lpwstr>
      </vt:variant>
      <vt:variant>
        <vt:lpwstr/>
      </vt:variant>
      <vt:variant>
        <vt:i4>6488162</vt:i4>
      </vt:variant>
      <vt:variant>
        <vt:i4>48</vt:i4>
      </vt:variant>
      <vt:variant>
        <vt:i4>0</vt:i4>
      </vt:variant>
      <vt:variant>
        <vt:i4>5</vt:i4>
      </vt:variant>
      <vt:variant>
        <vt:lpwstr>http://www.nevo.co.il/law/70301/76</vt:lpwstr>
      </vt:variant>
      <vt:variant>
        <vt:lpwstr/>
      </vt:variant>
      <vt:variant>
        <vt:i4>327756</vt:i4>
      </vt:variant>
      <vt:variant>
        <vt:i4>45</vt:i4>
      </vt:variant>
      <vt:variant>
        <vt:i4>0</vt:i4>
      </vt:variant>
      <vt:variant>
        <vt:i4>5</vt:i4>
      </vt:variant>
      <vt:variant>
        <vt:lpwstr>http://www.nevo.co.il/law/70301/71.a</vt:lpwstr>
      </vt:variant>
      <vt:variant>
        <vt:lpwstr/>
      </vt:variant>
      <vt:variant>
        <vt:i4>7143520</vt:i4>
      </vt:variant>
      <vt:variant>
        <vt:i4>42</vt:i4>
      </vt:variant>
      <vt:variant>
        <vt:i4>0</vt:i4>
      </vt:variant>
      <vt:variant>
        <vt:i4>5</vt:i4>
      </vt:variant>
      <vt:variant>
        <vt:lpwstr>http://www.nevo.co.il/law/70301/58</vt:lpwstr>
      </vt:variant>
      <vt:variant>
        <vt:lpwstr/>
      </vt:variant>
      <vt:variant>
        <vt:i4>6488160</vt:i4>
      </vt:variant>
      <vt:variant>
        <vt:i4>39</vt:i4>
      </vt:variant>
      <vt:variant>
        <vt:i4>0</vt:i4>
      </vt:variant>
      <vt:variant>
        <vt:i4>5</vt:i4>
      </vt:variant>
      <vt:variant>
        <vt:lpwstr>http://www.nevo.co.il/law/70301/56</vt:lpwstr>
      </vt:variant>
      <vt:variant>
        <vt:lpwstr/>
      </vt:variant>
      <vt:variant>
        <vt:i4>6619241</vt:i4>
      </vt:variant>
      <vt:variant>
        <vt:i4>36</vt:i4>
      </vt:variant>
      <vt:variant>
        <vt:i4>0</vt:i4>
      </vt:variant>
      <vt:variant>
        <vt:i4>5</vt:i4>
      </vt:variant>
      <vt:variant>
        <vt:lpwstr>http://www.nevo.co.il/law/70301/40i.a.5</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5374029</vt:i4>
      </vt:variant>
      <vt:variant>
        <vt:i4>24</vt:i4>
      </vt:variant>
      <vt:variant>
        <vt:i4>0</vt:i4>
      </vt:variant>
      <vt:variant>
        <vt:i4>5</vt:i4>
      </vt:variant>
      <vt:variant>
        <vt:lpwstr>http://www.nevo.co.il/law/74274/26.2</vt:lpwstr>
      </vt:variant>
      <vt:variant>
        <vt:lpwstr/>
      </vt:variant>
      <vt:variant>
        <vt:i4>7929957</vt:i4>
      </vt:variant>
      <vt:variant>
        <vt:i4>21</vt:i4>
      </vt:variant>
      <vt:variant>
        <vt:i4>0</vt:i4>
      </vt:variant>
      <vt:variant>
        <vt:i4>5</vt:i4>
      </vt:variant>
      <vt:variant>
        <vt:lpwstr>http://www.nevo.co.il/law/74274</vt:lpwstr>
      </vt:variant>
      <vt:variant>
        <vt:lpwstr/>
      </vt:variant>
      <vt:variant>
        <vt:i4>6750330</vt:i4>
      </vt:variant>
      <vt:variant>
        <vt:i4>18</vt:i4>
      </vt:variant>
      <vt:variant>
        <vt:i4>0</vt:i4>
      </vt:variant>
      <vt:variant>
        <vt:i4>5</vt:i4>
      </vt:variant>
      <vt:variant>
        <vt:lpwstr>http://www.nevo.co.il/law/5227/62.2</vt:lpwstr>
      </vt:variant>
      <vt:variant>
        <vt:lpwstr/>
      </vt:variant>
      <vt:variant>
        <vt:i4>6422640</vt:i4>
      </vt:variant>
      <vt:variant>
        <vt:i4>15</vt:i4>
      </vt:variant>
      <vt:variant>
        <vt:i4>0</vt:i4>
      </vt:variant>
      <vt:variant>
        <vt:i4>5</vt:i4>
      </vt:variant>
      <vt:variant>
        <vt:lpwstr>http://www.nevo.co.il/law/5227/38.1</vt:lpwstr>
      </vt:variant>
      <vt:variant>
        <vt:lpwstr/>
      </vt:variant>
      <vt:variant>
        <vt:i4>8323175</vt:i4>
      </vt:variant>
      <vt:variant>
        <vt:i4>12</vt:i4>
      </vt:variant>
      <vt:variant>
        <vt:i4>0</vt:i4>
      </vt:variant>
      <vt:variant>
        <vt:i4>5</vt:i4>
      </vt:variant>
      <vt:variant>
        <vt:lpwstr>http://www.nevo.co.il/law/5227</vt:lpwstr>
      </vt:variant>
      <vt:variant>
        <vt:lpwstr/>
      </vt:variant>
      <vt:variant>
        <vt:i4>2621540</vt:i4>
      </vt:variant>
      <vt:variant>
        <vt:i4>9</vt:i4>
      </vt:variant>
      <vt:variant>
        <vt:i4>0</vt:i4>
      </vt:variant>
      <vt:variant>
        <vt:i4>5</vt:i4>
      </vt:variant>
      <vt:variant>
        <vt:lpwstr>http://www.nevo.co.il/law/4216/7.a</vt:lpwstr>
      </vt:variant>
      <vt:variant>
        <vt:lpwstr/>
      </vt:variant>
      <vt:variant>
        <vt:i4>2949220</vt:i4>
      </vt:variant>
      <vt:variant>
        <vt:i4>6</vt:i4>
      </vt:variant>
      <vt:variant>
        <vt:i4>0</vt:i4>
      </vt:variant>
      <vt:variant>
        <vt:i4>5</vt:i4>
      </vt:variant>
      <vt:variant>
        <vt:lpwstr>http://www.nevo.co.il/law/4216/7.D</vt:lpwstr>
      </vt:variant>
      <vt:variant>
        <vt:lpwstr/>
      </vt:variant>
      <vt:variant>
        <vt:i4>8257637</vt:i4>
      </vt:variant>
      <vt:variant>
        <vt:i4>3</vt:i4>
      </vt:variant>
      <vt:variant>
        <vt:i4>0</vt:i4>
      </vt:variant>
      <vt:variant>
        <vt:i4>5</vt:i4>
      </vt:variant>
      <vt:variant>
        <vt:lpwstr>http://www.nevo.co.il/law/4216</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53725</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שמעון אלון</vt:lpwstr>
  </property>
  <property fmtid="{D5CDD505-2E9C-101B-9397-08002B2CF9AE}" pid="10" name="LAWYER">
    <vt:lpwstr>ורד ליכטר סול ;עידן שניר;אורי בן נתן;יעקב חודורוב ;ניר זנו</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20150909</vt:lpwstr>
  </property>
  <property fmtid="{D5CDD505-2E9C-101B-9397-08002B2CF9AE}" pid="14" name="TYPE_N_DATE">
    <vt:lpwstr>38020150909</vt:lpwstr>
  </property>
  <property fmtid="{D5CDD505-2E9C-101B-9397-08002B2CF9AE}" pid="15" name="WORDNUMPAGES">
    <vt:lpwstr>13</vt:lpwstr>
  </property>
  <property fmtid="{D5CDD505-2E9C-101B-9397-08002B2CF9AE}" pid="16" name="TYPE_ABS_DATE">
    <vt:lpwstr>380020150909</vt:lpwstr>
  </property>
  <property fmtid="{D5CDD505-2E9C-101B-9397-08002B2CF9AE}" pid="17" name="ISABSTRACT">
    <vt:lpwstr>Y</vt:lpwstr>
  </property>
  <property fmtid="{D5CDD505-2E9C-101B-9397-08002B2CF9AE}" pid="18" name="CASESLISTTMP1">
    <vt:lpwstr>7786732:3;6589650:4;5796872;13093721;279537;2299633</vt:lpwstr>
  </property>
  <property fmtid="{D5CDD505-2E9C-101B-9397-08002B2CF9AE}" pid="19" name="BOOKGROUPTMP1">
    <vt:lpwstr>412:2</vt:lpwstr>
  </property>
  <property fmtid="{D5CDD505-2E9C-101B-9397-08002B2CF9AE}" pid="20" name="NOBOOKNEVO">
    <vt:lpwstr>2344</vt:lpwstr>
  </property>
  <property fmtid="{D5CDD505-2E9C-101B-9397-08002B2CF9AE}" pid="21" name="LAWLISTTMP1">
    <vt:lpwstr>4216/007.a;007.D</vt:lpwstr>
  </property>
  <property fmtid="{D5CDD505-2E9C-101B-9397-08002B2CF9AE}" pid="22" name="LAWLISTTMP2">
    <vt:lpwstr>5227/062.2;038.1</vt:lpwstr>
  </property>
  <property fmtid="{D5CDD505-2E9C-101B-9397-08002B2CF9AE}" pid="23" name="LAWLISTTMP3">
    <vt:lpwstr>74274/026.2</vt:lpwstr>
  </property>
  <property fmtid="{D5CDD505-2E9C-101B-9397-08002B2CF9AE}" pid="24" name="LAWLISTTMP4">
    <vt:lpwstr>70301/040i.a.5;040c;40jc;040i;40ja;058;056;085;071.a;076</vt:lpwstr>
  </property>
  <property fmtid="{D5CDD505-2E9C-101B-9397-08002B2CF9AE}" pid="25" name="LAWLISTTMP5">
    <vt:lpwstr>74903/129:5;186;128.1;128.2</vt:lpwstr>
  </property>
</Properties>
</file>