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7953E" w14:textId="77777777" w:rsidR="001C18F0" w:rsidRPr="001C18F0" w:rsidRDefault="001C18F0" w:rsidP="001C18F0">
      <w:pPr>
        <w:pStyle w:val="a5"/>
      </w:pPr>
      <w:bookmarkStart w:id="0" w:name="LastJudge"/>
    </w:p>
    <w:tbl>
      <w:tblPr>
        <w:bidiVisual/>
        <w:tblW w:w="0" w:type="auto"/>
        <w:jc w:val="center"/>
        <w:tblLook w:val="0000" w:firstRow="0" w:lastRow="0" w:firstColumn="0" w:lastColumn="0" w:noHBand="0" w:noVBand="0"/>
      </w:tblPr>
      <w:tblGrid>
        <w:gridCol w:w="3973"/>
        <w:gridCol w:w="1068"/>
        <w:gridCol w:w="3679"/>
      </w:tblGrid>
      <w:tr w:rsidR="003B28A8" w:rsidRPr="001C18F0" w14:paraId="0256FBF5" w14:textId="77777777">
        <w:trPr>
          <w:trHeight w:hRule="exact" w:val="418"/>
          <w:jc w:val="center"/>
        </w:trPr>
        <w:tc>
          <w:tcPr>
            <w:tcW w:w="8720" w:type="dxa"/>
            <w:gridSpan w:val="3"/>
          </w:tcPr>
          <w:p w14:paraId="15A55267" w14:textId="77777777" w:rsidR="003B28A8" w:rsidRPr="001C18F0" w:rsidRDefault="001C18F0">
            <w:pPr>
              <w:pStyle w:val="a5"/>
              <w:tabs>
                <w:tab w:val="clear" w:pos="8306"/>
              </w:tabs>
              <w:jc w:val="center"/>
              <w:rPr>
                <w:rFonts w:ascii="Tahoma" w:hAnsi="Tahoma" w:cs="Tahoma"/>
                <w:b/>
                <w:bCs/>
                <w:color w:val="000080"/>
                <w:sz w:val="20"/>
                <w:szCs w:val="20"/>
                <w:rtl/>
              </w:rPr>
            </w:pPr>
            <w:r w:rsidRPr="001C18F0">
              <w:rPr>
                <w:rFonts w:ascii="Tahoma" w:hAnsi="Tahoma" w:cs="Tahoma"/>
                <w:b/>
                <w:bCs/>
                <w:color w:val="000080"/>
                <w:sz w:val="20"/>
                <w:szCs w:val="20"/>
                <w:rtl/>
              </w:rPr>
              <w:t>בית משפט השלום בנתניה</w:t>
            </w:r>
          </w:p>
        </w:tc>
      </w:tr>
      <w:tr w:rsidR="003B28A8" w:rsidRPr="001C18F0" w14:paraId="1D2EF5A4" w14:textId="77777777">
        <w:trPr>
          <w:trHeight w:val="337"/>
          <w:jc w:val="center"/>
        </w:trPr>
        <w:tc>
          <w:tcPr>
            <w:tcW w:w="3973" w:type="dxa"/>
          </w:tcPr>
          <w:p w14:paraId="5E0CA4DE" w14:textId="77777777" w:rsidR="003B28A8" w:rsidRPr="001C18F0" w:rsidRDefault="001C18F0">
            <w:pPr>
              <w:rPr>
                <w:b/>
                <w:bCs/>
                <w:sz w:val="26"/>
                <w:szCs w:val="26"/>
                <w:rtl/>
              </w:rPr>
            </w:pPr>
            <w:r w:rsidRPr="001C18F0">
              <w:rPr>
                <w:b/>
                <w:bCs/>
                <w:sz w:val="26"/>
                <w:szCs w:val="26"/>
                <w:rtl/>
              </w:rPr>
              <w:t>ת"פ</w:t>
            </w:r>
            <w:r w:rsidRPr="001C18F0">
              <w:rPr>
                <w:rFonts w:hint="cs"/>
                <w:b/>
                <w:bCs/>
                <w:sz w:val="26"/>
                <w:szCs w:val="26"/>
                <w:rtl/>
              </w:rPr>
              <w:t xml:space="preserve"> </w:t>
            </w:r>
            <w:r w:rsidRPr="001C18F0">
              <w:rPr>
                <w:b/>
                <w:bCs/>
                <w:sz w:val="26"/>
                <w:szCs w:val="26"/>
                <w:rtl/>
              </w:rPr>
              <w:t>53948-11-14</w:t>
            </w:r>
            <w:r w:rsidRPr="001C18F0">
              <w:rPr>
                <w:rFonts w:hint="cs"/>
                <w:b/>
                <w:bCs/>
                <w:sz w:val="26"/>
                <w:szCs w:val="26"/>
                <w:rtl/>
              </w:rPr>
              <w:t xml:space="preserve"> </w:t>
            </w:r>
            <w:r w:rsidRPr="001C18F0">
              <w:rPr>
                <w:b/>
                <w:bCs/>
                <w:sz w:val="26"/>
                <w:szCs w:val="26"/>
                <w:rtl/>
              </w:rPr>
              <w:t>מדינת ישראל נ' פרל</w:t>
            </w:r>
          </w:p>
          <w:p w14:paraId="261DC1B4" w14:textId="77777777" w:rsidR="003B28A8" w:rsidRPr="001C18F0" w:rsidRDefault="003B28A8">
            <w:pPr>
              <w:rPr>
                <w:b/>
                <w:bCs/>
                <w:sz w:val="26"/>
                <w:szCs w:val="26"/>
                <w:rtl/>
              </w:rPr>
            </w:pPr>
          </w:p>
        </w:tc>
        <w:tc>
          <w:tcPr>
            <w:tcW w:w="1068" w:type="dxa"/>
          </w:tcPr>
          <w:p w14:paraId="5E9CD3D5" w14:textId="77777777" w:rsidR="003B28A8" w:rsidRPr="001C18F0" w:rsidRDefault="003B28A8">
            <w:pPr>
              <w:pStyle w:val="a5"/>
              <w:jc w:val="right"/>
              <w:rPr>
                <w:b/>
                <w:bCs/>
                <w:sz w:val="26"/>
                <w:szCs w:val="26"/>
                <w:rtl/>
              </w:rPr>
            </w:pPr>
          </w:p>
        </w:tc>
        <w:tc>
          <w:tcPr>
            <w:tcW w:w="3679" w:type="dxa"/>
          </w:tcPr>
          <w:p w14:paraId="41776A1F" w14:textId="77777777" w:rsidR="003B28A8" w:rsidRPr="001C18F0" w:rsidRDefault="001C18F0">
            <w:pPr>
              <w:pStyle w:val="a5"/>
              <w:tabs>
                <w:tab w:val="clear" w:pos="4153"/>
              </w:tabs>
              <w:jc w:val="right"/>
              <w:rPr>
                <w:b/>
                <w:bCs/>
                <w:sz w:val="26"/>
                <w:szCs w:val="26"/>
                <w:rtl/>
              </w:rPr>
            </w:pPr>
            <w:r w:rsidRPr="001C18F0">
              <w:rPr>
                <w:b/>
                <w:bCs/>
                <w:sz w:val="26"/>
                <w:szCs w:val="26"/>
                <w:rtl/>
              </w:rPr>
              <w:t>08 דצמבר 2015</w:t>
            </w:r>
          </w:p>
        </w:tc>
      </w:tr>
    </w:tbl>
    <w:p w14:paraId="2D9247E8" w14:textId="77777777" w:rsidR="003B28A8" w:rsidRPr="001C18F0" w:rsidRDefault="003B28A8">
      <w:pPr>
        <w:pStyle w:val="a5"/>
        <w:jc w:val="center"/>
        <w:rPr>
          <w:rFonts w:ascii="Tahoma" w:hAnsi="Tahoma" w:cs="Tahoma"/>
          <w:b/>
          <w:bCs/>
          <w:color w:val="000080"/>
          <w:sz w:val="20"/>
          <w:szCs w:val="20"/>
          <w:rtl/>
        </w:rPr>
      </w:pPr>
    </w:p>
    <w:p w14:paraId="5FDD5304" w14:textId="77777777" w:rsidR="003B28A8" w:rsidRPr="001C18F0" w:rsidRDefault="003B28A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B28A8" w:rsidRPr="001C18F0" w14:paraId="7B3D1563" w14:textId="77777777">
        <w:trPr>
          <w:gridAfter w:val="1"/>
          <w:wAfter w:w="55" w:type="dxa"/>
        </w:trPr>
        <w:tc>
          <w:tcPr>
            <w:tcW w:w="8719" w:type="dxa"/>
            <w:gridSpan w:val="2"/>
            <w:shd w:val="clear" w:color="auto" w:fill="auto"/>
          </w:tcPr>
          <w:p w14:paraId="48C6A216" w14:textId="77777777" w:rsidR="003B28A8" w:rsidRPr="001C18F0" w:rsidRDefault="001C18F0">
            <w:pPr>
              <w:spacing w:line="360" w:lineRule="auto"/>
              <w:jc w:val="both"/>
              <w:rPr>
                <w:rFonts w:ascii="Arial" w:eastAsia="Times New Roman" w:hAnsi="Arial"/>
                <w:sz w:val="26"/>
                <w:szCs w:val="26"/>
                <w:highlight w:val="yellow"/>
              </w:rPr>
            </w:pPr>
            <w:r w:rsidRPr="001C18F0">
              <w:rPr>
                <w:rFonts w:ascii="Times New Roman" w:eastAsia="Times New Roman" w:hAnsi="Times New Roman" w:hint="cs"/>
                <w:b/>
                <w:bCs/>
                <w:sz w:val="26"/>
                <w:szCs w:val="26"/>
                <w:rtl/>
              </w:rPr>
              <w:t xml:space="preserve">בפני </w:t>
            </w:r>
            <w:r w:rsidRPr="001C18F0">
              <w:rPr>
                <w:rFonts w:ascii="Arial" w:eastAsia="Times New Roman" w:hAnsi="Arial" w:hint="cs"/>
                <w:b/>
                <w:bCs/>
                <w:sz w:val="26"/>
                <w:szCs w:val="26"/>
                <w:rtl/>
              </w:rPr>
              <w:t>כב' השופטת הבכירה איטה נחמן</w:t>
            </w:r>
          </w:p>
          <w:p w14:paraId="0744F379" w14:textId="77777777" w:rsidR="003B28A8" w:rsidRPr="001C18F0" w:rsidRDefault="003B28A8">
            <w:pPr>
              <w:spacing w:line="360" w:lineRule="auto"/>
              <w:jc w:val="both"/>
              <w:rPr>
                <w:rFonts w:ascii="Arial" w:eastAsia="Times New Roman" w:hAnsi="Arial" w:cs="Times New Roman"/>
                <w:rtl/>
              </w:rPr>
            </w:pPr>
          </w:p>
        </w:tc>
      </w:tr>
      <w:tr w:rsidR="003B28A8" w:rsidRPr="001C18F0" w14:paraId="6A0D0EC8" w14:textId="77777777">
        <w:tc>
          <w:tcPr>
            <w:tcW w:w="2880" w:type="dxa"/>
            <w:shd w:val="clear" w:color="auto" w:fill="auto"/>
          </w:tcPr>
          <w:p w14:paraId="716A6C26" w14:textId="77777777" w:rsidR="003B28A8" w:rsidRPr="001C18F0" w:rsidRDefault="001C18F0">
            <w:pPr>
              <w:ind w:left="26"/>
              <w:rPr>
                <w:rFonts w:ascii="Times New Roman" w:eastAsia="Times New Roman" w:hAnsi="Times New Roman"/>
                <w:b/>
                <w:bCs/>
                <w:sz w:val="26"/>
                <w:szCs w:val="26"/>
                <w:rtl/>
              </w:rPr>
            </w:pPr>
            <w:bookmarkStart w:id="1" w:name="FirstAppellant"/>
            <w:r w:rsidRPr="001C18F0">
              <w:rPr>
                <w:rFonts w:ascii="Times New Roman" w:eastAsia="Times New Roman" w:hAnsi="Times New Roman" w:hint="cs"/>
                <w:b/>
                <w:bCs/>
                <w:sz w:val="26"/>
                <w:szCs w:val="26"/>
                <w:rtl/>
              </w:rPr>
              <w:t>ה</w:t>
            </w:r>
            <w:r w:rsidRPr="001C18F0">
              <w:rPr>
                <w:rFonts w:ascii="Times New Roman" w:eastAsia="Times New Roman" w:hAnsi="Times New Roman" w:hint="cs"/>
                <w:rtl/>
              </w:rPr>
              <w:t>מאשימה</w:t>
            </w:r>
          </w:p>
        </w:tc>
        <w:tc>
          <w:tcPr>
            <w:tcW w:w="5922" w:type="dxa"/>
            <w:gridSpan w:val="2"/>
            <w:shd w:val="clear" w:color="auto" w:fill="auto"/>
          </w:tcPr>
          <w:p w14:paraId="1AC3F14E" w14:textId="77777777" w:rsidR="003B28A8" w:rsidRPr="001C18F0" w:rsidRDefault="001C18F0">
            <w:pPr>
              <w:rPr>
                <w:rFonts w:ascii="Times New Roman" w:eastAsia="Times New Roman" w:hAnsi="Times New Roman"/>
                <w:b/>
                <w:bCs/>
                <w:sz w:val="26"/>
                <w:szCs w:val="26"/>
                <w:rtl/>
              </w:rPr>
            </w:pPr>
            <w:r w:rsidRPr="001C18F0">
              <w:rPr>
                <w:rFonts w:ascii="Times New Roman" w:eastAsia="Times New Roman" w:hAnsi="Times New Roman" w:hint="cs"/>
                <w:b/>
                <w:bCs/>
                <w:sz w:val="26"/>
                <w:szCs w:val="26"/>
                <w:rtl/>
              </w:rPr>
              <w:t xml:space="preserve"> </w:t>
            </w:r>
            <w:r w:rsidRPr="001C18F0">
              <w:rPr>
                <w:rFonts w:ascii="Times New Roman" w:eastAsia="Times New Roman" w:hAnsi="Times New Roman" w:hint="cs"/>
                <w:rtl/>
              </w:rPr>
              <w:t>מדינת ישראל</w:t>
            </w:r>
          </w:p>
        </w:tc>
      </w:tr>
      <w:bookmarkEnd w:id="1"/>
      <w:tr w:rsidR="003B28A8" w:rsidRPr="001C18F0" w14:paraId="47191C1C" w14:textId="77777777">
        <w:tc>
          <w:tcPr>
            <w:tcW w:w="8802" w:type="dxa"/>
            <w:gridSpan w:val="3"/>
            <w:shd w:val="clear" w:color="auto" w:fill="auto"/>
          </w:tcPr>
          <w:p w14:paraId="11FCF982" w14:textId="77777777" w:rsidR="003B28A8" w:rsidRPr="001C18F0" w:rsidRDefault="003B28A8">
            <w:pPr>
              <w:jc w:val="both"/>
              <w:rPr>
                <w:rFonts w:ascii="Arial" w:eastAsia="Times New Roman" w:hAnsi="Arial"/>
                <w:b/>
                <w:bCs/>
                <w:sz w:val="26"/>
                <w:szCs w:val="26"/>
                <w:rtl/>
              </w:rPr>
            </w:pPr>
          </w:p>
          <w:p w14:paraId="30FCA474" w14:textId="77777777" w:rsidR="003B28A8" w:rsidRPr="001C18F0" w:rsidRDefault="001C18F0">
            <w:pPr>
              <w:jc w:val="center"/>
              <w:rPr>
                <w:rFonts w:ascii="Arial" w:eastAsia="Times New Roman" w:hAnsi="Arial"/>
                <w:b/>
                <w:bCs/>
                <w:sz w:val="26"/>
                <w:szCs w:val="26"/>
                <w:rtl/>
              </w:rPr>
            </w:pPr>
            <w:r w:rsidRPr="001C18F0">
              <w:rPr>
                <w:rFonts w:ascii="Arial" w:eastAsia="Times New Roman" w:hAnsi="Arial"/>
                <w:b/>
                <w:bCs/>
                <w:sz w:val="26"/>
                <w:szCs w:val="26"/>
                <w:rtl/>
              </w:rPr>
              <w:t>נגד</w:t>
            </w:r>
          </w:p>
          <w:p w14:paraId="673DC0C4" w14:textId="77777777" w:rsidR="003B28A8" w:rsidRPr="001C18F0" w:rsidRDefault="003B28A8">
            <w:pPr>
              <w:jc w:val="center"/>
              <w:rPr>
                <w:rFonts w:ascii="Arial" w:eastAsia="Times New Roman" w:hAnsi="Arial"/>
                <w:b/>
                <w:bCs/>
                <w:sz w:val="26"/>
                <w:szCs w:val="26"/>
              </w:rPr>
            </w:pPr>
          </w:p>
        </w:tc>
      </w:tr>
      <w:tr w:rsidR="003B28A8" w:rsidRPr="001C18F0" w14:paraId="0BCE4FB7" w14:textId="77777777">
        <w:tc>
          <w:tcPr>
            <w:tcW w:w="2880" w:type="dxa"/>
            <w:shd w:val="clear" w:color="auto" w:fill="auto"/>
          </w:tcPr>
          <w:p w14:paraId="29583025" w14:textId="77777777" w:rsidR="003B28A8" w:rsidRPr="001C18F0" w:rsidRDefault="001C18F0">
            <w:pPr>
              <w:ind w:left="26"/>
              <w:rPr>
                <w:rFonts w:ascii="Times New Roman" w:eastAsia="Times New Roman" w:hAnsi="Times New Roman"/>
                <w:b/>
                <w:bCs/>
                <w:sz w:val="26"/>
                <w:szCs w:val="26"/>
                <w:rtl/>
              </w:rPr>
            </w:pPr>
            <w:r w:rsidRPr="001C18F0">
              <w:rPr>
                <w:rFonts w:ascii="Times New Roman" w:eastAsia="Times New Roman" w:hAnsi="Times New Roman" w:hint="cs"/>
                <w:b/>
                <w:bCs/>
                <w:sz w:val="26"/>
                <w:szCs w:val="26"/>
                <w:rtl/>
              </w:rPr>
              <w:t>ה</w:t>
            </w:r>
            <w:r w:rsidRPr="001C18F0">
              <w:rPr>
                <w:rFonts w:ascii="Times New Roman" w:eastAsia="Times New Roman" w:hAnsi="Times New Roman" w:hint="cs"/>
                <w:rtl/>
              </w:rPr>
              <w:t>נאשם</w:t>
            </w:r>
          </w:p>
        </w:tc>
        <w:tc>
          <w:tcPr>
            <w:tcW w:w="5922" w:type="dxa"/>
            <w:gridSpan w:val="2"/>
            <w:shd w:val="clear" w:color="auto" w:fill="auto"/>
          </w:tcPr>
          <w:p w14:paraId="373BCA57" w14:textId="77777777" w:rsidR="003B28A8" w:rsidRPr="001C18F0" w:rsidRDefault="001C18F0">
            <w:pPr>
              <w:rPr>
                <w:rFonts w:ascii="Times New Roman" w:eastAsia="Times New Roman" w:hAnsi="Times New Roman"/>
                <w:b/>
                <w:bCs/>
                <w:sz w:val="26"/>
                <w:szCs w:val="26"/>
                <w:rtl/>
              </w:rPr>
            </w:pPr>
            <w:r w:rsidRPr="001C18F0">
              <w:rPr>
                <w:rFonts w:ascii="Times New Roman" w:eastAsia="Times New Roman" w:hAnsi="Times New Roman" w:hint="cs"/>
                <w:rtl/>
              </w:rPr>
              <w:t>בן פרל</w:t>
            </w:r>
          </w:p>
        </w:tc>
      </w:tr>
    </w:tbl>
    <w:p w14:paraId="04D4C65F" w14:textId="77777777" w:rsidR="003B28A8" w:rsidRPr="001C18F0" w:rsidRDefault="001C18F0">
      <w:pPr>
        <w:spacing w:line="360" w:lineRule="auto"/>
        <w:jc w:val="both"/>
        <w:rPr>
          <w:sz w:val="6"/>
          <w:szCs w:val="6"/>
          <w:rtl/>
        </w:rPr>
      </w:pPr>
      <w:r w:rsidRPr="001C18F0">
        <w:rPr>
          <w:sz w:val="6"/>
          <w:szCs w:val="6"/>
          <w:rtl/>
        </w:rPr>
        <w:t>&lt;#2#&gt;</w:t>
      </w:r>
    </w:p>
    <w:p w14:paraId="71CAE866" w14:textId="77777777" w:rsidR="003B28A8" w:rsidRPr="001C18F0" w:rsidRDefault="001C18F0">
      <w:pPr>
        <w:pStyle w:val="12"/>
        <w:rPr>
          <w:u w:val="none"/>
          <w:rtl/>
        </w:rPr>
      </w:pPr>
      <w:r w:rsidRPr="001C18F0">
        <w:rPr>
          <w:rFonts w:hint="cs"/>
          <w:u w:val="none"/>
          <w:rtl/>
        </w:rPr>
        <w:t>נוכחים:</w:t>
      </w:r>
    </w:p>
    <w:p w14:paraId="1042929C" w14:textId="77777777" w:rsidR="003B28A8" w:rsidRPr="001C18F0" w:rsidRDefault="001C18F0">
      <w:pPr>
        <w:spacing w:after="160" w:line="259" w:lineRule="auto"/>
        <w:rPr>
          <w:rFonts w:ascii="Calibri" w:eastAsia="Times New Roman" w:hAnsi="Calibri"/>
          <w:rtl/>
        </w:rPr>
      </w:pPr>
      <w:bookmarkStart w:id="2" w:name="FirstLawyer"/>
      <w:r w:rsidRPr="001C18F0">
        <w:rPr>
          <w:rFonts w:ascii="Calibri" w:eastAsia="Times New Roman" w:hAnsi="Calibri" w:hint="eastAsia"/>
          <w:rtl/>
        </w:rPr>
        <w:t>ב</w:t>
      </w:r>
      <w:r w:rsidRPr="001C18F0">
        <w:rPr>
          <w:rFonts w:ascii="Calibri" w:eastAsia="Times New Roman" w:hAnsi="Calibri"/>
          <w:rtl/>
        </w:rPr>
        <w:t>"</w:t>
      </w:r>
      <w:r w:rsidRPr="001C18F0">
        <w:rPr>
          <w:rFonts w:ascii="Calibri" w:eastAsia="Times New Roman" w:hAnsi="Calibri" w:hint="eastAsia"/>
          <w:rtl/>
        </w:rPr>
        <w:t>כ</w:t>
      </w:r>
      <w:bookmarkEnd w:id="2"/>
      <w:r w:rsidRPr="001C18F0">
        <w:rPr>
          <w:rFonts w:ascii="Calibri" w:eastAsia="Times New Roman" w:hAnsi="Calibri"/>
          <w:rtl/>
        </w:rPr>
        <w:t xml:space="preserve"> </w:t>
      </w:r>
      <w:r w:rsidRPr="001C18F0">
        <w:rPr>
          <w:rFonts w:ascii="Calibri" w:eastAsia="Times New Roman" w:hAnsi="Calibri" w:hint="eastAsia"/>
          <w:rtl/>
        </w:rPr>
        <w:t>המאשימה</w:t>
      </w:r>
      <w:r w:rsidRPr="001C18F0">
        <w:rPr>
          <w:rFonts w:ascii="Calibri" w:eastAsia="Times New Roman" w:hAnsi="Calibri"/>
          <w:rtl/>
        </w:rPr>
        <w:t xml:space="preserve"> </w:t>
      </w:r>
      <w:r w:rsidRPr="001C18F0">
        <w:rPr>
          <w:rFonts w:ascii="Calibri" w:eastAsia="Times New Roman" w:hAnsi="Calibri" w:hint="eastAsia"/>
          <w:rtl/>
        </w:rPr>
        <w:t>עו</w:t>
      </w:r>
      <w:r w:rsidRPr="001C18F0">
        <w:rPr>
          <w:rFonts w:ascii="Calibri" w:eastAsia="Times New Roman" w:hAnsi="Calibri"/>
          <w:rtl/>
        </w:rPr>
        <w:t>"</w:t>
      </w:r>
      <w:r w:rsidRPr="001C18F0">
        <w:rPr>
          <w:rFonts w:ascii="Calibri" w:eastAsia="Times New Roman" w:hAnsi="Calibri" w:hint="eastAsia"/>
          <w:rtl/>
        </w:rPr>
        <w:t>ד</w:t>
      </w:r>
      <w:r w:rsidRPr="001C18F0">
        <w:rPr>
          <w:rFonts w:ascii="Calibri" w:eastAsia="Times New Roman" w:hAnsi="Calibri"/>
          <w:rtl/>
        </w:rPr>
        <w:t xml:space="preserve"> </w:t>
      </w:r>
      <w:r w:rsidRPr="001C18F0">
        <w:rPr>
          <w:rFonts w:ascii="Calibri" w:eastAsia="Times New Roman" w:hAnsi="Calibri" w:hint="eastAsia"/>
          <w:rtl/>
        </w:rPr>
        <w:t>אלמוג</w:t>
      </w:r>
      <w:r w:rsidRPr="001C18F0">
        <w:rPr>
          <w:rFonts w:ascii="Calibri" w:eastAsia="Times New Roman" w:hAnsi="Calibri"/>
          <w:rtl/>
        </w:rPr>
        <w:t xml:space="preserve"> </w:t>
      </w:r>
      <w:r w:rsidRPr="001C18F0">
        <w:rPr>
          <w:rFonts w:ascii="Calibri" w:eastAsia="Times New Roman" w:hAnsi="Calibri" w:hint="eastAsia"/>
          <w:rtl/>
        </w:rPr>
        <w:t>בן</w:t>
      </w:r>
      <w:r w:rsidRPr="001C18F0">
        <w:rPr>
          <w:rFonts w:ascii="Calibri" w:eastAsia="Times New Roman" w:hAnsi="Calibri"/>
          <w:rtl/>
        </w:rPr>
        <w:t xml:space="preserve"> </w:t>
      </w:r>
      <w:r w:rsidRPr="001C18F0">
        <w:rPr>
          <w:rFonts w:ascii="Calibri" w:eastAsia="Times New Roman" w:hAnsi="Calibri" w:hint="eastAsia"/>
          <w:rtl/>
        </w:rPr>
        <w:t>חמו</w:t>
      </w:r>
    </w:p>
    <w:p w14:paraId="64FF2065" w14:textId="77777777" w:rsidR="003B28A8" w:rsidRPr="001C18F0" w:rsidRDefault="001C18F0">
      <w:pPr>
        <w:spacing w:after="160" w:line="259" w:lineRule="auto"/>
        <w:rPr>
          <w:rFonts w:ascii="Calibri" w:eastAsia="Times New Roman" w:hAnsi="Calibri"/>
          <w:rtl/>
        </w:rPr>
      </w:pPr>
      <w:r w:rsidRPr="001C18F0">
        <w:rPr>
          <w:rFonts w:ascii="Calibri" w:eastAsia="Times New Roman" w:hAnsi="Calibri" w:hint="eastAsia"/>
          <w:rtl/>
        </w:rPr>
        <w:t>הנאשם</w:t>
      </w:r>
      <w:r w:rsidRPr="001C18F0">
        <w:rPr>
          <w:rFonts w:ascii="Calibri" w:eastAsia="Times New Roman" w:hAnsi="Calibri"/>
          <w:rtl/>
        </w:rPr>
        <w:t xml:space="preserve"> </w:t>
      </w:r>
      <w:r w:rsidRPr="001C18F0">
        <w:rPr>
          <w:rFonts w:ascii="Calibri" w:eastAsia="Times New Roman" w:hAnsi="Calibri" w:hint="eastAsia"/>
          <w:rtl/>
        </w:rPr>
        <w:t>עצמו</w:t>
      </w:r>
      <w:r w:rsidRPr="001C18F0">
        <w:rPr>
          <w:rFonts w:ascii="Calibri" w:eastAsia="Times New Roman" w:hAnsi="Calibri"/>
          <w:rtl/>
        </w:rPr>
        <w:t xml:space="preserve"> </w:t>
      </w:r>
      <w:r w:rsidRPr="001C18F0">
        <w:rPr>
          <w:rFonts w:ascii="Calibri" w:eastAsia="Times New Roman" w:hAnsi="Calibri" w:hint="eastAsia"/>
          <w:rtl/>
        </w:rPr>
        <w:t>וב</w:t>
      </w:r>
      <w:r w:rsidRPr="001C18F0">
        <w:rPr>
          <w:rFonts w:ascii="Calibri" w:eastAsia="Times New Roman" w:hAnsi="Calibri"/>
          <w:rtl/>
        </w:rPr>
        <w:t>"</w:t>
      </w:r>
      <w:r w:rsidRPr="001C18F0">
        <w:rPr>
          <w:rFonts w:ascii="Calibri" w:eastAsia="Times New Roman" w:hAnsi="Calibri" w:hint="eastAsia"/>
          <w:rtl/>
        </w:rPr>
        <w:t>כ</w:t>
      </w:r>
      <w:r w:rsidRPr="001C18F0">
        <w:rPr>
          <w:rFonts w:ascii="Calibri" w:eastAsia="Times New Roman" w:hAnsi="Calibri"/>
          <w:rtl/>
        </w:rPr>
        <w:t xml:space="preserve"> </w:t>
      </w:r>
      <w:r w:rsidRPr="001C18F0">
        <w:rPr>
          <w:rFonts w:ascii="Calibri" w:eastAsia="Times New Roman" w:hAnsi="Calibri" w:hint="eastAsia"/>
          <w:rtl/>
        </w:rPr>
        <w:t>עו</w:t>
      </w:r>
      <w:r w:rsidRPr="001C18F0">
        <w:rPr>
          <w:rFonts w:ascii="Calibri" w:eastAsia="Times New Roman" w:hAnsi="Calibri"/>
          <w:rtl/>
        </w:rPr>
        <w:t>"</w:t>
      </w:r>
      <w:r w:rsidRPr="001C18F0">
        <w:rPr>
          <w:rFonts w:ascii="Calibri" w:eastAsia="Times New Roman" w:hAnsi="Calibri" w:hint="eastAsia"/>
          <w:rtl/>
        </w:rPr>
        <w:t>ד</w:t>
      </w:r>
      <w:r w:rsidRPr="001C18F0">
        <w:rPr>
          <w:rFonts w:ascii="Calibri" w:eastAsia="Times New Roman" w:hAnsi="Calibri"/>
          <w:rtl/>
        </w:rPr>
        <w:t xml:space="preserve"> </w:t>
      </w:r>
      <w:r w:rsidRPr="001C18F0">
        <w:rPr>
          <w:rFonts w:ascii="Calibri" w:eastAsia="Times New Roman" w:hAnsi="Calibri" w:hint="cs"/>
          <w:rtl/>
        </w:rPr>
        <w:t>רן עטיה</w:t>
      </w:r>
    </w:p>
    <w:p w14:paraId="2A8AA599" w14:textId="77777777" w:rsidR="003B28A8" w:rsidRPr="001C18F0" w:rsidRDefault="003B28A8">
      <w:pPr>
        <w:pStyle w:val="12"/>
        <w:rPr>
          <w:b w:val="0"/>
          <w:bCs w:val="0"/>
          <w:u w:val="none"/>
          <w:rtl/>
        </w:rPr>
      </w:pPr>
    </w:p>
    <w:p w14:paraId="23FFAF6F" w14:textId="77777777" w:rsidR="003524C9" w:rsidRDefault="001C18F0" w:rsidP="003524C9">
      <w:pPr>
        <w:pStyle w:val="12"/>
        <w:rPr>
          <w:b w:val="0"/>
          <w:bCs w:val="0"/>
          <w:sz w:val="6"/>
          <w:szCs w:val="6"/>
          <w:u w:val="none"/>
          <w:rtl/>
        </w:rPr>
      </w:pPr>
      <w:r w:rsidRPr="001C18F0">
        <w:rPr>
          <w:b w:val="0"/>
          <w:bCs w:val="0"/>
          <w:sz w:val="6"/>
          <w:szCs w:val="6"/>
          <w:u w:val="none"/>
          <w:rtl/>
        </w:rPr>
        <w:t>&lt;#3#</w:t>
      </w:r>
      <w:bookmarkStart w:id="3" w:name="LawTable"/>
      <w:bookmarkEnd w:id="3"/>
    </w:p>
    <w:p w14:paraId="22F9E86D" w14:textId="77777777" w:rsidR="003524C9" w:rsidRPr="003524C9" w:rsidRDefault="003524C9" w:rsidP="003524C9">
      <w:pPr>
        <w:pStyle w:val="12"/>
        <w:spacing w:after="120" w:line="240" w:lineRule="exact"/>
        <w:ind w:left="283" w:hanging="283"/>
        <w:jc w:val="both"/>
        <w:rPr>
          <w:rFonts w:ascii="FrankRuehl" w:hAnsi="FrankRuehl" w:cs="FrankRuehl"/>
          <w:b w:val="0"/>
          <w:bCs w:val="0"/>
          <w:u w:val="none"/>
          <w:rtl/>
        </w:rPr>
      </w:pPr>
    </w:p>
    <w:p w14:paraId="685672CA" w14:textId="77777777" w:rsidR="003524C9" w:rsidRPr="003524C9" w:rsidRDefault="003524C9" w:rsidP="003524C9">
      <w:pPr>
        <w:pStyle w:val="12"/>
        <w:spacing w:after="120" w:line="240" w:lineRule="exact"/>
        <w:ind w:left="283" w:hanging="283"/>
        <w:jc w:val="both"/>
        <w:rPr>
          <w:rFonts w:ascii="FrankRuehl" w:hAnsi="FrankRuehl" w:cs="FrankRuehl"/>
          <w:b w:val="0"/>
          <w:bCs w:val="0"/>
          <w:u w:val="none"/>
          <w:rtl/>
        </w:rPr>
      </w:pPr>
      <w:r w:rsidRPr="003524C9">
        <w:rPr>
          <w:rFonts w:ascii="FrankRuehl" w:hAnsi="FrankRuehl" w:cs="FrankRuehl"/>
          <w:b w:val="0"/>
          <w:bCs w:val="0"/>
          <w:u w:val="none"/>
          <w:rtl/>
        </w:rPr>
        <w:t xml:space="preserve">חקיקה שאוזכרה: </w:t>
      </w:r>
    </w:p>
    <w:p w14:paraId="577E9D60" w14:textId="77777777" w:rsidR="003524C9" w:rsidRPr="003524C9" w:rsidRDefault="003524C9" w:rsidP="003524C9">
      <w:pPr>
        <w:pStyle w:val="12"/>
        <w:spacing w:after="120" w:line="240" w:lineRule="exact"/>
        <w:ind w:left="283" w:hanging="283"/>
        <w:jc w:val="both"/>
        <w:rPr>
          <w:rFonts w:ascii="FrankRuehl" w:hAnsi="FrankRuehl" w:cs="FrankRuehl"/>
          <w:b w:val="0"/>
          <w:bCs w:val="0"/>
          <w:u w:val="none"/>
          <w:rtl/>
        </w:rPr>
      </w:pPr>
      <w:hyperlink r:id="rId7" w:history="1">
        <w:r w:rsidRPr="003524C9">
          <w:rPr>
            <w:rFonts w:ascii="FrankRuehl" w:hAnsi="FrankRuehl" w:cs="FrankRuehl"/>
            <w:b w:val="0"/>
            <w:bCs w:val="0"/>
            <w:color w:val="0000FF"/>
            <w:rtl/>
          </w:rPr>
          <w:t>פקודת הסמים המסוכנים [נוסח חדש], תשל"ג-1973</w:t>
        </w:r>
      </w:hyperlink>
      <w:r w:rsidRPr="003524C9">
        <w:rPr>
          <w:rFonts w:ascii="FrankRuehl" w:hAnsi="FrankRuehl" w:cs="FrankRuehl"/>
          <w:b w:val="0"/>
          <w:bCs w:val="0"/>
          <w:u w:val="none"/>
          <w:rtl/>
        </w:rPr>
        <w:t xml:space="preserve">: סע'  </w:t>
      </w:r>
      <w:hyperlink r:id="rId8" w:history="1">
        <w:r w:rsidRPr="003524C9">
          <w:rPr>
            <w:rFonts w:ascii="FrankRuehl" w:hAnsi="FrankRuehl" w:cs="FrankRuehl"/>
            <w:b w:val="0"/>
            <w:bCs w:val="0"/>
            <w:color w:val="0000FF"/>
            <w:rtl/>
          </w:rPr>
          <w:t>7(א)</w:t>
        </w:r>
      </w:hyperlink>
      <w:r w:rsidRPr="003524C9">
        <w:rPr>
          <w:rFonts w:ascii="FrankRuehl" w:hAnsi="FrankRuehl" w:cs="FrankRuehl"/>
          <w:b w:val="0"/>
          <w:bCs w:val="0"/>
          <w:u w:val="none"/>
          <w:rtl/>
        </w:rPr>
        <w:t xml:space="preserve">, </w:t>
      </w:r>
      <w:hyperlink r:id="rId9" w:history="1">
        <w:r w:rsidRPr="003524C9">
          <w:rPr>
            <w:rFonts w:ascii="FrankRuehl" w:hAnsi="FrankRuehl" w:cs="FrankRuehl"/>
            <w:b w:val="0"/>
            <w:bCs w:val="0"/>
            <w:color w:val="0000FF"/>
            <w:rtl/>
          </w:rPr>
          <w:t>7(ג)</w:t>
        </w:r>
      </w:hyperlink>
      <w:r w:rsidRPr="003524C9">
        <w:rPr>
          <w:rFonts w:ascii="FrankRuehl" w:hAnsi="FrankRuehl" w:cs="FrankRuehl"/>
          <w:b w:val="0"/>
          <w:bCs w:val="0"/>
          <w:u w:val="none"/>
          <w:rtl/>
        </w:rPr>
        <w:t xml:space="preserve">, </w:t>
      </w:r>
      <w:hyperlink r:id="rId10" w:history="1">
        <w:r w:rsidRPr="003524C9">
          <w:rPr>
            <w:rFonts w:ascii="FrankRuehl" w:hAnsi="FrankRuehl" w:cs="FrankRuehl"/>
            <w:b w:val="0"/>
            <w:bCs w:val="0"/>
            <w:color w:val="0000FF"/>
            <w:rtl/>
          </w:rPr>
          <w:t>40 ב'</w:t>
        </w:r>
      </w:hyperlink>
      <w:r w:rsidRPr="003524C9">
        <w:rPr>
          <w:rFonts w:ascii="FrankRuehl" w:hAnsi="FrankRuehl" w:cs="FrankRuehl"/>
          <w:b w:val="0"/>
          <w:bCs w:val="0"/>
          <w:u w:val="none"/>
          <w:rtl/>
        </w:rPr>
        <w:t xml:space="preserve">, </w:t>
      </w:r>
      <w:hyperlink r:id="rId11" w:history="1">
        <w:r w:rsidRPr="003524C9">
          <w:rPr>
            <w:rFonts w:ascii="FrankRuehl" w:hAnsi="FrankRuehl" w:cs="FrankRuehl"/>
            <w:b w:val="0"/>
            <w:bCs w:val="0"/>
            <w:color w:val="0000FF"/>
            <w:rtl/>
          </w:rPr>
          <w:t>40 ג' (א)</w:t>
        </w:r>
      </w:hyperlink>
      <w:r w:rsidRPr="003524C9">
        <w:rPr>
          <w:rFonts w:ascii="FrankRuehl" w:hAnsi="FrankRuehl" w:cs="FrankRuehl"/>
          <w:b w:val="0"/>
          <w:bCs w:val="0"/>
          <w:u w:val="none"/>
          <w:rtl/>
        </w:rPr>
        <w:t xml:space="preserve">, </w:t>
      </w:r>
      <w:hyperlink r:id="rId12" w:history="1">
        <w:r w:rsidRPr="003524C9">
          <w:rPr>
            <w:rFonts w:ascii="FrankRuehl" w:hAnsi="FrankRuehl" w:cs="FrankRuehl"/>
            <w:b w:val="0"/>
            <w:bCs w:val="0"/>
            <w:color w:val="0000FF"/>
            <w:rtl/>
          </w:rPr>
          <w:t>40ד(א)</w:t>
        </w:r>
      </w:hyperlink>
      <w:r w:rsidRPr="003524C9">
        <w:rPr>
          <w:rFonts w:ascii="FrankRuehl" w:hAnsi="FrankRuehl" w:cs="FrankRuehl"/>
          <w:b w:val="0"/>
          <w:bCs w:val="0"/>
          <w:u w:val="none"/>
          <w:rtl/>
        </w:rPr>
        <w:t xml:space="preserve">, </w:t>
      </w:r>
      <w:hyperlink r:id="rId13" w:history="1">
        <w:r w:rsidRPr="003524C9">
          <w:rPr>
            <w:rFonts w:ascii="FrankRuehl" w:hAnsi="FrankRuehl" w:cs="FrankRuehl"/>
            <w:b w:val="0"/>
            <w:bCs w:val="0"/>
            <w:color w:val="0000FF"/>
            <w:rtl/>
          </w:rPr>
          <w:t>40יא</w:t>
        </w:r>
      </w:hyperlink>
    </w:p>
    <w:p w14:paraId="2F685E97" w14:textId="77777777" w:rsidR="003524C9" w:rsidRPr="003524C9" w:rsidRDefault="003524C9" w:rsidP="003524C9">
      <w:pPr>
        <w:pStyle w:val="12"/>
        <w:spacing w:after="120" w:line="240" w:lineRule="exact"/>
        <w:ind w:left="283" w:hanging="283"/>
        <w:jc w:val="both"/>
        <w:rPr>
          <w:rFonts w:ascii="FrankRuehl" w:hAnsi="FrankRuehl" w:cs="FrankRuehl"/>
          <w:b w:val="0"/>
          <w:bCs w:val="0"/>
          <w:u w:val="none"/>
          <w:rtl/>
        </w:rPr>
      </w:pPr>
    </w:p>
    <w:p w14:paraId="5201A437" w14:textId="77777777" w:rsidR="003524C9" w:rsidRPr="003524C9" w:rsidRDefault="003524C9" w:rsidP="003524C9">
      <w:pPr>
        <w:pStyle w:val="12"/>
        <w:rPr>
          <w:b w:val="0"/>
          <w:bCs w:val="0"/>
          <w:sz w:val="6"/>
          <w:szCs w:val="6"/>
          <w:u w:val="none"/>
          <w:rtl/>
        </w:rPr>
      </w:pPr>
      <w:bookmarkStart w:id="4" w:name="LawTable_End"/>
      <w:bookmarkEnd w:id="4"/>
    </w:p>
    <w:p w14:paraId="2405B842" w14:textId="77777777" w:rsidR="003524C9" w:rsidRPr="003524C9" w:rsidRDefault="003524C9" w:rsidP="003524C9">
      <w:pPr>
        <w:pStyle w:val="12"/>
        <w:rPr>
          <w:b w:val="0"/>
          <w:bCs w:val="0"/>
          <w:sz w:val="6"/>
          <w:szCs w:val="6"/>
          <w:u w:val="none"/>
          <w:rtl/>
        </w:rPr>
      </w:pPr>
    </w:p>
    <w:p w14:paraId="0A7A937F" w14:textId="77777777" w:rsidR="007407B3" w:rsidRPr="007407B3" w:rsidRDefault="001C18F0" w:rsidP="003524C9">
      <w:pPr>
        <w:pStyle w:val="12"/>
        <w:rPr>
          <w:rFonts w:ascii="FrankRuehl" w:hAnsi="FrankRuehl" w:cs="FrankRuehl"/>
          <w:b w:val="0"/>
          <w:bCs w:val="0"/>
          <w:u w:val="none"/>
          <w:rtl/>
        </w:rPr>
      </w:pPr>
      <w:r w:rsidRPr="003524C9">
        <w:rPr>
          <w:b w:val="0"/>
          <w:bCs w:val="0"/>
          <w:sz w:val="6"/>
          <w:szCs w:val="6"/>
          <w:u w:val="none"/>
          <w:rtl/>
        </w:rPr>
        <w:t>&gt;</w:t>
      </w:r>
    </w:p>
    <w:p w14:paraId="1B79289C" w14:textId="77777777" w:rsidR="007407B3" w:rsidRPr="007407B3" w:rsidRDefault="007407B3" w:rsidP="007407B3">
      <w:pPr>
        <w:pStyle w:val="12"/>
        <w:spacing w:after="120" w:line="240" w:lineRule="exact"/>
        <w:ind w:left="283" w:hanging="283"/>
        <w:jc w:val="both"/>
        <w:rPr>
          <w:rFonts w:ascii="FrankRuehl" w:hAnsi="FrankRuehl" w:cs="FrankRuehl"/>
          <w:b w:val="0"/>
          <w:bCs w:val="0"/>
          <w:u w:val="none"/>
          <w:rtl/>
        </w:rPr>
      </w:pPr>
      <w:r w:rsidRPr="007407B3">
        <w:rPr>
          <w:rFonts w:ascii="FrankRuehl" w:hAnsi="FrankRuehl" w:cs="FrankRuehl"/>
          <w:b w:val="0"/>
          <w:bCs w:val="0"/>
          <w:u w:val="none"/>
          <w:rtl/>
        </w:rPr>
        <w:t xml:space="preserve">חקיקה שאוזכרה: </w:t>
      </w:r>
    </w:p>
    <w:p w14:paraId="1217A85D" w14:textId="77777777" w:rsidR="007407B3" w:rsidRPr="007407B3" w:rsidRDefault="007407B3" w:rsidP="007407B3">
      <w:pPr>
        <w:pStyle w:val="12"/>
        <w:spacing w:after="120" w:line="240" w:lineRule="exact"/>
        <w:ind w:left="283" w:hanging="283"/>
        <w:jc w:val="both"/>
        <w:rPr>
          <w:rFonts w:ascii="FrankRuehl" w:hAnsi="FrankRuehl" w:cs="FrankRuehl"/>
          <w:b w:val="0"/>
          <w:bCs w:val="0"/>
          <w:u w:val="none"/>
          <w:rtl/>
        </w:rPr>
      </w:pPr>
      <w:hyperlink r:id="rId14" w:history="1">
        <w:r w:rsidRPr="007407B3">
          <w:rPr>
            <w:rFonts w:ascii="FrankRuehl" w:hAnsi="FrankRuehl" w:cs="FrankRuehl"/>
            <w:b w:val="0"/>
            <w:bCs w:val="0"/>
            <w:color w:val="0000FF"/>
            <w:rtl/>
          </w:rPr>
          <w:t>פקודת הסמים המסוכנים [נוסח חדש], תשל"ג-1973</w:t>
        </w:r>
      </w:hyperlink>
      <w:r w:rsidRPr="007407B3">
        <w:rPr>
          <w:rFonts w:ascii="FrankRuehl" w:hAnsi="FrankRuehl" w:cs="FrankRuehl"/>
          <w:b w:val="0"/>
          <w:bCs w:val="0"/>
          <w:u w:val="none"/>
          <w:rtl/>
        </w:rPr>
        <w:t xml:space="preserve">: סע'  </w:t>
      </w:r>
      <w:hyperlink r:id="rId15" w:history="1">
        <w:r w:rsidRPr="007407B3">
          <w:rPr>
            <w:rFonts w:ascii="FrankRuehl" w:hAnsi="FrankRuehl" w:cs="FrankRuehl"/>
            <w:b w:val="0"/>
            <w:bCs w:val="0"/>
            <w:color w:val="0000FF"/>
            <w:rtl/>
          </w:rPr>
          <w:t>7(א)</w:t>
        </w:r>
      </w:hyperlink>
      <w:r w:rsidRPr="007407B3">
        <w:rPr>
          <w:rFonts w:ascii="FrankRuehl" w:hAnsi="FrankRuehl" w:cs="FrankRuehl"/>
          <w:b w:val="0"/>
          <w:bCs w:val="0"/>
          <w:u w:val="none"/>
          <w:rtl/>
        </w:rPr>
        <w:t xml:space="preserve">, </w:t>
      </w:r>
      <w:hyperlink r:id="rId16" w:history="1">
        <w:r w:rsidRPr="007407B3">
          <w:rPr>
            <w:rFonts w:ascii="FrankRuehl" w:hAnsi="FrankRuehl" w:cs="FrankRuehl"/>
            <w:b w:val="0"/>
            <w:bCs w:val="0"/>
            <w:color w:val="0000FF"/>
            <w:rtl/>
          </w:rPr>
          <w:t>7(ג)</w:t>
        </w:r>
      </w:hyperlink>
      <w:r w:rsidRPr="007407B3">
        <w:rPr>
          <w:rFonts w:ascii="FrankRuehl" w:hAnsi="FrankRuehl" w:cs="FrankRuehl"/>
          <w:b w:val="0"/>
          <w:bCs w:val="0"/>
          <w:u w:val="none"/>
          <w:rtl/>
        </w:rPr>
        <w:t xml:space="preserve">, </w:t>
      </w:r>
      <w:hyperlink r:id="rId17" w:history="1">
        <w:r w:rsidRPr="007407B3">
          <w:rPr>
            <w:rFonts w:ascii="FrankRuehl" w:hAnsi="FrankRuehl" w:cs="FrankRuehl"/>
            <w:b w:val="0"/>
            <w:bCs w:val="0"/>
            <w:color w:val="0000FF"/>
            <w:rtl/>
          </w:rPr>
          <w:t>40 ב'</w:t>
        </w:r>
      </w:hyperlink>
      <w:r w:rsidRPr="007407B3">
        <w:rPr>
          <w:rFonts w:ascii="FrankRuehl" w:hAnsi="FrankRuehl" w:cs="FrankRuehl"/>
          <w:b w:val="0"/>
          <w:bCs w:val="0"/>
          <w:u w:val="none"/>
          <w:rtl/>
        </w:rPr>
        <w:t xml:space="preserve">, </w:t>
      </w:r>
      <w:hyperlink r:id="rId18" w:history="1">
        <w:r w:rsidRPr="007407B3">
          <w:rPr>
            <w:rFonts w:ascii="FrankRuehl" w:hAnsi="FrankRuehl" w:cs="FrankRuehl"/>
            <w:b w:val="0"/>
            <w:bCs w:val="0"/>
            <w:color w:val="0000FF"/>
            <w:rtl/>
          </w:rPr>
          <w:t>40 ג' (א)</w:t>
        </w:r>
      </w:hyperlink>
      <w:r w:rsidRPr="007407B3">
        <w:rPr>
          <w:rFonts w:ascii="FrankRuehl" w:hAnsi="FrankRuehl" w:cs="FrankRuehl"/>
          <w:b w:val="0"/>
          <w:bCs w:val="0"/>
          <w:u w:val="none"/>
          <w:rtl/>
        </w:rPr>
        <w:t xml:space="preserve">, </w:t>
      </w:r>
      <w:hyperlink r:id="rId19" w:history="1">
        <w:r w:rsidRPr="007407B3">
          <w:rPr>
            <w:rFonts w:ascii="FrankRuehl" w:hAnsi="FrankRuehl" w:cs="FrankRuehl"/>
            <w:b w:val="0"/>
            <w:bCs w:val="0"/>
            <w:color w:val="0000FF"/>
            <w:rtl/>
          </w:rPr>
          <w:t>40ד(א)</w:t>
        </w:r>
      </w:hyperlink>
      <w:r w:rsidRPr="007407B3">
        <w:rPr>
          <w:rFonts w:ascii="FrankRuehl" w:hAnsi="FrankRuehl" w:cs="FrankRuehl"/>
          <w:b w:val="0"/>
          <w:bCs w:val="0"/>
          <w:u w:val="none"/>
          <w:rtl/>
        </w:rPr>
        <w:t xml:space="preserve">, </w:t>
      </w:r>
      <w:hyperlink r:id="rId20" w:history="1">
        <w:r w:rsidRPr="007407B3">
          <w:rPr>
            <w:rFonts w:ascii="FrankRuehl" w:hAnsi="FrankRuehl" w:cs="FrankRuehl"/>
            <w:b w:val="0"/>
            <w:bCs w:val="0"/>
            <w:color w:val="0000FF"/>
            <w:rtl/>
          </w:rPr>
          <w:t>40יא</w:t>
        </w:r>
      </w:hyperlink>
    </w:p>
    <w:p w14:paraId="30A2BA66" w14:textId="77777777" w:rsidR="007407B3" w:rsidRPr="007407B3" w:rsidRDefault="007407B3" w:rsidP="007407B3">
      <w:pPr>
        <w:pStyle w:val="12"/>
        <w:spacing w:after="120" w:line="240" w:lineRule="exact"/>
        <w:ind w:left="283" w:hanging="283"/>
        <w:jc w:val="both"/>
        <w:rPr>
          <w:rFonts w:ascii="FrankRuehl" w:hAnsi="FrankRuehl" w:cs="FrankRuehl"/>
          <w:b w:val="0"/>
          <w:bCs w:val="0"/>
          <w:u w:val="none"/>
          <w:rtl/>
        </w:rPr>
      </w:pPr>
    </w:p>
    <w:p w14:paraId="6DD5A0E3" w14:textId="77777777" w:rsidR="007407B3" w:rsidRPr="007407B3" w:rsidRDefault="007407B3">
      <w:pPr>
        <w:pStyle w:val="12"/>
        <w:rPr>
          <w:b w:val="0"/>
          <w:bCs w:val="0"/>
          <w:sz w:val="6"/>
          <w:szCs w:val="6"/>
          <w:u w:val="none"/>
          <w:rtl/>
        </w:rPr>
      </w:pPr>
    </w:p>
    <w:p w14:paraId="378A0965" w14:textId="77777777" w:rsidR="007407B3" w:rsidRPr="007407B3" w:rsidRDefault="007407B3">
      <w:pPr>
        <w:pStyle w:val="12"/>
        <w:rPr>
          <w:b w:val="0"/>
          <w:bCs w:val="0"/>
          <w:sz w:val="6"/>
          <w:szCs w:val="6"/>
          <w:u w:val="none"/>
          <w:rtl/>
        </w:rPr>
      </w:pPr>
    </w:p>
    <w:p w14:paraId="459734F1" w14:textId="77777777" w:rsidR="003B28A8" w:rsidRPr="007407B3" w:rsidRDefault="003B28A8">
      <w:pPr>
        <w:pStyle w:val="12"/>
        <w:rPr>
          <w:b w:val="0"/>
          <w:bCs w:val="0"/>
          <w:sz w:val="6"/>
          <w:szCs w:val="6"/>
          <w:u w:val="none"/>
          <w:rtl/>
        </w:rPr>
      </w:pPr>
    </w:p>
    <w:p w14:paraId="54D6E5CE" w14:textId="77777777" w:rsidR="001C18F0" w:rsidRPr="001C18F0" w:rsidRDefault="001C18F0" w:rsidP="001C18F0">
      <w:pPr>
        <w:spacing w:before="20" w:after="20" w:line="360" w:lineRule="auto"/>
        <w:jc w:val="center"/>
        <w:rPr>
          <w:rFonts w:ascii="Arial" w:hAnsi="Arial"/>
          <w:b/>
          <w:bCs/>
          <w:sz w:val="28"/>
          <w:szCs w:val="28"/>
          <w:u w:val="single"/>
          <w:rtl/>
        </w:rPr>
      </w:pPr>
      <w:bookmarkStart w:id="5" w:name="PsakDin"/>
      <w:bookmarkEnd w:id="0"/>
      <w:r w:rsidRPr="001C18F0">
        <w:rPr>
          <w:rFonts w:ascii="Arial" w:hAnsi="Arial"/>
          <w:b/>
          <w:bCs/>
          <w:sz w:val="28"/>
          <w:szCs w:val="28"/>
          <w:u w:val="single"/>
          <w:rtl/>
        </w:rPr>
        <w:t>גזר דין</w:t>
      </w:r>
    </w:p>
    <w:bookmarkEnd w:id="5"/>
    <w:p w14:paraId="533AEB06" w14:textId="77777777" w:rsidR="003B28A8" w:rsidRDefault="003B28A8">
      <w:pPr>
        <w:spacing w:before="20" w:after="20" w:line="360" w:lineRule="auto"/>
        <w:jc w:val="both"/>
      </w:pPr>
    </w:p>
    <w:p w14:paraId="16572132" w14:textId="77777777" w:rsidR="003B28A8" w:rsidRDefault="001C18F0">
      <w:pPr>
        <w:spacing w:before="20" w:after="20"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הודאתו, בעובדות כתב האישום המתוקן, המייחס לו עבירה של החזקת סמים שלא לצריכה עצמית, עבירה על </w:t>
      </w:r>
      <w:hyperlink r:id="rId21" w:history="1">
        <w:r w:rsidR="007407B3" w:rsidRPr="007407B3">
          <w:rPr>
            <w:color w:val="0000FF"/>
            <w:u w:val="single"/>
            <w:rtl/>
          </w:rPr>
          <w:t>סעיפים 7(א)</w:t>
        </w:r>
      </w:hyperlink>
      <w:r>
        <w:rPr>
          <w:rFonts w:hint="cs"/>
          <w:rtl/>
        </w:rPr>
        <w:t xml:space="preserve"> ו- </w:t>
      </w:r>
      <w:hyperlink r:id="rId22" w:history="1">
        <w:r w:rsidR="007407B3" w:rsidRPr="007407B3">
          <w:rPr>
            <w:color w:val="0000FF"/>
            <w:u w:val="single"/>
            <w:rtl/>
          </w:rPr>
          <w:t>7(ג)</w:t>
        </w:r>
      </w:hyperlink>
      <w:r>
        <w:rPr>
          <w:rFonts w:hint="cs"/>
          <w:rtl/>
        </w:rPr>
        <w:t xml:space="preserve"> רישא ב</w:t>
      </w:r>
      <w:hyperlink r:id="rId23" w:history="1">
        <w:r w:rsidRPr="001C18F0">
          <w:rPr>
            <w:color w:val="0000FF"/>
            <w:u w:val="single"/>
            <w:rtl/>
          </w:rPr>
          <w:t>פקודת הסמים המסוכנים</w:t>
        </w:r>
      </w:hyperlink>
      <w:r>
        <w:rPr>
          <w:rFonts w:hint="cs"/>
          <w:rtl/>
        </w:rPr>
        <w:t xml:space="preserve"> (נוסח חדש), תשל"ג-1973 (להלן: "פקודת הסמים").</w:t>
      </w:r>
    </w:p>
    <w:p w14:paraId="27A130BD" w14:textId="77777777" w:rsidR="003B28A8" w:rsidRDefault="003B28A8">
      <w:pPr>
        <w:spacing w:before="20" w:after="20" w:line="360" w:lineRule="auto"/>
        <w:jc w:val="both"/>
        <w:rPr>
          <w:rtl/>
        </w:rPr>
      </w:pPr>
    </w:p>
    <w:p w14:paraId="6DD797A0" w14:textId="77777777" w:rsidR="003B28A8" w:rsidRDefault="001C18F0">
      <w:pPr>
        <w:spacing w:before="20" w:after="20" w:line="360" w:lineRule="auto"/>
        <w:ind w:left="720" w:hanging="720"/>
        <w:jc w:val="both"/>
        <w:rPr>
          <w:rtl/>
        </w:rPr>
      </w:pPr>
      <w:r>
        <w:rPr>
          <w:rFonts w:hint="cs"/>
          <w:rtl/>
        </w:rPr>
        <w:t>2.</w:t>
      </w:r>
      <w:r>
        <w:rPr>
          <w:rFonts w:hint="cs"/>
          <w:rtl/>
        </w:rPr>
        <w:tab/>
        <w:t>מעובדות כתב האישום המתוקן עולה כי ביום 19.11.14 בשעה 9:45 או בסמוך לכך, ברח' גרץ 13 בנתניה (להלן: "הבית"), החזיק הנאשם סם מסוכן מסוג מריחואנה במשקל של 771.95 גרם, סם מסוכן מסוג חשיש במשקל של 1.98 גרם.</w:t>
      </w:r>
    </w:p>
    <w:p w14:paraId="02E0D495" w14:textId="77777777" w:rsidR="003B28A8" w:rsidRDefault="001C18F0">
      <w:pPr>
        <w:spacing w:before="20" w:after="20" w:line="360" w:lineRule="auto"/>
        <w:ind w:left="720" w:hanging="720"/>
        <w:jc w:val="both"/>
        <w:rPr>
          <w:rtl/>
        </w:rPr>
      </w:pPr>
      <w:r>
        <w:rPr>
          <w:rFonts w:hint="cs"/>
          <w:rtl/>
        </w:rPr>
        <w:tab/>
        <w:t xml:space="preserve">בהמשך לאמור, בסמוך לבית, חנה רכב מסוג מיצובישי (להלן: "הרכב") אשר בבעלות הנאשם, ובו החזיק הנאשם 9.8 גרם סם מסוכן מסוג קנבוס.  </w:t>
      </w:r>
      <w:bookmarkStart w:id="7" w:name="ABSTRACT_END"/>
      <w:bookmarkEnd w:id="7"/>
    </w:p>
    <w:p w14:paraId="06480A8F" w14:textId="77777777" w:rsidR="003B28A8" w:rsidRDefault="003B28A8">
      <w:pPr>
        <w:spacing w:before="20" w:after="20" w:line="360" w:lineRule="auto"/>
        <w:jc w:val="both"/>
        <w:rPr>
          <w:rtl/>
        </w:rPr>
      </w:pPr>
    </w:p>
    <w:p w14:paraId="14C9CCCC" w14:textId="77777777" w:rsidR="003B28A8" w:rsidRDefault="001C18F0">
      <w:pPr>
        <w:spacing w:before="20" w:after="20" w:line="360" w:lineRule="auto"/>
        <w:ind w:left="720" w:hanging="720"/>
        <w:jc w:val="both"/>
        <w:rPr>
          <w:rtl/>
        </w:rPr>
      </w:pPr>
      <w:r>
        <w:rPr>
          <w:rFonts w:hint="cs"/>
          <w:rtl/>
        </w:rPr>
        <w:t>3.</w:t>
      </w:r>
      <w:r>
        <w:rPr>
          <w:rFonts w:hint="cs"/>
          <w:rtl/>
        </w:rPr>
        <w:tab/>
        <w:t xml:space="preserve">הנאשם הודה והורשע בכתב האישום המתוקן במסגרת הסדר טיעון שלא כלל הסכמה לעניין העונש. במסגרת אותו הסדר, הופנה הנאשם לשירות המבחן לצורך הגשת תסקיר </w:t>
      </w:r>
      <w:r>
        <w:rPr>
          <w:rFonts w:hint="cs"/>
          <w:rtl/>
        </w:rPr>
        <w:lastRenderedPageBreak/>
        <w:t>בעניינו, אשר לבקשת ההגנה יתייחס ,בין היתר, לשאלת הרשעתו ואילו המאשימה הצהירה כי עמדתה היא למאסר, אך הצדדים ישובו לשוחח לאחר קבלת  התסקיר.</w:t>
      </w:r>
    </w:p>
    <w:p w14:paraId="1CC2651A" w14:textId="77777777" w:rsidR="003B28A8" w:rsidRDefault="001C18F0">
      <w:pPr>
        <w:spacing w:before="20" w:after="20" w:line="360" w:lineRule="auto"/>
        <w:jc w:val="both"/>
        <w:rPr>
          <w:rtl/>
        </w:rPr>
      </w:pPr>
      <w:r>
        <w:rPr>
          <w:rFonts w:hint="cs"/>
          <w:rtl/>
        </w:rPr>
        <w:t xml:space="preserve"> </w:t>
      </w:r>
    </w:p>
    <w:p w14:paraId="68AD471C" w14:textId="77777777" w:rsidR="003B28A8" w:rsidRDefault="001C18F0">
      <w:pPr>
        <w:spacing w:before="20" w:after="20" w:line="360" w:lineRule="auto"/>
        <w:ind w:left="720" w:hanging="720"/>
        <w:jc w:val="both"/>
        <w:rPr>
          <w:rtl/>
        </w:rPr>
      </w:pPr>
      <w:r>
        <w:rPr>
          <w:rFonts w:hint="cs"/>
          <w:rtl/>
        </w:rPr>
        <w:t>4.</w:t>
      </w:r>
      <w:r>
        <w:rPr>
          <w:rFonts w:hint="cs"/>
          <w:rtl/>
        </w:rPr>
        <w:tab/>
        <w:t>לתיק בית המשפט הוגש תסקיר שירות המבחן ממנו עלה כי הנאשם ,בן 30, נעדר עבר פלילי, נשוי ואב לשני ילדים, פעוט בן שנה ותינוק בן שבוע. הוא עובד כמוכר יהלומים וכן כשכיר בנגריה כפי האישורים שהציג בפני שירות המבחן.</w:t>
      </w:r>
    </w:p>
    <w:p w14:paraId="5A8DE941" w14:textId="77777777" w:rsidR="003B28A8" w:rsidRDefault="001C18F0">
      <w:pPr>
        <w:spacing w:before="20" w:after="20" w:line="360" w:lineRule="auto"/>
        <w:ind w:left="720" w:hanging="720"/>
        <w:jc w:val="both"/>
        <w:rPr>
          <w:rtl/>
        </w:rPr>
      </w:pPr>
      <w:r>
        <w:rPr>
          <w:rFonts w:hint="cs"/>
          <w:rtl/>
        </w:rPr>
        <w:tab/>
        <w:t>הנאשם סיים 12 שנות לימוד עם תעודת בגרות, התגייס לצבא ושירת שירות חלקי למשך שנתיים ,ממנו השתחרר על רקע החמרה במצבה הבריאותי של אמו שנפטרה בהיותו בן 23. לאחר שחרורו נסע לארה"ב לצורכי עבודה, שם התגורר במשך מספר שנים ועבד בעבודות שיווק שונות, בין היתר, מכירת יהלומים. לפני כחמש שנים הוא חזר לארץ והחל לעבוד בתחום היהלומים וכן כשכיר בנגריה.</w:t>
      </w:r>
    </w:p>
    <w:p w14:paraId="113A5050" w14:textId="77777777" w:rsidR="003B28A8" w:rsidRDefault="001C18F0">
      <w:pPr>
        <w:spacing w:before="20" w:after="20" w:line="360" w:lineRule="auto"/>
        <w:ind w:left="720" w:hanging="720"/>
        <w:jc w:val="both"/>
        <w:rPr>
          <w:rtl/>
        </w:rPr>
      </w:pPr>
      <w:r>
        <w:rPr>
          <w:rFonts w:hint="cs"/>
          <w:rtl/>
        </w:rPr>
        <w:tab/>
        <w:t>הנאשם נישא לראשונה בהיותו כבן 21, התגרש כעבור ארבע שנים והתחתן בשנית בשנת 2011 עם אם ילדיו.</w:t>
      </w:r>
    </w:p>
    <w:p w14:paraId="0527BD8C" w14:textId="77777777" w:rsidR="003B28A8" w:rsidRDefault="001C18F0">
      <w:pPr>
        <w:spacing w:before="20" w:after="20" w:line="360" w:lineRule="auto"/>
        <w:ind w:left="720" w:hanging="720"/>
        <w:jc w:val="both"/>
        <w:rPr>
          <w:rtl/>
        </w:rPr>
      </w:pPr>
      <w:r>
        <w:rPr>
          <w:rFonts w:hint="cs"/>
          <w:rtl/>
        </w:rPr>
        <w:tab/>
        <w:t xml:space="preserve">הנאשם שיתף את שירות המבחן כי החל להשתמש בסמים בגיל 20, על רקע חברתי ובאופן מזדמן. לאחר פטירת אמו, השימוש בסמים הפך ליום-יומי, כמענה לקשייו הרגשיים ומסר כי לאחר מעצרו בתיק זה הפסיק לצרוך סמים. </w:t>
      </w:r>
    </w:p>
    <w:p w14:paraId="609F44FA" w14:textId="77777777" w:rsidR="003B28A8" w:rsidRDefault="001C18F0">
      <w:pPr>
        <w:spacing w:before="20" w:after="20" w:line="360" w:lineRule="auto"/>
        <w:ind w:left="720" w:hanging="720"/>
        <w:jc w:val="both"/>
        <w:rPr>
          <w:rtl/>
        </w:rPr>
      </w:pPr>
      <w:r>
        <w:rPr>
          <w:rFonts w:hint="cs"/>
          <w:rtl/>
        </w:rPr>
        <w:tab/>
        <w:t xml:space="preserve">שירות המבחן התרשם כי הנאשם חווה משבר סביב מותה של אמו ,אשר לא עובד והשלכותיו משפיעות עליו עד היום. להערכת שירות המבחן ,חווית המעצר מהווה עבור הנאשם חוויה מטלטלת ומארגנת והחלה הפחתה מסוימת ברמת הסיכון להישנות מעורבותו בעבירות בתחום הסמים. </w:t>
      </w:r>
    </w:p>
    <w:p w14:paraId="59260F99" w14:textId="77777777" w:rsidR="003B28A8" w:rsidRDefault="001C18F0">
      <w:pPr>
        <w:spacing w:before="20" w:after="20" w:line="360" w:lineRule="auto"/>
        <w:ind w:left="720"/>
        <w:jc w:val="both"/>
        <w:rPr>
          <w:rtl/>
        </w:rPr>
      </w:pPr>
      <w:r>
        <w:rPr>
          <w:rFonts w:hint="cs"/>
          <w:rtl/>
        </w:rPr>
        <w:t>בתקופת הפיקוח על מעצרו, הופנה הנאשם על ידי שירות המבחן להשתלבות בטיפול ב"בית חוסן", היחידה לטיפול בסמים בנתניה. מדיווח עדכני שקיבל שירות המבחן מגורמי הטיפול, נמסר כי הנאשם התקבל ליחידה בתאריך 29.12.14, מאז הוא השתלב בטיפול ב"מרכז ערב", שלוש פעמים בשבוע, טיפול פרטני פעם בשבוע ובדיקות שתן אשר נמצאו נקיות משרידי סמים. עוד נמסר כי הנאשם משתף ומשתתף בטיפול הקבוצתי ומתמיד בהגעה, מסור ואחראי מאוד. בשיחות הפרטניות, הנאשם מעלה תכנים משמעותיים מעברו ומעלה קשיים עימם מתמודד היום. הצוות הטיפולי ממליץ על המשך טיפול ביחידתם.</w:t>
      </w:r>
    </w:p>
    <w:p w14:paraId="24314630" w14:textId="77777777" w:rsidR="003B28A8" w:rsidRDefault="001C18F0">
      <w:pPr>
        <w:spacing w:before="20" w:after="20" w:line="360" w:lineRule="auto"/>
        <w:ind w:left="720"/>
        <w:jc w:val="both"/>
        <w:rPr>
          <w:rtl/>
        </w:rPr>
      </w:pPr>
      <w:r>
        <w:rPr>
          <w:rFonts w:hint="cs"/>
          <w:rtl/>
        </w:rPr>
        <w:t>בהתייחסות לעבירה דנן, הנאשם נטל אחיות מלאה בפני שירות המבחן וציין כי החזיק את הסמים לשימושו העצמי בלבד. הוא הביע חרטה על האופן בו נהג וציין כי מבין את חומרת מעשיו.</w:t>
      </w:r>
    </w:p>
    <w:p w14:paraId="115E5E9B" w14:textId="77777777" w:rsidR="003B28A8" w:rsidRDefault="001C18F0">
      <w:pPr>
        <w:spacing w:before="20" w:after="20" w:line="360" w:lineRule="auto"/>
        <w:ind w:left="720"/>
        <w:jc w:val="both"/>
        <w:rPr>
          <w:rtl/>
        </w:rPr>
      </w:pPr>
      <w:r>
        <w:rPr>
          <w:rFonts w:hint="cs"/>
          <w:rtl/>
        </w:rPr>
        <w:t>שירות המבחן התרשם כי הנאשם לוקח אחריות על מעשיו ומבין את הפסול בהתנהגותו ומאז ביצוע העבירה הוא עושה מאמצים לתפקוד תקין במישורים הזוגי, המשפחתי והתעסוקתי ללא שימוש בסמים. להערכת שירות המבחן יש בהמשך טיפולו ב"בית חוסן" בכדי להפחית הסיכון להישנות התנהגות דומה.</w:t>
      </w:r>
    </w:p>
    <w:p w14:paraId="6C601881" w14:textId="77777777" w:rsidR="003B28A8" w:rsidRDefault="001C18F0">
      <w:pPr>
        <w:spacing w:before="20" w:after="20" w:line="360" w:lineRule="auto"/>
        <w:ind w:left="720"/>
        <w:jc w:val="both"/>
        <w:rPr>
          <w:rtl/>
        </w:rPr>
      </w:pPr>
      <w:r>
        <w:rPr>
          <w:rFonts w:hint="cs"/>
          <w:rtl/>
        </w:rPr>
        <w:t xml:space="preserve">שירות המבחן סבור כי בעניינו של הנאשם יש להעדיף את הפן השיקומי ולהטיל עליו צו מבחן, במהלכו יעקוב אחר התקדמותו ב"בית חוסן" וכענישה קונקרטית וחינוכית, המליץ שירות המבחן להשית על הנאשם צו של"צ במסגרת של "המרכז לבטיחות בדרכים" בנתניה </w:t>
      </w:r>
      <w:r>
        <w:rPr>
          <w:rFonts w:hint="cs"/>
          <w:rtl/>
        </w:rPr>
        <w:lastRenderedPageBreak/>
        <w:t xml:space="preserve">וזאת להיקף של 120 שעות. אשר להרשעת הנאשם, שירות המבחן התרשם כי יש בהרשעה כדי לגרום לפגיעה במסגרת התעסוקתית של הנאשם בתחום היהלומים, על כן, המליץ לבטל את הרשעתו.      </w:t>
      </w:r>
    </w:p>
    <w:p w14:paraId="3D98EF8B" w14:textId="77777777" w:rsidR="003B28A8" w:rsidRDefault="001C18F0">
      <w:pPr>
        <w:spacing w:before="20" w:after="20" w:line="360" w:lineRule="auto"/>
        <w:ind w:left="720" w:hanging="720"/>
        <w:jc w:val="both"/>
        <w:rPr>
          <w:rtl/>
        </w:rPr>
      </w:pPr>
      <w:r>
        <w:rPr>
          <w:rFonts w:hint="cs"/>
          <w:rtl/>
        </w:rPr>
        <w:tab/>
        <w:t xml:space="preserve"> </w:t>
      </w:r>
    </w:p>
    <w:p w14:paraId="2F2A89E1" w14:textId="77777777" w:rsidR="003B28A8" w:rsidRDefault="001C18F0">
      <w:pPr>
        <w:spacing w:before="20" w:after="20" w:line="360" w:lineRule="auto"/>
        <w:ind w:left="720" w:hanging="720"/>
        <w:jc w:val="both"/>
        <w:rPr>
          <w:rtl/>
        </w:rPr>
      </w:pPr>
      <w:r>
        <w:rPr>
          <w:rFonts w:hint="cs"/>
          <w:rtl/>
        </w:rPr>
        <w:t>5.</w:t>
      </w:r>
      <w:r>
        <w:rPr>
          <w:rFonts w:hint="cs"/>
          <w:rtl/>
        </w:rPr>
        <w:tab/>
        <w:t>ב"כ המאשימה, בטיעוניה לעונש, הפנתה לחומרת מעשיו של הנאשם, לערך החברתי בו פגע הנאשם ולכמות הגדולה של הסמים שנמצאה ברשותו שאינה קרובה אף לכמות של צריכה עצמית.</w:t>
      </w:r>
    </w:p>
    <w:p w14:paraId="0DF8432D" w14:textId="77777777" w:rsidR="003B28A8" w:rsidRDefault="001C18F0">
      <w:pPr>
        <w:spacing w:before="20" w:after="20" w:line="360" w:lineRule="auto"/>
        <w:ind w:left="720"/>
        <w:jc w:val="both"/>
        <w:rPr>
          <w:rtl/>
        </w:rPr>
      </w:pPr>
      <w:r>
        <w:rPr>
          <w:rFonts w:hint="cs"/>
          <w:rtl/>
        </w:rPr>
        <w:t xml:space="preserve">ב"כ המאשימה הפנתה לאסמכתאות רלוונטיות ועתרה להותיר את הרשעת הנאשם על כנה, משלא הוכחה פגיעה תעסוקתית קונקרטית. ציינה, כי המסמכים שהוצגו על ידי ההגנה מלמדים כי הנאשם עבד בתחום מכירת היהלומים בין השנים 2007-2011, בארצות הברית והוסיפה כי ,ככל הנראה ,הקשר בין הנאשם לבורסה ליהלומים ניתק לפני שנים, כשלגישתה, כך גם ניתן ללמוד מרשימת הכניסות והיציאות של הנאשם מהארץ. נוכח אלו, גורסת ב"כ המאשימה כי נתוניו של הנאשם אינם עולים עד כדי ביטול הרשעה. </w:t>
      </w:r>
    </w:p>
    <w:p w14:paraId="0835BEF0" w14:textId="77777777" w:rsidR="003B28A8" w:rsidRDefault="001C18F0">
      <w:pPr>
        <w:spacing w:before="20" w:after="20" w:line="360" w:lineRule="auto"/>
        <w:ind w:left="720"/>
        <w:jc w:val="both"/>
        <w:rPr>
          <w:rtl/>
        </w:rPr>
      </w:pPr>
      <w:r>
        <w:rPr>
          <w:rFonts w:hint="cs"/>
          <w:rtl/>
        </w:rPr>
        <w:t xml:space="preserve">לגישת ב"כ המאשימה מתחם העונש ההולם בגין העבירה דנן הינו מתחם של מאסר בפועל לתקופות לא קצרות. </w:t>
      </w:r>
    </w:p>
    <w:p w14:paraId="10EAA966" w14:textId="77777777" w:rsidR="003B28A8" w:rsidRDefault="001C18F0">
      <w:pPr>
        <w:spacing w:before="20" w:after="20" w:line="360" w:lineRule="auto"/>
        <w:ind w:left="720"/>
        <w:jc w:val="both"/>
        <w:rPr>
          <w:rtl/>
        </w:rPr>
      </w:pPr>
      <w:r>
        <w:rPr>
          <w:rFonts w:hint="cs"/>
          <w:rtl/>
        </w:rPr>
        <w:t>ב"כ המאשימה הדגישה את ההתחשבות בשיקום שעבר הנאשם וכן את הודאתו, החרטה שהביע והפנמתו פסול מעשיו, על כן היא הסכימה לחרוג ממתחם העונש ההולם ולהסתפק בהשתת עונש של מאסר על תנאי, צו של"צ, צו מבחן וקנס.</w:t>
      </w:r>
    </w:p>
    <w:p w14:paraId="157167FA" w14:textId="77777777" w:rsidR="003B28A8" w:rsidRDefault="003B28A8">
      <w:pPr>
        <w:spacing w:before="20" w:after="20" w:line="360" w:lineRule="auto"/>
        <w:jc w:val="both"/>
        <w:rPr>
          <w:rtl/>
        </w:rPr>
      </w:pPr>
    </w:p>
    <w:p w14:paraId="3AAEA4F5" w14:textId="77777777" w:rsidR="003B28A8" w:rsidRDefault="001C18F0">
      <w:pPr>
        <w:spacing w:before="20" w:after="20" w:line="360" w:lineRule="auto"/>
        <w:ind w:left="720" w:hanging="720"/>
        <w:jc w:val="both"/>
        <w:rPr>
          <w:rtl/>
        </w:rPr>
      </w:pPr>
      <w:r>
        <w:rPr>
          <w:rFonts w:hint="cs"/>
          <w:rtl/>
        </w:rPr>
        <w:t>6.</w:t>
      </w:r>
      <w:r>
        <w:rPr>
          <w:rFonts w:hint="cs"/>
          <w:rtl/>
        </w:rPr>
        <w:tab/>
        <w:t xml:space="preserve">ב"כ הנאשם, בטיעוניו לעונש, הפנה לגילו הצעיר של הנאשם - נעדר העבר הפלילי, להודאתו בכתב האישום המתוקן, בהזדמנות הראשונה בחקירתו במשטרה, שיתוף הפעולה מצדו עם היחידה החוקרת, למעצרו לראשונה בחיים, לשבוע ימים, בגין תיק זה וכן פנייתו לטיפול מתחילת הדרך ושילובו ב"בית חוסן" לאחר שחרורו מהמעצר. </w:t>
      </w:r>
    </w:p>
    <w:p w14:paraId="58FB1B40" w14:textId="77777777" w:rsidR="003B28A8" w:rsidRDefault="001C18F0">
      <w:pPr>
        <w:spacing w:before="20" w:after="20" w:line="360" w:lineRule="auto"/>
        <w:ind w:left="720"/>
        <w:jc w:val="both"/>
        <w:rPr>
          <w:rtl/>
        </w:rPr>
      </w:pPr>
      <w:r>
        <w:rPr>
          <w:rFonts w:hint="cs"/>
          <w:rtl/>
        </w:rPr>
        <w:t>הסנגור טען כי הרקע למעשי הנאשם הינו גירושיו מאשתו הראשונה ופטירת אמו בעקבות מחלת הסרטן, לאחר שתמך בה שנים רבות. הסנגור הפנה לנסיבות חייו הקשות של הנאשם, בדמות המצב הבריאותי הקשה של אמו שהצריך עזיבתה את הארץ יחד עם אביו והשארתו עם אחיו, שלא מנעו ממנו לסיים 12 שנות לימוד עם בגרות ולהתגייס לצבא.</w:t>
      </w:r>
    </w:p>
    <w:p w14:paraId="345154B2" w14:textId="77777777" w:rsidR="003B28A8" w:rsidRDefault="001C18F0">
      <w:pPr>
        <w:spacing w:before="20" w:after="20" w:line="360" w:lineRule="auto"/>
        <w:ind w:left="720"/>
        <w:jc w:val="both"/>
        <w:rPr>
          <w:rtl/>
        </w:rPr>
      </w:pPr>
      <w:r>
        <w:rPr>
          <w:rFonts w:hint="cs"/>
          <w:rtl/>
        </w:rPr>
        <w:t>הסנגור הוסיף כי האירועים המתוארים לעיל, גרמו לדיכאון אצל הנאשם ולכך שהוא עובד במהלך היום ובערב הוא משתמש בסמים "על מנת לברוח".</w:t>
      </w:r>
    </w:p>
    <w:p w14:paraId="2F2B0077" w14:textId="77777777" w:rsidR="003B28A8" w:rsidRDefault="001C18F0">
      <w:pPr>
        <w:spacing w:before="20" w:after="20" w:line="360" w:lineRule="auto"/>
        <w:ind w:left="720"/>
        <w:jc w:val="both"/>
        <w:rPr>
          <w:rtl/>
        </w:rPr>
      </w:pPr>
      <w:r>
        <w:rPr>
          <w:rFonts w:hint="cs"/>
          <w:rtl/>
        </w:rPr>
        <w:t>עוד הפנה הסנגור לתקופת הטיפול שעבר הנאשם ב"בית חוסן", כ-11 חודשים בהם מסר בדיקות שתן נקיות משרידי סמים. הדגיש את התסקיר החיובי שהוגש בעניינו של הנאשם, העדר הסתבכויות נוספות מטעמו וכן הצער והחרטה שהביע.</w:t>
      </w:r>
    </w:p>
    <w:p w14:paraId="1FBD99DE" w14:textId="77777777" w:rsidR="003B28A8" w:rsidRDefault="001C18F0">
      <w:pPr>
        <w:spacing w:before="20" w:after="20" w:line="360" w:lineRule="auto"/>
        <w:ind w:left="720"/>
        <w:jc w:val="both"/>
        <w:rPr>
          <w:rtl/>
        </w:rPr>
      </w:pPr>
      <w:r>
        <w:rPr>
          <w:rFonts w:hint="cs"/>
          <w:rtl/>
        </w:rPr>
        <w:t xml:space="preserve">הסנגור עתר לבטל את הרשעת הנאשם והפנה להלכת "כתב" בעניין זה. לגישתו, מדובר בנאשם שהשתקם, תסקיר שירות המבחן בעניינו היה חיובי וזוהי הסתבכותו הראשונה והיחידה. באשר לחומרת העבירה, הסנגור ביקש לאבחן את מעשי הנאשם בשל סוג הסמים שנתפס ברשותו, ציין שוב את נסיבותיו האישיות של הנאשם שעמדו ברקע למעשיו, וטען כי מעשיו פגעו אך בו ולא באחרים. </w:t>
      </w:r>
    </w:p>
    <w:p w14:paraId="47C49BCF" w14:textId="77777777" w:rsidR="003B28A8" w:rsidRDefault="001C18F0">
      <w:pPr>
        <w:spacing w:before="20" w:after="20" w:line="360" w:lineRule="auto"/>
        <w:ind w:left="720"/>
        <w:jc w:val="both"/>
        <w:rPr>
          <w:rtl/>
        </w:rPr>
      </w:pPr>
      <w:r>
        <w:rPr>
          <w:rFonts w:hint="cs"/>
          <w:rtl/>
        </w:rPr>
        <w:t>ב"כ הנאשם הפנה לאסמכתאות נוספות (</w:t>
      </w:r>
      <w:hyperlink r:id="rId24" w:history="1">
        <w:r w:rsidRPr="001C18F0">
          <w:rPr>
            <w:color w:val="0000FF"/>
            <w:u w:val="single"/>
            <w:rtl/>
          </w:rPr>
          <w:t>ע"פ 53046-02-14</w:t>
        </w:r>
      </w:hyperlink>
      <w:r>
        <w:rPr>
          <w:rFonts w:hint="cs"/>
          <w:rtl/>
        </w:rPr>
        <w:t xml:space="preserve"> ו-ע"פ </w:t>
      </w:r>
      <w:hyperlink r:id="rId25" w:history="1">
        <w:r w:rsidR="003524C9" w:rsidRPr="003524C9">
          <w:rPr>
            <w:color w:val="0000FF"/>
            <w:u w:val="single"/>
            <w:rtl/>
          </w:rPr>
          <w:t>53504-01-11</w:t>
        </w:r>
      </w:hyperlink>
      <w:r>
        <w:rPr>
          <w:rFonts w:hint="cs"/>
          <w:rtl/>
        </w:rPr>
        <w:t>) שלגישתו מדובר במקרים חמורים יותר אך בתי המשפט ביטלו את הרשעות הנאשמים.</w:t>
      </w:r>
    </w:p>
    <w:p w14:paraId="5C9A3CF3" w14:textId="77777777" w:rsidR="003B28A8" w:rsidRDefault="001C18F0">
      <w:pPr>
        <w:spacing w:before="20" w:after="20" w:line="360" w:lineRule="auto"/>
        <w:ind w:left="720"/>
        <w:jc w:val="both"/>
        <w:rPr>
          <w:rtl/>
        </w:rPr>
      </w:pPr>
      <w:r>
        <w:rPr>
          <w:rFonts w:hint="cs"/>
          <w:rtl/>
        </w:rPr>
        <w:t xml:space="preserve">הסנגור ציין כי הנאשם סיים קורס בגיאונולוגיה בשנת 2007 (כעולה מענ/1), ועבד בשני משרדים עד שנת 2011, כשאחד מהמשרדים ממתין שהנאשם ישוב לעבודה בו. הסנגור הוסיף כי אכן הייתה הפסקה בעבודה בתחום היהלומים, במהלך הפסקה זו הנאשם התחתן, היה צעיר ותכנן את עתידו. אך כיום זהו המקצוע שלו ולא מקצוע אחר.    </w:t>
      </w:r>
    </w:p>
    <w:p w14:paraId="24210D92" w14:textId="77777777" w:rsidR="003B28A8" w:rsidRDefault="001C18F0">
      <w:pPr>
        <w:spacing w:before="20" w:after="20" w:line="360" w:lineRule="auto"/>
        <w:ind w:left="720"/>
        <w:jc w:val="both"/>
        <w:rPr>
          <w:rtl/>
        </w:rPr>
      </w:pPr>
      <w:r>
        <w:rPr>
          <w:rFonts w:hint="cs"/>
          <w:rtl/>
        </w:rPr>
        <w:t>הוגש שאלון בעניין הכניסה לבורסה (ענ/2) והסנגור הפנה לשאלות המופיעות בו בכל הקשור להרשעה בפלילים.</w:t>
      </w:r>
    </w:p>
    <w:p w14:paraId="231264F8" w14:textId="77777777" w:rsidR="003B28A8" w:rsidRDefault="001C18F0">
      <w:pPr>
        <w:spacing w:before="20" w:after="20" w:line="360" w:lineRule="auto"/>
        <w:ind w:left="720"/>
        <w:jc w:val="both"/>
        <w:rPr>
          <w:rtl/>
        </w:rPr>
      </w:pPr>
      <w:r>
        <w:rPr>
          <w:rFonts w:hint="cs"/>
          <w:rtl/>
        </w:rPr>
        <w:t>הסנגור טען כי דו"ח הכניסות והיציאות של הנאשם לחו"ל אינו רלוונטי, משניתן לעבוד בתחום היהלומים גם מהארץ.</w:t>
      </w:r>
    </w:p>
    <w:p w14:paraId="13B84A26" w14:textId="77777777" w:rsidR="003B28A8" w:rsidRDefault="001C18F0">
      <w:pPr>
        <w:spacing w:before="20" w:after="20" w:line="360" w:lineRule="auto"/>
        <w:ind w:left="720"/>
        <w:jc w:val="both"/>
        <w:rPr>
          <w:rtl/>
        </w:rPr>
      </w:pPr>
      <w:r>
        <w:rPr>
          <w:rFonts w:hint="cs"/>
          <w:rtl/>
        </w:rPr>
        <w:t>עוד הפנה הסנגור למאמרו של השופט אהרון ברק, "התסקיר וקצין המבחן למבוגרים".</w:t>
      </w:r>
    </w:p>
    <w:p w14:paraId="2001554B" w14:textId="77777777" w:rsidR="003B28A8" w:rsidRDefault="001C18F0">
      <w:pPr>
        <w:spacing w:before="20" w:after="20" w:line="360" w:lineRule="auto"/>
        <w:jc w:val="both"/>
        <w:rPr>
          <w:rtl/>
        </w:rPr>
      </w:pPr>
      <w:r>
        <w:rPr>
          <w:rFonts w:hint="cs"/>
          <w:rtl/>
        </w:rPr>
        <w:tab/>
        <w:t>נוכח כל אלו, עתר הסנגור לאמץ המלצת שירות המבחן ולבטל הרשעת הנאשם בדין.</w:t>
      </w:r>
    </w:p>
    <w:p w14:paraId="6E31EEA4" w14:textId="77777777" w:rsidR="003B28A8" w:rsidRDefault="003B28A8">
      <w:pPr>
        <w:spacing w:before="20" w:after="20" w:line="360" w:lineRule="auto"/>
        <w:jc w:val="both"/>
        <w:rPr>
          <w:rtl/>
        </w:rPr>
      </w:pPr>
    </w:p>
    <w:p w14:paraId="0C9D05F6" w14:textId="77777777" w:rsidR="003B28A8" w:rsidRDefault="001C18F0">
      <w:pPr>
        <w:spacing w:before="20" w:after="20" w:line="360" w:lineRule="auto"/>
        <w:ind w:left="720" w:hanging="720"/>
        <w:jc w:val="both"/>
        <w:rPr>
          <w:rtl/>
        </w:rPr>
      </w:pPr>
      <w:r>
        <w:rPr>
          <w:rFonts w:hint="cs"/>
          <w:rtl/>
        </w:rPr>
        <w:t>7.</w:t>
      </w:r>
      <w:r>
        <w:rPr>
          <w:rFonts w:hint="cs"/>
          <w:rtl/>
        </w:rPr>
        <w:tab/>
        <w:t>הנאשם, בדבריו האחרונים, מסר הנאשם תודתו כי ניתנה לו הזדמנות להשתקם, ציין כי הוא לא התמודד בצורה הנכונה עם הדברים, הדחיק אותם, אך כיום הוא מתמודד איתם ומדבר עליהם. הוסיף כי הוא "זכה בעצמו מחדש", יש לו הרבה מה לתת ולעזור. לעניין עבודתו בתחום היהלומים, הנאשם מסר כי עבד בתחום בארה"ב במשך 3 שנים, שם חי וניהל משרד וצבר קשרים, ומשנת 2012 הוא עובד בתחום בארץ ,יצר תכשיטים וקיבל מהבורסה סחורה על האמון שרכש באותה תקופה.</w:t>
      </w:r>
    </w:p>
    <w:p w14:paraId="7EFA75EC" w14:textId="77777777" w:rsidR="003B28A8" w:rsidRDefault="001C18F0">
      <w:pPr>
        <w:spacing w:before="20" w:after="20" w:line="360" w:lineRule="auto"/>
        <w:ind w:left="720" w:hanging="720"/>
        <w:jc w:val="both"/>
        <w:rPr>
          <w:rtl/>
        </w:rPr>
      </w:pPr>
      <w:r>
        <w:rPr>
          <w:rFonts w:hint="cs"/>
          <w:rtl/>
        </w:rPr>
        <w:tab/>
        <w:t>הנאשם ציין כי הוא שיתף את הממונים עליו באירוע דנן. הוא טען כי זהו התחום שהוא הכי אוהב וכי אינו מעוניין לשוב לסורו.</w:t>
      </w:r>
    </w:p>
    <w:p w14:paraId="698ACA7B" w14:textId="77777777" w:rsidR="003B28A8" w:rsidRDefault="001C18F0">
      <w:pPr>
        <w:spacing w:before="20" w:after="20" w:line="360" w:lineRule="auto"/>
        <w:ind w:left="720" w:hanging="720"/>
        <w:jc w:val="both"/>
        <w:rPr>
          <w:rtl/>
        </w:rPr>
      </w:pPr>
      <w:r>
        <w:rPr>
          <w:rFonts w:hint="cs"/>
          <w:rtl/>
        </w:rPr>
        <w:t xml:space="preserve"> </w:t>
      </w:r>
    </w:p>
    <w:p w14:paraId="0C86B252" w14:textId="77777777" w:rsidR="003B28A8" w:rsidRDefault="003B28A8">
      <w:pPr>
        <w:spacing w:before="20" w:after="20" w:line="360" w:lineRule="auto"/>
        <w:ind w:left="720" w:hanging="720"/>
        <w:jc w:val="both"/>
        <w:rPr>
          <w:rtl/>
        </w:rPr>
      </w:pPr>
    </w:p>
    <w:p w14:paraId="26739AE7" w14:textId="77777777" w:rsidR="003B28A8" w:rsidRDefault="001C18F0">
      <w:pPr>
        <w:spacing w:before="20" w:after="20" w:line="360" w:lineRule="auto"/>
        <w:jc w:val="both"/>
        <w:rPr>
          <w:b/>
          <w:bCs/>
          <w:u w:val="single"/>
          <w:rtl/>
        </w:rPr>
      </w:pPr>
      <w:r>
        <w:rPr>
          <w:rFonts w:hint="cs"/>
          <w:b/>
          <w:bCs/>
          <w:u w:val="single"/>
          <w:rtl/>
        </w:rPr>
        <w:t>שאלת הרשעת הנאשם:</w:t>
      </w:r>
    </w:p>
    <w:p w14:paraId="3C0A62B7" w14:textId="77777777" w:rsidR="003B28A8" w:rsidRDefault="003B28A8">
      <w:pPr>
        <w:spacing w:before="20" w:after="20" w:line="360" w:lineRule="auto"/>
        <w:jc w:val="both"/>
        <w:rPr>
          <w:b/>
          <w:bCs/>
          <w:u w:val="single"/>
          <w:rtl/>
        </w:rPr>
      </w:pPr>
    </w:p>
    <w:p w14:paraId="7579D54D" w14:textId="77777777" w:rsidR="003B28A8" w:rsidRDefault="001C18F0">
      <w:pPr>
        <w:spacing w:before="20" w:after="20" w:line="360" w:lineRule="auto"/>
        <w:ind w:left="720" w:hanging="720"/>
        <w:jc w:val="both"/>
        <w:rPr>
          <w:rtl/>
        </w:rPr>
      </w:pPr>
      <w:r>
        <w:rPr>
          <w:rFonts w:hint="cs"/>
          <w:rtl/>
        </w:rPr>
        <w:t>8.</w:t>
      </w:r>
      <w:r>
        <w:rPr>
          <w:rFonts w:hint="cs"/>
          <w:rtl/>
        </w:rPr>
        <w:tab/>
        <w:t>לאחר שהתרשמתי מטענות הצדדים, המלצת שירות המבחן ומכלול נסיבות העניין, נחה דעתי כי יש להותיר את הרשעת הנאשם על כנה.</w:t>
      </w:r>
    </w:p>
    <w:p w14:paraId="5DF8EE78" w14:textId="77777777" w:rsidR="003B28A8" w:rsidRDefault="001C18F0">
      <w:pPr>
        <w:spacing w:before="20" w:after="20" w:line="360" w:lineRule="auto"/>
        <w:ind w:left="720"/>
        <w:jc w:val="both"/>
      </w:pPr>
      <w:r>
        <w:rPr>
          <w:rFonts w:hint="cs"/>
          <w:rtl/>
        </w:rPr>
        <w:t>הכלל הוא, כי משעבר נאשם עבירה המיוחסת לו בכתב האישום, הוא יורשע וייענש כהוראת האינטרס הציבורי ולשם הגשמת מטרות הענישה.</w:t>
      </w:r>
    </w:p>
    <w:p w14:paraId="31E16968" w14:textId="77777777" w:rsidR="003B28A8" w:rsidRDefault="003B28A8">
      <w:pPr>
        <w:spacing w:before="20" w:after="20" w:line="360" w:lineRule="auto"/>
        <w:ind w:left="720"/>
        <w:contextualSpacing/>
        <w:jc w:val="both"/>
      </w:pPr>
    </w:p>
    <w:p w14:paraId="2F957F44" w14:textId="77777777" w:rsidR="003B28A8" w:rsidRDefault="001C18F0">
      <w:pPr>
        <w:spacing w:before="20" w:after="20" w:line="360" w:lineRule="auto"/>
        <w:jc w:val="both"/>
        <w:rPr>
          <w:rFonts w:ascii="Times New Roman" w:hAnsi="Times New Roman"/>
          <w:rtl/>
        </w:rPr>
      </w:pPr>
      <w:r>
        <w:rPr>
          <w:rFonts w:hint="cs"/>
          <w:rtl/>
        </w:rPr>
        <w:t xml:space="preserve">             ב</w:t>
      </w:r>
      <w:hyperlink r:id="rId26" w:history="1">
        <w:r w:rsidRPr="001C18F0">
          <w:rPr>
            <w:color w:val="0000FF"/>
            <w:u w:val="single"/>
            <w:rtl/>
          </w:rPr>
          <w:t>ע"פ 2513/96 מ"י נ' שמש, פד"י נ</w:t>
        </w:r>
      </w:hyperlink>
      <w:r>
        <w:rPr>
          <w:rFonts w:hint="cs"/>
          <w:rtl/>
        </w:rPr>
        <w:t xml:space="preserve"> (3) 682, נפסק כי:</w:t>
      </w:r>
    </w:p>
    <w:p w14:paraId="15402E4B" w14:textId="77777777" w:rsidR="003B28A8" w:rsidRDefault="003B28A8">
      <w:pPr>
        <w:spacing w:before="20" w:after="20" w:line="360" w:lineRule="auto"/>
        <w:jc w:val="both"/>
        <w:rPr>
          <w:rtl/>
        </w:rPr>
      </w:pPr>
    </w:p>
    <w:p w14:paraId="5A3CBDE0" w14:textId="77777777" w:rsidR="003B28A8" w:rsidRDefault="001C18F0">
      <w:pPr>
        <w:spacing w:before="20" w:after="20" w:line="360" w:lineRule="auto"/>
        <w:ind w:left="1440" w:right="851"/>
        <w:jc w:val="both"/>
        <w:rPr>
          <w:rtl/>
        </w:rPr>
      </w:pPr>
      <w:r>
        <w:rPr>
          <w:rFonts w:hint="cs"/>
          <w:rtl/>
        </w:rPr>
        <w:t>"</w:t>
      </w:r>
      <w:r>
        <w:rPr>
          <w:rFonts w:hint="cs"/>
          <w:b/>
          <w:bCs/>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 שימוש בסמכות הזאת כאשר אין צידוק ממשי להמנע מהרשעה מפר את הכלל. בכך נפגעת גם שורת שוויון לפני החוק</w:t>
      </w:r>
      <w:r>
        <w:rPr>
          <w:rFonts w:hint="cs"/>
          <w:rtl/>
        </w:rPr>
        <w:t>". (שם בעמ' 638)</w:t>
      </w:r>
    </w:p>
    <w:p w14:paraId="674D10EA" w14:textId="77777777" w:rsidR="003B28A8" w:rsidRDefault="003B28A8">
      <w:pPr>
        <w:spacing w:before="20" w:after="20" w:line="360" w:lineRule="auto"/>
        <w:ind w:left="1440" w:right="851"/>
        <w:jc w:val="both"/>
        <w:rPr>
          <w:rtl/>
        </w:rPr>
      </w:pPr>
    </w:p>
    <w:p w14:paraId="128ED959" w14:textId="77777777" w:rsidR="003B28A8" w:rsidRDefault="001C18F0">
      <w:pPr>
        <w:spacing w:before="20" w:after="20" w:line="360" w:lineRule="auto"/>
        <w:ind w:firstLine="720"/>
        <w:jc w:val="both"/>
        <w:rPr>
          <w:rtl/>
        </w:rPr>
      </w:pPr>
      <w:r>
        <w:rPr>
          <w:rFonts w:hint="cs"/>
          <w:rtl/>
        </w:rPr>
        <w:t>ב</w:t>
      </w:r>
      <w:hyperlink r:id="rId27" w:history="1">
        <w:r w:rsidRPr="001C18F0">
          <w:rPr>
            <w:color w:val="0000FF"/>
            <w:u w:val="single"/>
            <w:rtl/>
          </w:rPr>
          <w:t>ע"פ 2083/96</w:t>
        </w:r>
      </w:hyperlink>
      <w:r>
        <w:rPr>
          <w:rFonts w:hint="cs"/>
          <w:rtl/>
        </w:rPr>
        <w:t xml:space="preserve"> </w:t>
      </w:r>
      <w:r>
        <w:rPr>
          <w:rFonts w:hint="cs"/>
          <w:b/>
          <w:bCs/>
          <w:rtl/>
        </w:rPr>
        <w:t>כתב נ' מ"י</w:t>
      </w:r>
      <w:r>
        <w:rPr>
          <w:rFonts w:hint="cs"/>
          <w:rtl/>
        </w:rPr>
        <w:t>, פדי נב (3) 337, נקבע כך:</w:t>
      </w:r>
    </w:p>
    <w:p w14:paraId="0D34D3DF" w14:textId="77777777" w:rsidR="003B28A8" w:rsidRDefault="003B28A8">
      <w:pPr>
        <w:spacing w:before="20" w:after="20" w:line="360" w:lineRule="auto"/>
        <w:ind w:firstLine="720"/>
        <w:jc w:val="both"/>
        <w:rPr>
          <w:rtl/>
        </w:rPr>
      </w:pPr>
    </w:p>
    <w:p w14:paraId="3EB0CFC1" w14:textId="77777777" w:rsidR="003B28A8" w:rsidRDefault="001C18F0">
      <w:pPr>
        <w:spacing w:before="20" w:after="20" w:line="360" w:lineRule="auto"/>
        <w:ind w:left="1440" w:right="851"/>
        <w:jc w:val="both"/>
        <w:rPr>
          <w:rtl/>
        </w:rPr>
      </w:pPr>
      <w:r>
        <w:rPr>
          <w:rFonts w:hint="cs"/>
          <w:rtl/>
        </w:rPr>
        <w:t>"</w:t>
      </w:r>
      <w:r>
        <w:rPr>
          <w:rFonts w:hint="cs"/>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r>
        <w:rPr>
          <w:rFonts w:hint="cs"/>
          <w:rtl/>
        </w:rPr>
        <w:t xml:space="preserve">". (שם בעמ' 342) </w:t>
      </w:r>
    </w:p>
    <w:p w14:paraId="201EEC5E" w14:textId="77777777" w:rsidR="003B28A8" w:rsidRDefault="003B28A8">
      <w:pPr>
        <w:spacing w:before="20" w:after="20" w:line="360" w:lineRule="auto"/>
        <w:ind w:right="851"/>
        <w:jc w:val="both"/>
        <w:rPr>
          <w:rtl/>
        </w:rPr>
      </w:pPr>
    </w:p>
    <w:p w14:paraId="5D5E900A" w14:textId="77777777" w:rsidR="003B28A8" w:rsidRDefault="001C18F0">
      <w:pPr>
        <w:spacing w:before="20" w:after="20" w:line="360" w:lineRule="auto"/>
        <w:ind w:right="851"/>
        <w:jc w:val="both"/>
        <w:rPr>
          <w:rtl/>
        </w:rPr>
      </w:pPr>
      <w:r>
        <w:rPr>
          <w:rFonts w:hint="cs"/>
          <w:rtl/>
        </w:rPr>
        <w:tab/>
        <w:t>וב</w:t>
      </w:r>
      <w:hyperlink r:id="rId28" w:history="1">
        <w:r w:rsidRPr="001C18F0">
          <w:rPr>
            <w:color w:val="0000FF"/>
            <w:u w:val="single"/>
            <w:rtl/>
          </w:rPr>
          <w:t>רע"פ 54/15</w:t>
        </w:r>
      </w:hyperlink>
      <w:r>
        <w:rPr>
          <w:rFonts w:hint="cs"/>
          <w:rtl/>
        </w:rPr>
        <w:t xml:space="preserve"> פלוני נ' מ"י, (מיום 27.1.15), חזר בית המשפט העליון והדגיש כי:</w:t>
      </w:r>
    </w:p>
    <w:p w14:paraId="0FC8AAD3" w14:textId="77777777" w:rsidR="003B28A8" w:rsidRDefault="003B28A8">
      <w:pPr>
        <w:spacing w:before="20" w:after="20" w:line="360" w:lineRule="auto"/>
        <w:ind w:right="851"/>
        <w:jc w:val="both"/>
        <w:rPr>
          <w:rtl/>
        </w:rPr>
      </w:pPr>
    </w:p>
    <w:p w14:paraId="204E164E" w14:textId="77777777" w:rsidR="003B28A8" w:rsidRDefault="001C18F0">
      <w:pPr>
        <w:spacing w:before="20" w:after="20" w:line="360" w:lineRule="auto"/>
        <w:ind w:left="1440" w:right="851"/>
        <w:jc w:val="both"/>
        <w:rPr>
          <w:rtl/>
        </w:rPr>
      </w:pPr>
      <w:r>
        <w:rPr>
          <w:rFonts w:hint="cs"/>
          <w:rtl/>
        </w:rPr>
        <w:t xml:space="preserve">" </w:t>
      </w:r>
      <w:r>
        <w:rPr>
          <w:rFonts w:hint="cs"/>
          <w:b/>
          <w:bCs/>
          <w:rtl/>
        </w:rPr>
        <w:t>בכל הנוגע לשאלה שעניינה הפגיעה בצורכי שיקומו של הנאשם, נקבע, כי אין מקום להסתפק ב"</w:t>
      </w:r>
      <w:r>
        <w:rPr>
          <w:rFonts w:hint="cs"/>
          <w:b/>
          <w:bCs/>
          <w:sz w:val="28"/>
          <w:rtl/>
        </w:rPr>
        <w:t>תרחיש תיאורטי</w:t>
      </w:r>
      <w:r>
        <w:rPr>
          <w:rFonts w:hint="cs"/>
          <w:b/>
          <w:bCs/>
          <w:rtl/>
        </w:rPr>
        <w:t xml:space="preserve">", ויש להצביע על קיומו של נזק </w:t>
      </w:r>
      <w:r>
        <w:rPr>
          <w:rFonts w:hint="cs"/>
          <w:b/>
          <w:bCs/>
          <w:sz w:val="28"/>
          <w:rtl/>
        </w:rPr>
        <w:t>"מוחשי וקונקרטי"</w:t>
      </w:r>
      <w:r>
        <w:rPr>
          <w:rFonts w:hint="cs"/>
          <w:b/>
          <w:bCs/>
          <w:rtl/>
        </w:rPr>
        <w:t xml:space="preserve"> אשר צפוי לנאשם כתוצאה מעצם ההרשעה </w:t>
      </w:r>
      <w:r>
        <w:rPr>
          <w:rFonts w:ascii="Century" w:hAnsi="Century" w:hint="cs"/>
          <w:b/>
          <w:bCs/>
          <w:rtl/>
        </w:rPr>
        <w:t>(</w:t>
      </w:r>
      <w:hyperlink r:id="rId29" w:history="1">
        <w:r w:rsidRPr="001C18F0">
          <w:rPr>
            <w:b/>
            <w:bCs/>
            <w:color w:val="0000FF"/>
            <w:u w:val="single"/>
            <w:rtl/>
          </w:rPr>
          <w:t>רע"פ 1439/13</w:t>
        </w:r>
      </w:hyperlink>
      <w:r>
        <w:rPr>
          <w:rFonts w:ascii="FrankRuehl" w:hAnsi="FrankRuehl" w:hint="cs"/>
          <w:b/>
          <w:bCs/>
          <w:color w:val="000000"/>
          <w:sz w:val="28"/>
          <w:rtl/>
        </w:rPr>
        <w:t xml:space="preserve"> ‏</w:t>
      </w:r>
      <w:r>
        <w:rPr>
          <w:rFonts w:hint="cs"/>
          <w:b/>
          <w:bCs/>
          <w:sz w:val="28"/>
          <w:rtl/>
        </w:rPr>
        <w:t>קשת נ' מדינת ישראל</w:t>
      </w:r>
      <w:r>
        <w:rPr>
          <w:rFonts w:ascii="FrankRuehl" w:hAnsi="FrankRuehl" w:hint="cs"/>
          <w:b/>
          <w:bCs/>
          <w:color w:val="000000"/>
          <w:sz w:val="28"/>
          <w:rtl/>
        </w:rPr>
        <w:t xml:space="preserve"> (4.3.2013); </w:t>
      </w:r>
      <w:hyperlink r:id="rId30" w:history="1">
        <w:r w:rsidRPr="001C18F0">
          <w:rPr>
            <w:b/>
            <w:bCs/>
            <w:color w:val="0000FF"/>
            <w:u w:val="single"/>
            <w:rtl/>
          </w:rPr>
          <w:t>רע"פ 8627/12</w:t>
        </w:r>
      </w:hyperlink>
      <w:r>
        <w:rPr>
          <w:rFonts w:ascii="FrankRuehl" w:hAnsi="FrankRuehl" w:hint="cs"/>
          <w:b/>
          <w:bCs/>
          <w:sz w:val="28"/>
          <w:rtl/>
        </w:rPr>
        <w:t xml:space="preserve"> </w:t>
      </w:r>
      <w:r>
        <w:rPr>
          <w:rFonts w:hint="cs"/>
          <w:b/>
          <w:bCs/>
          <w:sz w:val="28"/>
          <w:rtl/>
        </w:rPr>
        <w:t>הנסב נ' מדינת ישראל</w:t>
      </w:r>
      <w:r>
        <w:rPr>
          <w:rFonts w:ascii="FrankRuehl" w:hAnsi="FrankRuehl" w:hint="cs"/>
          <w:b/>
          <w:bCs/>
          <w:color w:val="000000"/>
          <w:sz w:val="28"/>
          <w:rtl/>
        </w:rPr>
        <w:t xml:space="preserve"> (31.12.2012)).</w:t>
      </w:r>
      <w:r>
        <w:rPr>
          <w:rFonts w:ascii="FrankRuehl" w:hAnsi="FrankRuehl" w:hint="cs"/>
          <w:color w:val="000000"/>
          <w:sz w:val="28"/>
          <w:rtl/>
        </w:rPr>
        <w:t>"</w:t>
      </w:r>
    </w:p>
    <w:p w14:paraId="6EBA63E8" w14:textId="77777777" w:rsidR="003B28A8" w:rsidRDefault="003B28A8">
      <w:pPr>
        <w:spacing w:before="20" w:after="20" w:line="360" w:lineRule="auto"/>
        <w:ind w:left="1440" w:right="851"/>
        <w:jc w:val="both"/>
        <w:rPr>
          <w:rtl/>
        </w:rPr>
      </w:pPr>
    </w:p>
    <w:p w14:paraId="7F97B69C" w14:textId="77777777" w:rsidR="003B28A8" w:rsidRDefault="001C18F0">
      <w:pPr>
        <w:spacing w:before="20" w:after="20" w:line="360" w:lineRule="auto"/>
        <w:ind w:left="720"/>
        <w:contextualSpacing/>
        <w:jc w:val="both"/>
        <w:rPr>
          <w:rtl/>
        </w:rPr>
      </w:pPr>
      <w:r>
        <w:rPr>
          <w:rFonts w:hint="cs"/>
          <w:rtl/>
        </w:rPr>
        <w:t xml:space="preserve">בית המשפט משתמש בסמכותו שלא להרשיע נאשם בנסיבות יוצאות דופן, בהן אין יחס סביר בין הנזק הצפוי לנאשם מן ההרשעה, לבין חומרתה של העבירה. התרשמתי כי נסיבות שכאלו אינן מתקיימות בעניינו של הנאשם שבפניי. </w:t>
      </w:r>
    </w:p>
    <w:p w14:paraId="7A457E46" w14:textId="77777777" w:rsidR="003B28A8" w:rsidRDefault="001C18F0">
      <w:pPr>
        <w:spacing w:before="20" w:after="20" w:line="360" w:lineRule="auto"/>
        <w:ind w:left="720"/>
        <w:jc w:val="both"/>
        <w:rPr>
          <w:rFonts w:ascii="Times New Roman" w:hAnsi="Times New Roman"/>
          <w:rtl/>
        </w:rPr>
      </w:pPr>
      <w:r>
        <w:rPr>
          <w:rFonts w:hint="cs"/>
          <w:rtl/>
        </w:rPr>
        <w:t>הנאשם לא הצביע על נזק קונקרטי שעלול להיגרם לשיקומו מעצם הרשעתו ואין די באפשרות פגיעה תעסוקתית עתידית. כמו כן, אין המדובר במי שייגדע מטה לחמו במידה ויורשע בדין, גם אם תעסוקתו בתחום היהלומים תוגבל בעקבות ההרשעה, הרי שהוא עובד למחייתו בעבודה נוספת בתחום הנגרות.</w:t>
      </w:r>
    </w:p>
    <w:p w14:paraId="570A2A28" w14:textId="77777777" w:rsidR="003B28A8" w:rsidRDefault="001C18F0">
      <w:pPr>
        <w:spacing w:before="20" w:after="20" w:line="360" w:lineRule="auto"/>
        <w:ind w:left="720"/>
        <w:jc w:val="both"/>
        <w:rPr>
          <w:rtl/>
        </w:rPr>
      </w:pPr>
      <w:r>
        <w:rPr>
          <w:rFonts w:hint="cs"/>
          <w:rtl/>
        </w:rPr>
        <w:t>כמו כן, חומרת העבירה שביצע הנאשם, כמויות הסמים והסוגים השונים, אינם מאפשרים נקיטת גישה כה סלחנית עד כדי ביטול הרשעת הנאשם. עבירה מהסוג הזה שביצע הנאשם מחייבות ענישה מוחשית שאינה אפשרית ללא הרשעת הנאשם.</w:t>
      </w:r>
    </w:p>
    <w:p w14:paraId="3C001B92" w14:textId="77777777" w:rsidR="003B28A8" w:rsidRDefault="001C18F0">
      <w:pPr>
        <w:spacing w:before="20" w:after="20" w:line="360" w:lineRule="auto"/>
        <w:ind w:left="720"/>
        <w:jc w:val="both"/>
        <w:rPr>
          <w:rtl/>
        </w:rPr>
      </w:pPr>
      <w:r>
        <w:rPr>
          <w:rFonts w:hint="cs"/>
          <w:rtl/>
        </w:rPr>
        <w:t xml:space="preserve">אציין כי מעיון בשאלון (ענ/2) עולה כי מלבד השאלה אודות הרשעת הנאשם ישנן שאלות בנושא חקירה ומעצר וגם בנוגע לשימוש בסמים. כך שאפשרות שלילת כניסתו של הנאשם לבורסה עלולה להתקיים גם אם לא יורשע בדין. </w:t>
      </w:r>
    </w:p>
    <w:p w14:paraId="6B2E7E1D" w14:textId="77777777" w:rsidR="003B28A8" w:rsidRDefault="003B28A8">
      <w:pPr>
        <w:spacing w:before="20" w:after="20" w:line="360" w:lineRule="auto"/>
        <w:ind w:left="720"/>
        <w:jc w:val="both"/>
        <w:rPr>
          <w:rtl/>
        </w:rPr>
      </w:pPr>
    </w:p>
    <w:p w14:paraId="71A902B6" w14:textId="77777777" w:rsidR="003B28A8" w:rsidRDefault="001C18F0">
      <w:pPr>
        <w:spacing w:before="20" w:after="20" w:line="360" w:lineRule="auto"/>
        <w:ind w:left="720"/>
        <w:jc w:val="both"/>
        <w:rPr>
          <w:rtl/>
        </w:rPr>
      </w:pPr>
      <w:r>
        <w:rPr>
          <w:rFonts w:hint="cs"/>
          <w:rtl/>
        </w:rPr>
        <w:t>בחנתי את האסמכתאות שהפנה אליהן ב"כ הנאשם ושוכנעתי כי מדובר במקרים שנסיבותיהם שונות מהמקרה דנן, הן בבחינת נסיבות העושים וכן נסיבות ביצוע המעשים.</w:t>
      </w:r>
    </w:p>
    <w:p w14:paraId="7BD9FAC5" w14:textId="77777777" w:rsidR="003B28A8" w:rsidRDefault="003B28A8">
      <w:pPr>
        <w:spacing w:before="20" w:after="20" w:line="360" w:lineRule="auto"/>
        <w:ind w:left="720"/>
        <w:contextualSpacing/>
        <w:jc w:val="both"/>
        <w:rPr>
          <w:rtl/>
        </w:rPr>
      </w:pPr>
    </w:p>
    <w:p w14:paraId="7476651A" w14:textId="77777777" w:rsidR="003B28A8" w:rsidRDefault="001C18F0">
      <w:pPr>
        <w:spacing w:before="20" w:after="20" w:line="360" w:lineRule="auto"/>
        <w:ind w:left="720"/>
        <w:contextualSpacing/>
        <w:jc w:val="both"/>
        <w:rPr>
          <w:rtl/>
        </w:rPr>
      </w:pPr>
      <w:r>
        <w:rPr>
          <w:rFonts w:hint="cs"/>
          <w:rtl/>
        </w:rPr>
        <w:t>על כן, לא מצאתי כי הנאשם עומד בתנאים הקבועים בפסיקה לצורך ביטול הרשעתו.</w:t>
      </w:r>
    </w:p>
    <w:p w14:paraId="7D119B4A" w14:textId="77777777" w:rsidR="003B28A8" w:rsidRDefault="003B28A8">
      <w:pPr>
        <w:spacing w:before="20" w:after="20" w:line="360" w:lineRule="auto"/>
        <w:jc w:val="both"/>
        <w:rPr>
          <w:rFonts w:ascii="Times New Roman" w:hAnsi="Times New Roman"/>
          <w:rtl/>
        </w:rPr>
      </w:pPr>
    </w:p>
    <w:p w14:paraId="277F6809" w14:textId="77777777" w:rsidR="003B28A8" w:rsidRDefault="001C18F0">
      <w:pPr>
        <w:spacing w:before="20" w:after="20" w:line="360" w:lineRule="auto"/>
        <w:jc w:val="both"/>
        <w:rPr>
          <w:b/>
          <w:bCs/>
          <w:u w:val="single"/>
          <w:rtl/>
        </w:rPr>
      </w:pPr>
      <w:r>
        <w:rPr>
          <w:rFonts w:hint="cs"/>
          <w:b/>
          <w:bCs/>
          <w:u w:val="single"/>
          <w:rtl/>
        </w:rPr>
        <w:t>דיון</w:t>
      </w:r>
    </w:p>
    <w:p w14:paraId="5DC6E860" w14:textId="77777777" w:rsidR="003B28A8" w:rsidRDefault="003B28A8">
      <w:pPr>
        <w:spacing w:before="20" w:after="20" w:line="360" w:lineRule="auto"/>
        <w:jc w:val="both"/>
        <w:rPr>
          <w:b/>
          <w:bCs/>
          <w:u w:val="single"/>
          <w:rtl/>
        </w:rPr>
      </w:pPr>
    </w:p>
    <w:p w14:paraId="32CD932D" w14:textId="77777777" w:rsidR="003B28A8" w:rsidRDefault="001C18F0">
      <w:pPr>
        <w:spacing w:before="20" w:after="20" w:line="360" w:lineRule="auto"/>
        <w:ind w:left="720" w:hanging="720"/>
        <w:jc w:val="both"/>
        <w:rPr>
          <w:rtl/>
        </w:rPr>
      </w:pPr>
      <w:r>
        <w:rPr>
          <w:rFonts w:hint="cs"/>
          <w:rtl/>
        </w:rPr>
        <w:t>9.</w:t>
      </w:r>
      <w:r>
        <w:rPr>
          <w:rFonts w:hint="cs"/>
          <w:rtl/>
        </w:rPr>
        <w:tab/>
        <w:t xml:space="preserve">כמצוות המחוקק בסעיף </w:t>
      </w:r>
      <w:hyperlink r:id="rId31" w:history="1">
        <w:r w:rsidR="007407B3" w:rsidRPr="007407B3">
          <w:rPr>
            <w:color w:val="0000FF"/>
            <w:u w:val="single"/>
            <w:rtl/>
          </w:rPr>
          <w:t>40 ג' (א)</w:t>
        </w:r>
      </w:hyperlink>
      <w:r>
        <w:rPr>
          <w:rFonts w:hint="cs"/>
          <w:rtl/>
        </w:rPr>
        <w:t xml:space="preserve"> בחוק, בקביעת מתחם העונש ההולם את מעשה העבירה שביצע הנאשם, בהתאם לעיקרון המנחה הקבוע בסעיף </w:t>
      </w:r>
      <w:hyperlink r:id="rId32" w:history="1">
        <w:r w:rsidR="007407B3" w:rsidRPr="007407B3">
          <w:rPr>
            <w:color w:val="0000FF"/>
            <w:u w:val="single"/>
            <w:rtl/>
          </w:rPr>
          <w:t>40 ב'</w:t>
        </w:r>
      </w:hyperlink>
      <w:r>
        <w:rPr>
          <w:rFonts w:hint="cs"/>
          <w:rtl/>
        </w:rPr>
        <w:t xml:space="preserve"> בחוק, יש להתחשב בערך החברתי שנפגע מביצוע העבירה, במידת הפגיעה בו, במדיניות הענישה הנהוגה ובנסיבות הקשורות בביצוע העבירה. </w:t>
      </w:r>
    </w:p>
    <w:p w14:paraId="1393F932" w14:textId="77777777" w:rsidR="003B28A8" w:rsidRDefault="003B28A8">
      <w:pPr>
        <w:spacing w:before="20" w:after="20" w:line="360" w:lineRule="auto"/>
        <w:jc w:val="both"/>
        <w:rPr>
          <w:rtl/>
        </w:rPr>
      </w:pPr>
    </w:p>
    <w:p w14:paraId="2ECBB075" w14:textId="77777777" w:rsidR="003B28A8" w:rsidRDefault="001C18F0">
      <w:pPr>
        <w:spacing w:before="20" w:after="20" w:line="360" w:lineRule="auto"/>
        <w:jc w:val="both"/>
        <w:rPr>
          <w:rFonts w:ascii="Calibri" w:hAnsi="Calibri"/>
          <w:b/>
          <w:bCs/>
          <w:u w:val="single"/>
          <w:rtl/>
        </w:rPr>
      </w:pPr>
      <w:r>
        <w:rPr>
          <w:rFonts w:ascii="Calibri" w:hAnsi="Calibri" w:hint="cs"/>
          <w:b/>
          <w:bCs/>
          <w:u w:val="single"/>
          <w:rtl/>
        </w:rPr>
        <w:t>הערך החברתי שנפגע:</w:t>
      </w:r>
    </w:p>
    <w:p w14:paraId="573D424F" w14:textId="77777777" w:rsidR="003B28A8" w:rsidRDefault="003B28A8">
      <w:pPr>
        <w:spacing w:before="20" w:after="20" w:line="360" w:lineRule="auto"/>
        <w:jc w:val="both"/>
        <w:rPr>
          <w:rFonts w:ascii="Calibri" w:hAnsi="Calibri"/>
          <w:b/>
          <w:bCs/>
          <w:u w:val="single"/>
          <w:rtl/>
        </w:rPr>
      </w:pPr>
    </w:p>
    <w:p w14:paraId="6425A750" w14:textId="77777777" w:rsidR="003B28A8" w:rsidRDefault="001C18F0">
      <w:pPr>
        <w:spacing w:before="20" w:after="20" w:line="360" w:lineRule="auto"/>
        <w:ind w:left="720" w:hanging="720"/>
        <w:jc w:val="both"/>
        <w:rPr>
          <w:rFonts w:ascii="Calibri" w:hAnsi="Calibri"/>
          <w:rtl/>
        </w:rPr>
      </w:pPr>
      <w:r>
        <w:rPr>
          <w:rFonts w:ascii="Calibri" w:hAnsi="Calibri" w:hint="cs"/>
          <w:rtl/>
        </w:rPr>
        <w:t>10.</w:t>
      </w:r>
      <w:r>
        <w:rPr>
          <w:rFonts w:ascii="Calibri" w:hAnsi="Calibri" w:hint="cs"/>
          <w:rtl/>
        </w:rPr>
        <w:tab/>
        <w:t>מעשה כגון זה שביצע הנאשם, פוגע בערכים חברתיים בדמות שמירה על בריאות ונפש הציבור בכללותו</w:t>
      </w:r>
      <w:r>
        <w:rPr>
          <w:rFonts w:ascii="Calibri" w:hAnsi="Calibri"/>
        </w:rPr>
        <w:t xml:space="preserve"> </w:t>
      </w:r>
      <w:r>
        <w:rPr>
          <w:rFonts w:ascii="Calibri" w:hAnsi="Calibri" w:hint="cs"/>
          <w:rtl/>
        </w:rPr>
        <w:t>ונושא בצדו על דרך הכלל עונש מאסר לריצוי מאחורי סורג ובריח, נוכח הצורך להחמיר בענישת עבריינים המאפשרים פגיעה רחבה בכלל ובפרט. ויפים לעניים זה הדברים שנקבעו ב</w:t>
      </w:r>
      <w:hyperlink r:id="rId33" w:history="1">
        <w:r w:rsidRPr="001C18F0">
          <w:rPr>
            <w:color w:val="0000FF"/>
            <w:u w:val="single"/>
            <w:rtl/>
          </w:rPr>
          <w:t>ע"פ 4381/05</w:t>
        </w:r>
      </w:hyperlink>
      <w:r>
        <w:rPr>
          <w:rFonts w:ascii="Calibri" w:hAnsi="Calibri" w:hint="cs"/>
          <w:rtl/>
        </w:rPr>
        <w:t xml:space="preserve"> </w:t>
      </w:r>
      <w:r>
        <w:rPr>
          <w:rFonts w:ascii="Calibri" w:hAnsi="Calibri" w:hint="cs"/>
          <w:b/>
          <w:bCs/>
          <w:rtl/>
        </w:rPr>
        <w:t>אבו זקיקה נ' מדינת מ"י</w:t>
      </w:r>
      <w:r>
        <w:rPr>
          <w:rFonts w:ascii="Calibri" w:hAnsi="Calibri" w:hint="cs"/>
          <w:rtl/>
        </w:rPr>
        <w:t xml:space="preserve"> (ניתן ביום 13.7.06), לאמור:</w:t>
      </w:r>
    </w:p>
    <w:p w14:paraId="1390A75E" w14:textId="77777777" w:rsidR="003B28A8" w:rsidRDefault="003B28A8">
      <w:pPr>
        <w:spacing w:before="20" w:after="20" w:line="360" w:lineRule="auto"/>
        <w:ind w:left="720"/>
        <w:jc w:val="both"/>
        <w:rPr>
          <w:rFonts w:ascii="Calibri" w:hAnsi="Calibri"/>
          <w:rtl/>
        </w:rPr>
      </w:pPr>
    </w:p>
    <w:p w14:paraId="2F718BEE" w14:textId="77777777" w:rsidR="003B28A8" w:rsidRDefault="001C18F0">
      <w:pPr>
        <w:spacing w:before="20" w:after="20" w:line="360" w:lineRule="auto"/>
        <w:ind w:left="1440" w:right="1134"/>
        <w:jc w:val="both"/>
        <w:rPr>
          <w:rFonts w:ascii="Calibri" w:hAnsi="Calibri"/>
          <w:b/>
          <w:bCs/>
          <w:rtl/>
        </w:rPr>
      </w:pPr>
      <w:r>
        <w:rPr>
          <w:rFonts w:ascii="Calibri" w:hAnsi="Calibri" w:hint="cs"/>
          <w:b/>
          <w:bCs/>
          <w:rtl/>
        </w:rPr>
        <w:t xml:space="preserve">"חובה היא על בית-המשפט בימים אלו להילחם מלחמת חורמה בתופעה של החזקת סמים מסוכנים (ראו והשוו </w:t>
      </w:r>
      <w:r>
        <w:rPr>
          <w:rFonts w:hint="cs"/>
          <w:b/>
          <w:bCs/>
          <w:rtl/>
        </w:rPr>
        <w:t>ע"פ 3759/03</w:t>
      </w:r>
      <w:r>
        <w:rPr>
          <w:rFonts w:ascii="Calibri" w:hAnsi="Calibri" w:hint="cs"/>
          <w:b/>
          <w:bCs/>
          <w:rtl/>
        </w:rPr>
        <w:t xml:space="preserve"> יצחק תמיר ואח' נ' מדינת ישראל (טרם פורסם)). אשר לעבירות סחר או החזקה מסחרית של סם מסוכן מסוג הרואין כבר נקבע, כי יש למצות את הדין עם עבריינים אלה ובפרט כאשר מדובר בהחזקה של כמות סם כה גדולה. כך למשל נקבע ב</w:t>
      </w:r>
      <w:hyperlink r:id="rId34" w:history="1">
        <w:r w:rsidRPr="001C18F0">
          <w:rPr>
            <w:b/>
            <w:bCs/>
            <w:color w:val="0000FF"/>
            <w:u w:val="single"/>
            <w:rtl/>
          </w:rPr>
          <w:t>ע"פ 1594/96</w:t>
        </w:r>
      </w:hyperlink>
      <w:r>
        <w:rPr>
          <w:rFonts w:ascii="Calibri" w:hAnsi="Calibri" w:hint="cs"/>
          <w:b/>
          <w:bCs/>
          <w:rtl/>
        </w:rPr>
        <w:t xml:space="preserve"> סאלח אלאדין בן חאלד עקול נ' מדינת ישראל (לא פורסם)".</w:t>
      </w:r>
    </w:p>
    <w:p w14:paraId="3211E794" w14:textId="77777777" w:rsidR="003B28A8" w:rsidRDefault="003B28A8">
      <w:pPr>
        <w:spacing w:before="20" w:after="20" w:line="360" w:lineRule="auto"/>
        <w:ind w:left="720" w:hanging="720"/>
        <w:jc w:val="both"/>
        <w:rPr>
          <w:rFonts w:ascii="Calibri" w:hAnsi="Calibri"/>
          <w:rtl/>
        </w:rPr>
      </w:pPr>
    </w:p>
    <w:p w14:paraId="73EDE27E" w14:textId="77777777" w:rsidR="003B28A8" w:rsidRDefault="003B28A8">
      <w:pPr>
        <w:spacing w:before="20" w:after="20" w:line="360" w:lineRule="auto"/>
        <w:ind w:left="720" w:hanging="720"/>
        <w:jc w:val="both"/>
        <w:rPr>
          <w:rFonts w:ascii="Calibri" w:hAnsi="Calibri"/>
          <w:rtl/>
        </w:rPr>
      </w:pPr>
    </w:p>
    <w:p w14:paraId="0816F1CA" w14:textId="77777777" w:rsidR="003B28A8" w:rsidRDefault="001C18F0">
      <w:pPr>
        <w:spacing w:before="20" w:after="20" w:line="360" w:lineRule="auto"/>
        <w:jc w:val="both"/>
        <w:rPr>
          <w:rFonts w:ascii="Calibri" w:hAnsi="Calibri"/>
          <w:b/>
          <w:bCs/>
          <w:u w:val="single"/>
          <w:rtl/>
        </w:rPr>
      </w:pPr>
      <w:r>
        <w:rPr>
          <w:rFonts w:ascii="Calibri" w:hAnsi="Calibri" w:hint="cs"/>
          <w:b/>
          <w:bCs/>
          <w:u w:val="single"/>
          <w:rtl/>
        </w:rPr>
        <w:t>מדיניות הענישה הנהוגה:</w:t>
      </w:r>
    </w:p>
    <w:p w14:paraId="73468927" w14:textId="77777777" w:rsidR="003B28A8" w:rsidRDefault="003B28A8">
      <w:pPr>
        <w:spacing w:before="20" w:after="20" w:line="360" w:lineRule="auto"/>
        <w:jc w:val="both"/>
        <w:rPr>
          <w:rFonts w:ascii="Calibri" w:hAnsi="Calibri"/>
          <w:b/>
          <w:bCs/>
          <w:u w:val="single"/>
          <w:rtl/>
        </w:rPr>
      </w:pPr>
    </w:p>
    <w:p w14:paraId="740894E7" w14:textId="77777777" w:rsidR="003B28A8" w:rsidRDefault="001C18F0">
      <w:pPr>
        <w:spacing w:before="20" w:after="20" w:line="360" w:lineRule="auto"/>
        <w:ind w:left="720" w:hanging="720"/>
        <w:jc w:val="both"/>
        <w:rPr>
          <w:rFonts w:ascii="Calibri" w:hAnsi="Calibri"/>
          <w:rtl/>
        </w:rPr>
      </w:pPr>
      <w:r>
        <w:rPr>
          <w:rFonts w:ascii="Calibri" w:hAnsi="Calibri" w:hint="cs"/>
          <w:rtl/>
        </w:rPr>
        <w:t>11.</w:t>
      </w:r>
      <w:r>
        <w:rPr>
          <w:rFonts w:ascii="Calibri" w:hAnsi="Calibri" w:hint="cs"/>
          <w:rtl/>
        </w:rPr>
        <w:tab/>
        <w:t>מדיניות הענישה הנהוגה בעבירה בה הורשע הנאשם, מתחשבת במאבק הבלתי מתפשר של בתי המשפט בנגע הסמים. מדיניות זו מחייבת השתת עונשים חמורים על מי שפוגע במאבק בנגע זה.</w:t>
      </w:r>
    </w:p>
    <w:p w14:paraId="084545F3" w14:textId="77777777" w:rsidR="003B28A8" w:rsidRDefault="003B28A8">
      <w:pPr>
        <w:spacing w:before="20" w:after="20" w:line="360" w:lineRule="auto"/>
        <w:ind w:left="720" w:hanging="720"/>
        <w:jc w:val="both"/>
        <w:rPr>
          <w:rFonts w:ascii="Calibri" w:hAnsi="Calibri"/>
          <w:rtl/>
        </w:rPr>
      </w:pPr>
    </w:p>
    <w:p w14:paraId="649941A2" w14:textId="77777777" w:rsidR="003B28A8" w:rsidRDefault="001C18F0">
      <w:pPr>
        <w:spacing w:before="20" w:after="20" w:line="360" w:lineRule="auto"/>
        <w:ind w:left="720"/>
        <w:jc w:val="both"/>
        <w:rPr>
          <w:rFonts w:ascii="Times New Roman" w:hAnsi="Times New Roman"/>
          <w:rtl/>
        </w:rPr>
      </w:pPr>
      <w:r>
        <w:rPr>
          <w:rFonts w:hint="cs"/>
          <w:rtl/>
        </w:rPr>
        <w:t>בעבירת החזקת סמים שלא לצריכה עצמית, השיתו בתי המשפט על ערכאותיהם השונות, עונשים מגוונים, זאת כמפורט להלן:</w:t>
      </w:r>
    </w:p>
    <w:p w14:paraId="6677D331" w14:textId="77777777" w:rsidR="003B28A8" w:rsidRDefault="003B28A8">
      <w:pPr>
        <w:spacing w:before="20" w:after="20" w:line="360" w:lineRule="auto"/>
        <w:ind w:left="720"/>
        <w:jc w:val="both"/>
        <w:rPr>
          <w:rtl/>
        </w:rPr>
      </w:pPr>
    </w:p>
    <w:p w14:paraId="1DEDFBDC" w14:textId="77777777" w:rsidR="003B28A8" w:rsidRDefault="001C18F0">
      <w:pPr>
        <w:numPr>
          <w:ilvl w:val="1"/>
          <w:numId w:val="1"/>
        </w:numPr>
        <w:tabs>
          <w:tab w:val="num" w:pos="1286"/>
        </w:tabs>
        <w:spacing w:before="20" w:after="20" w:line="360" w:lineRule="auto"/>
        <w:ind w:left="1287" w:hanging="539"/>
        <w:jc w:val="both"/>
        <w:rPr>
          <w:rFonts w:ascii="Calibri" w:hAnsi="Calibri"/>
          <w:rtl/>
        </w:rPr>
      </w:pPr>
      <w:r>
        <w:rPr>
          <w:rFonts w:ascii="Calibri" w:hAnsi="Calibri" w:hint="cs"/>
          <w:rtl/>
        </w:rPr>
        <w:t>ב</w:t>
      </w:r>
      <w:hyperlink r:id="rId35" w:history="1">
        <w:r w:rsidRPr="001C18F0">
          <w:rPr>
            <w:rFonts w:ascii="Calibri" w:hAnsi="Calibri" w:hint="eastAsia"/>
            <w:color w:val="0000FF"/>
            <w:u w:val="single"/>
            <w:rtl/>
          </w:rPr>
          <w:t>ת</w:t>
        </w:r>
        <w:r w:rsidRPr="001C18F0">
          <w:rPr>
            <w:rFonts w:ascii="Calibri" w:hAnsi="Calibri"/>
            <w:color w:val="0000FF"/>
            <w:u w:val="single"/>
            <w:rtl/>
          </w:rPr>
          <w:t>"</w:t>
        </w:r>
        <w:r w:rsidRPr="001C18F0">
          <w:rPr>
            <w:rFonts w:ascii="Calibri" w:hAnsi="Calibri" w:hint="eastAsia"/>
            <w:color w:val="0000FF"/>
            <w:u w:val="single"/>
            <w:rtl/>
          </w:rPr>
          <w:t>פ</w:t>
        </w:r>
        <w:r w:rsidRPr="001C18F0">
          <w:rPr>
            <w:rFonts w:ascii="Calibri" w:hAnsi="Calibri"/>
            <w:color w:val="0000FF"/>
            <w:u w:val="single"/>
            <w:rtl/>
          </w:rPr>
          <w:t xml:space="preserve"> (</w:t>
        </w:r>
        <w:r w:rsidRPr="001C18F0">
          <w:rPr>
            <w:rFonts w:ascii="Calibri" w:hAnsi="Calibri" w:hint="eastAsia"/>
            <w:color w:val="0000FF"/>
            <w:u w:val="single"/>
            <w:rtl/>
          </w:rPr>
          <w:t>פ</w:t>
        </w:r>
        <w:r w:rsidRPr="001C18F0">
          <w:rPr>
            <w:rFonts w:ascii="Calibri" w:hAnsi="Calibri"/>
            <w:color w:val="0000FF"/>
            <w:u w:val="single"/>
            <w:rtl/>
          </w:rPr>
          <w:t>"</w:t>
        </w:r>
        <w:r w:rsidRPr="001C18F0">
          <w:rPr>
            <w:rFonts w:ascii="Calibri" w:hAnsi="Calibri" w:hint="eastAsia"/>
            <w:color w:val="0000FF"/>
            <w:u w:val="single"/>
            <w:rtl/>
          </w:rPr>
          <w:t>ת</w:t>
        </w:r>
        <w:r w:rsidRPr="001C18F0">
          <w:rPr>
            <w:rFonts w:ascii="Calibri" w:hAnsi="Calibri"/>
            <w:color w:val="0000FF"/>
            <w:u w:val="single"/>
            <w:rtl/>
          </w:rPr>
          <w:t>) 38865-09-10</w:t>
        </w:r>
      </w:hyperlink>
      <w:r>
        <w:rPr>
          <w:rFonts w:ascii="Calibri" w:hAnsi="Calibri" w:hint="cs"/>
          <w:rtl/>
        </w:rPr>
        <w:t xml:space="preserve"> </w:t>
      </w:r>
      <w:r>
        <w:rPr>
          <w:rFonts w:ascii="Calibri" w:hAnsi="Calibri" w:hint="cs"/>
          <w:b/>
          <w:bCs/>
          <w:rtl/>
        </w:rPr>
        <w:t xml:space="preserve">מ"י נ' יחיאל </w:t>
      </w:r>
      <w:r>
        <w:rPr>
          <w:rFonts w:ascii="Calibri" w:hAnsi="Calibri" w:hint="cs"/>
          <w:rtl/>
        </w:rPr>
        <w:t xml:space="preserve">(מיום 31.1.12), הורשע הנאשם בעבירה של החזקת סם שלא לצריכה עצמית והסתייעות ברכב לעוון או פשע. הנאשם החזיק סם מסוג חשיש במשקל של </w:t>
      </w:r>
      <w:smartTag w:uri="urn:schemas-microsoft-com:office:smarttags" w:element="metricconverter">
        <w:smartTagPr>
          <w:attr w:name="ProductID" w:val="481 גרם"/>
        </w:smartTagPr>
        <w:r>
          <w:rPr>
            <w:rFonts w:ascii="Calibri" w:hAnsi="Calibri" w:hint="cs"/>
            <w:rtl/>
          </w:rPr>
          <w:t>481 גרם</w:t>
        </w:r>
      </w:smartTag>
      <w:r>
        <w:rPr>
          <w:rFonts w:ascii="Calibri" w:hAnsi="Calibri" w:hint="cs"/>
          <w:rtl/>
        </w:rPr>
        <w:t>, מחולק ל- 5 פלטות. הנאשם נדון ל- 4 חודשי עבודות שירות וקנס בסך 5,000 ₪.</w:t>
      </w:r>
    </w:p>
    <w:p w14:paraId="4DE3E077" w14:textId="77777777" w:rsidR="003B28A8" w:rsidRDefault="001C18F0">
      <w:pPr>
        <w:numPr>
          <w:ilvl w:val="1"/>
          <w:numId w:val="1"/>
        </w:numPr>
        <w:tabs>
          <w:tab w:val="num" w:pos="1286"/>
        </w:tabs>
        <w:spacing w:before="20" w:after="20" w:line="360" w:lineRule="auto"/>
        <w:ind w:left="1287" w:hanging="539"/>
        <w:jc w:val="both"/>
        <w:rPr>
          <w:rFonts w:ascii="Calibri" w:hAnsi="Calibri"/>
        </w:rPr>
      </w:pPr>
      <w:r>
        <w:rPr>
          <w:rFonts w:ascii="Calibri" w:hAnsi="Calibri" w:hint="cs"/>
          <w:rtl/>
        </w:rPr>
        <w:t>ב</w:t>
      </w:r>
      <w:hyperlink r:id="rId36" w:history="1">
        <w:r w:rsidRPr="001C18F0">
          <w:rPr>
            <w:rFonts w:ascii="Calibri" w:hAnsi="Calibri" w:hint="eastAsia"/>
            <w:color w:val="0000FF"/>
            <w:u w:val="single"/>
            <w:rtl/>
          </w:rPr>
          <w:t>ת</w:t>
        </w:r>
        <w:r w:rsidRPr="001C18F0">
          <w:rPr>
            <w:rFonts w:ascii="Calibri" w:hAnsi="Calibri"/>
            <w:color w:val="0000FF"/>
            <w:u w:val="single"/>
            <w:rtl/>
          </w:rPr>
          <w:t>"</w:t>
        </w:r>
        <w:r w:rsidRPr="001C18F0">
          <w:rPr>
            <w:rFonts w:ascii="Calibri" w:hAnsi="Calibri" w:hint="eastAsia"/>
            <w:color w:val="0000FF"/>
            <w:u w:val="single"/>
            <w:rtl/>
          </w:rPr>
          <w:t>פ</w:t>
        </w:r>
        <w:r w:rsidRPr="001C18F0">
          <w:rPr>
            <w:rFonts w:ascii="Calibri" w:hAnsi="Calibri"/>
            <w:color w:val="0000FF"/>
            <w:u w:val="single"/>
            <w:rtl/>
          </w:rPr>
          <w:t xml:space="preserve"> (</w:t>
        </w:r>
        <w:r w:rsidRPr="001C18F0">
          <w:rPr>
            <w:rFonts w:ascii="Calibri" w:hAnsi="Calibri" w:hint="eastAsia"/>
            <w:color w:val="0000FF"/>
            <w:u w:val="single"/>
            <w:rtl/>
          </w:rPr>
          <w:t>ב</w:t>
        </w:r>
        <w:r w:rsidRPr="001C18F0">
          <w:rPr>
            <w:rFonts w:ascii="Calibri" w:hAnsi="Calibri"/>
            <w:color w:val="0000FF"/>
            <w:u w:val="single"/>
            <w:rtl/>
          </w:rPr>
          <w:t>"</w:t>
        </w:r>
        <w:r w:rsidRPr="001C18F0">
          <w:rPr>
            <w:rFonts w:ascii="Calibri" w:hAnsi="Calibri" w:hint="eastAsia"/>
            <w:color w:val="0000FF"/>
            <w:u w:val="single"/>
            <w:rtl/>
          </w:rPr>
          <w:t>ש</w:t>
        </w:r>
        <w:r w:rsidRPr="001C18F0">
          <w:rPr>
            <w:rFonts w:ascii="Calibri" w:hAnsi="Calibri"/>
            <w:color w:val="0000FF"/>
            <w:u w:val="single"/>
            <w:rtl/>
          </w:rPr>
          <w:t>) 50987-05-13</w:t>
        </w:r>
      </w:hyperlink>
      <w:r>
        <w:rPr>
          <w:rFonts w:ascii="Calibri" w:hAnsi="Calibri" w:hint="cs"/>
          <w:rtl/>
        </w:rPr>
        <w:t xml:space="preserve"> </w:t>
      </w:r>
      <w:r>
        <w:rPr>
          <w:rFonts w:ascii="Calibri" w:hAnsi="Calibri" w:hint="cs"/>
          <w:b/>
          <w:bCs/>
          <w:rtl/>
        </w:rPr>
        <w:t>מ"י נ' בראונשטיין</w:t>
      </w:r>
      <w:r>
        <w:rPr>
          <w:rFonts w:ascii="Calibri" w:hAnsi="Calibri" w:hint="cs"/>
          <w:rtl/>
        </w:rPr>
        <w:t xml:space="preserve"> (מיום 11.7.13), הורשע הנאשם בעבירה של החזקת סם שלא לצריכה עצמית, כאשר מדובר ב- </w:t>
      </w:r>
      <w:smartTag w:uri="urn:schemas-microsoft-com:office:smarttags" w:element="metricconverter">
        <w:smartTagPr>
          <w:attr w:name="ProductID" w:val="83.5 גרם"/>
        </w:smartTagPr>
        <w:r>
          <w:rPr>
            <w:rFonts w:ascii="Calibri" w:hAnsi="Calibri" w:hint="cs"/>
            <w:rtl/>
          </w:rPr>
          <w:t>83.5 גרם</w:t>
        </w:r>
      </w:smartTag>
      <w:r>
        <w:rPr>
          <w:rFonts w:ascii="Calibri" w:hAnsi="Calibri" w:hint="cs"/>
          <w:rtl/>
        </w:rPr>
        <w:t xml:space="preserve"> של סם מסוכן מסוג חשיש. על הנאשם הוטלו 4 חודשי עבודות שירות.</w:t>
      </w:r>
    </w:p>
    <w:p w14:paraId="3A272240" w14:textId="77777777" w:rsidR="003B28A8" w:rsidRDefault="001C18F0">
      <w:pPr>
        <w:numPr>
          <w:ilvl w:val="1"/>
          <w:numId w:val="1"/>
        </w:numPr>
        <w:tabs>
          <w:tab w:val="num" w:pos="1274"/>
        </w:tabs>
        <w:spacing w:before="20" w:after="20" w:line="360" w:lineRule="auto"/>
        <w:ind w:left="1287" w:hanging="539"/>
        <w:jc w:val="both"/>
        <w:rPr>
          <w:rFonts w:ascii="Calibri" w:hAnsi="Calibri"/>
        </w:rPr>
      </w:pPr>
      <w:r>
        <w:rPr>
          <w:rFonts w:ascii="Calibri" w:hAnsi="Calibri" w:hint="cs"/>
          <w:rtl/>
        </w:rPr>
        <w:t>ב</w:t>
      </w:r>
      <w:hyperlink r:id="rId37" w:history="1">
        <w:r w:rsidRPr="001C18F0">
          <w:rPr>
            <w:rFonts w:ascii="Calibri" w:hAnsi="Calibri" w:hint="eastAsia"/>
            <w:color w:val="0000FF"/>
            <w:u w:val="single"/>
            <w:rtl/>
          </w:rPr>
          <w:t>ת</w:t>
        </w:r>
        <w:r w:rsidRPr="001C18F0">
          <w:rPr>
            <w:rFonts w:ascii="Calibri" w:hAnsi="Calibri"/>
            <w:color w:val="0000FF"/>
            <w:u w:val="single"/>
            <w:rtl/>
          </w:rPr>
          <w:t>"</w:t>
        </w:r>
        <w:r w:rsidRPr="001C18F0">
          <w:rPr>
            <w:rFonts w:ascii="Calibri" w:hAnsi="Calibri" w:hint="eastAsia"/>
            <w:color w:val="0000FF"/>
            <w:u w:val="single"/>
            <w:rtl/>
          </w:rPr>
          <w:t>פ</w:t>
        </w:r>
        <w:r w:rsidRPr="001C18F0">
          <w:rPr>
            <w:rFonts w:ascii="Calibri" w:hAnsi="Calibri"/>
            <w:color w:val="0000FF"/>
            <w:u w:val="single"/>
            <w:rtl/>
          </w:rPr>
          <w:t xml:space="preserve"> (</w:t>
        </w:r>
        <w:r w:rsidRPr="001C18F0">
          <w:rPr>
            <w:rFonts w:ascii="Calibri" w:hAnsi="Calibri" w:hint="eastAsia"/>
            <w:color w:val="0000FF"/>
            <w:u w:val="single"/>
            <w:rtl/>
          </w:rPr>
          <w:t>טב</w:t>
        </w:r>
        <w:r w:rsidRPr="001C18F0">
          <w:rPr>
            <w:rFonts w:ascii="Calibri" w:hAnsi="Calibri"/>
            <w:color w:val="0000FF"/>
            <w:u w:val="single"/>
            <w:rtl/>
          </w:rPr>
          <w:t>') 51933-05-12</w:t>
        </w:r>
      </w:hyperlink>
      <w:r>
        <w:rPr>
          <w:rFonts w:ascii="Calibri" w:hAnsi="Calibri" w:hint="cs"/>
          <w:rtl/>
        </w:rPr>
        <w:t xml:space="preserve"> </w:t>
      </w:r>
      <w:r>
        <w:rPr>
          <w:rFonts w:ascii="Calibri" w:hAnsi="Calibri" w:hint="cs"/>
          <w:b/>
          <w:bCs/>
          <w:rtl/>
        </w:rPr>
        <w:t>מ"י נ' בוטבול</w:t>
      </w:r>
      <w:r>
        <w:rPr>
          <w:rFonts w:ascii="Calibri" w:hAnsi="Calibri" w:hint="cs"/>
          <w:rtl/>
        </w:rPr>
        <w:t xml:space="preserve"> (מיום 27.3.14), הורשע נאשם בעבירה של החזקת סמים שלא לשימוש עצמי. הנאשם החזיק סם מסוג קנאבוס במשקל כולל של </w:t>
      </w:r>
      <w:smartTag w:uri="urn:schemas-microsoft-com:office:smarttags" w:element="metricconverter">
        <w:smartTagPr>
          <w:attr w:name="ProductID" w:val="254.66 גרם"/>
        </w:smartTagPr>
        <w:r>
          <w:rPr>
            <w:rFonts w:ascii="Calibri" w:hAnsi="Calibri" w:hint="cs"/>
            <w:rtl/>
          </w:rPr>
          <w:t>254.66 גרם</w:t>
        </w:r>
      </w:smartTag>
      <w:r>
        <w:rPr>
          <w:rFonts w:ascii="Calibri" w:hAnsi="Calibri" w:hint="cs"/>
          <w:rtl/>
        </w:rPr>
        <w:t xml:space="preserve"> נטו. הנאשם צעיר, ללא עבר פלילי, סובל ממצב רפואי קשה. נידון לחודשיים עבודות שירות ועונשים נלווים.  </w:t>
      </w:r>
    </w:p>
    <w:p w14:paraId="0A59D61B" w14:textId="77777777" w:rsidR="003B28A8" w:rsidRDefault="001C18F0">
      <w:pPr>
        <w:numPr>
          <w:ilvl w:val="1"/>
          <w:numId w:val="1"/>
        </w:numPr>
        <w:tabs>
          <w:tab w:val="num" w:pos="1274"/>
        </w:tabs>
        <w:spacing w:before="20" w:after="20" w:line="360" w:lineRule="auto"/>
        <w:ind w:left="1287" w:hanging="539"/>
        <w:jc w:val="both"/>
        <w:rPr>
          <w:rFonts w:ascii="Calibri" w:hAnsi="Calibri"/>
        </w:rPr>
      </w:pPr>
      <w:r>
        <w:rPr>
          <w:rFonts w:hint="cs"/>
          <w:rtl/>
        </w:rPr>
        <w:t>ב</w:t>
      </w:r>
      <w:hyperlink r:id="rId38" w:history="1">
        <w:r w:rsidRPr="001C18F0">
          <w:rPr>
            <w:rFonts w:ascii="Calibri" w:hAnsi="Calibri" w:hint="eastAsia"/>
            <w:color w:val="0000FF"/>
            <w:u w:val="single"/>
            <w:rtl/>
          </w:rPr>
          <w:t>ת</w:t>
        </w:r>
        <w:r w:rsidRPr="001C18F0">
          <w:rPr>
            <w:rFonts w:ascii="Calibri" w:hAnsi="Calibri"/>
            <w:color w:val="0000FF"/>
            <w:u w:val="single"/>
            <w:rtl/>
          </w:rPr>
          <w:t>"</w:t>
        </w:r>
        <w:r w:rsidRPr="001C18F0">
          <w:rPr>
            <w:rFonts w:ascii="Calibri" w:hAnsi="Calibri" w:hint="eastAsia"/>
            <w:color w:val="0000FF"/>
            <w:u w:val="single"/>
            <w:rtl/>
          </w:rPr>
          <w:t>פ</w:t>
        </w:r>
        <w:r w:rsidRPr="001C18F0">
          <w:rPr>
            <w:rFonts w:ascii="Calibri" w:hAnsi="Calibri"/>
            <w:color w:val="0000FF"/>
            <w:u w:val="single"/>
            <w:rtl/>
          </w:rPr>
          <w:t xml:space="preserve"> (</w:t>
        </w:r>
        <w:r w:rsidRPr="001C18F0">
          <w:rPr>
            <w:rFonts w:ascii="Calibri" w:hAnsi="Calibri" w:hint="eastAsia"/>
            <w:color w:val="0000FF"/>
            <w:u w:val="single"/>
            <w:rtl/>
          </w:rPr>
          <w:t>רח</w:t>
        </w:r>
        <w:r w:rsidRPr="001C18F0">
          <w:rPr>
            <w:rFonts w:ascii="Calibri" w:hAnsi="Calibri"/>
            <w:color w:val="0000FF"/>
            <w:u w:val="single"/>
            <w:rtl/>
          </w:rPr>
          <w:t>') 49176-03-13</w:t>
        </w:r>
      </w:hyperlink>
      <w:r>
        <w:rPr>
          <w:rFonts w:ascii="Calibri" w:hAnsi="Calibri" w:hint="cs"/>
          <w:rtl/>
        </w:rPr>
        <w:t xml:space="preserve"> </w:t>
      </w:r>
      <w:r>
        <w:rPr>
          <w:rFonts w:ascii="Calibri" w:hAnsi="Calibri" w:hint="cs"/>
          <w:b/>
          <w:bCs/>
          <w:rtl/>
        </w:rPr>
        <w:t>מ"י נ' בן שימול</w:t>
      </w:r>
      <w:r>
        <w:rPr>
          <w:rFonts w:ascii="Calibri" w:hAnsi="Calibri" w:hint="cs"/>
          <w:rtl/>
        </w:rPr>
        <w:t xml:space="preserve"> (מיום 3.3.14), הורשע נאשם בעבירת של החזקת סמים שלא לצריכה עצמית והחזקת כלים. הנאשם החזיק בביתו בסם מסוג חשיש במשקל כולל של </w:t>
      </w:r>
      <w:smartTag w:uri="urn:schemas-microsoft-com:office:smarttags" w:element="metricconverter">
        <w:smartTagPr>
          <w:attr w:name="ProductID" w:val="26 גרם"/>
        </w:smartTagPr>
        <w:r>
          <w:rPr>
            <w:rFonts w:ascii="Calibri" w:hAnsi="Calibri" w:hint="cs"/>
            <w:rtl/>
          </w:rPr>
          <w:t>26 גרם</w:t>
        </w:r>
      </w:smartTag>
      <w:r>
        <w:rPr>
          <w:rFonts w:ascii="Calibri" w:hAnsi="Calibri" w:hint="cs"/>
          <w:rtl/>
        </w:rPr>
        <w:t xml:space="preserve"> מחולק ל- 7 יחידות. מדובר בעבירה ישנה אשר בטעות לא צורפה לתיקים אחרים בגינם נשפט הנאשם בעבר. נידון למאסר על תנאי ועונשים נלווים.  </w:t>
      </w:r>
    </w:p>
    <w:p w14:paraId="33779004" w14:textId="77777777" w:rsidR="003B28A8" w:rsidRDefault="003B28A8">
      <w:pPr>
        <w:spacing w:before="20" w:after="20" w:line="360" w:lineRule="auto"/>
        <w:ind w:left="720"/>
        <w:jc w:val="both"/>
        <w:rPr>
          <w:rFonts w:ascii="Times New Roman" w:hAnsi="Times New Roman"/>
        </w:rPr>
      </w:pPr>
    </w:p>
    <w:p w14:paraId="0CDCCADD" w14:textId="77777777" w:rsidR="003B28A8" w:rsidRDefault="001C18F0">
      <w:pPr>
        <w:spacing w:before="20" w:after="20" w:line="360" w:lineRule="auto"/>
        <w:ind w:left="720" w:hanging="720"/>
        <w:jc w:val="both"/>
        <w:rPr>
          <w:b/>
          <w:bCs/>
          <w:rtl/>
        </w:rPr>
      </w:pPr>
      <w:r>
        <w:rPr>
          <w:rFonts w:hint="cs"/>
          <w:rtl/>
        </w:rPr>
        <w:t>12.</w:t>
      </w:r>
      <w:r>
        <w:rPr>
          <w:rFonts w:hint="cs"/>
          <w:rtl/>
        </w:rPr>
        <w:tab/>
      </w:r>
      <w:r>
        <w:rPr>
          <w:rFonts w:hint="cs"/>
          <w:b/>
          <w:bCs/>
          <w:rtl/>
        </w:rPr>
        <w:t xml:space="preserve">מכל המפורט, אני קובעת כי מתחם העונש ההולם, בנסיבות העניין, הינו החל ממאסר קצר לריצוי בעבודות שירות ועד ל-12 חודשי מאסר בפועל, מאסר על תנאי וקנס.  </w:t>
      </w:r>
    </w:p>
    <w:p w14:paraId="0D5F38DC" w14:textId="77777777" w:rsidR="003B28A8" w:rsidRDefault="003B28A8">
      <w:pPr>
        <w:spacing w:before="20" w:after="20" w:line="360" w:lineRule="auto"/>
        <w:ind w:left="720" w:hanging="720"/>
        <w:jc w:val="both"/>
        <w:rPr>
          <w:b/>
          <w:bCs/>
          <w:rtl/>
        </w:rPr>
      </w:pPr>
    </w:p>
    <w:p w14:paraId="191508B8" w14:textId="77777777" w:rsidR="003B28A8" w:rsidRDefault="001C18F0">
      <w:pPr>
        <w:spacing w:before="20" w:after="20" w:line="360" w:lineRule="auto"/>
        <w:jc w:val="both"/>
        <w:rPr>
          <w:b/>
          <w:bCs/>
          <w:u w:val="single"/>
          <w:rtl/>
        </w:rPr>
      </w:pPr>
      <w:r>
        <w:rPr>
          <w:rFonts w:hint="cs"/>
          <w:b/>
          <w:bCs/>
          <w:u w:val="single"/>
          <w:rtl/>
        </w:rPr>
        <w:t>חריגה ממתחם העונש הראוי</w:t>
      </w:r>
    </w:p>
    <w:p w14:paraId="56FC488B" w14:textId="77777777" w:rsidR="003B28A8" w:rsidRDefault="003B28A8">
      <w:pPr>
        <w:spacing w:before="20" w:after="20" w:line="360" w:lineRule="auto"/>
        <w:jc w:val="both"/>
        <w:rPr>
          <w:rtl/>
        </w:rPr>
      </w:pPr>
    </w:p>
    <w:p w14:paraId="2777E433" w14:textId="77777777" w:rsidR="003B28A8" w:rsidRDefault="001C18F0">
      <w:pPr>
        <w:spacing w:before="20" w:after="20" w:line="360" w:lineRule="auto"/>
        <w:ind w:left="720" w:hanging="720"/>
        <w:jc w:val="both"/>
        <w:rPr>
          <w:rtl/>
        </w:rPr>
      </w:pPr>
      <w:r>
        <w:rPr>
          <w:rFonts w:hint="cs"/>
          <w:rtl/>
        </w:rPr>
        <w:t>13.</w:t>
      </w:r>
      <w:r>
        <w:rPr>
          <w:rFonts w:hint="cs"/>
          <w:rtl/>
        </w:rPr>
        <w:tab/>
      </w:r>
      <w:hyperlink r:id="rId39" w:history="1">
        <w:r w:rsidR="007407B3" w:rsidRPr="007407B3">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3D7A3AFD" w14:textId="77777777" w:rsidR="003B28A8" w:rsidRDefault="001C18F0">
      <w:pPr>
        <w:spacing w:before="20" w:after="20" w:line="360" w:lineRule="auto"/>
        <w:ind w:left="720" w:hanging="720"/>
        <w:jc w:val="both"/>
        <w:rPr>
          <w:rtl/>
        </w:rPr>
      </w:pPr>
      <w:r>
        <w:rPr>
          <w:rFonts w:hint="cs"/>
          <w:rtl/>
        </w:rPr>
        <w:tab/>
        <w:t xml:space="preserve">במקרה שבפניי מדובר בנאשם שהשתקם, שיתף פעולה באופן מלא עם שירות המבחן, השתלב בטיפול ומסר בדיקות שתן נקיות משרידי סמים, כך שיש מקום לחריגה ממתחם העונש ההולם על ידי השתת עונש צופה פני עתיד כעתירת המאשימה. אך אין בשיקולי שיקום אלו על מנת להביא לאימוץ המלצת שירות המבחן שאינה סבירה בנסיבות העניין. </w:t>
      </w:r>
    </w:p>
    <w:p w14:paraId="1535DA2C" w14:textId="77777777" w:rsidR="003B28A8" w:rsidRDefault="003B28A8">
      <w:pPr>
        <w:spacing w:before="20" w:after="20" w:line="360" w:lineRule="auto"/>
        <w:jc w:val="both"/>
        <w:rPr>
          <w:rtl/>
        </w:rPr>
      </w:pPr>
    </w:p>
    <w:p w14:paraId="4DFF90CB" w14:textId="77777777" w:rsidR="003B28A8" w:rsidRDefault="001C18F0">
      <w:pPr>
        <w:spacing w:before="20" w:after="20" w:line="360" w:lineRule="auto"/>
        <w:jc w:val="both"/>
        <w:rPr>
          <w:b/>
          <w:bCs/>
          <w:u w:val="single"/>
          <w:rtl/>
        </w:rPr>
      </w:pPr>
      <w:r>
        <w:rPr>
          <w:rFonts w:hint="cs"/>
          <w:b/>
          <w:bCs/>
          <w:u w:val="single"/>
          <w:rtl/>
        </w:rPr>
        <w:t>נסיבות הקשורות בביצוע העבירה</w:t>
      </w:r>
    </w:p>
    <w:p w14:paraId="6062882C" w14:textId="77777777" w:rsidR="003B28A8" w:rsidRDefault="003B28A8">
      <w:pPr>
        <w:spacing w:before="20" w:after="20" w:line="360" w:lineRule="auto"/>
        <w:jc w:val="both"/>
        <w:rPr>
          <w:rtl/>
        </w:rPr>
      </w:pPr>
    </w:p>
    <w:p w14:paraId="3F0EE450" w14:textId="77777777" w:rsidR="003B28A8" w:rsidRDefault="001C18F0">
      <w:pPr>
        <w:spacing w:before="20" w:after="20" w:line="360" w:lineRule="auto"/>
        <w:jc w:val="both"/>
        <w:rPr>
          <w:rtl/>
        </w:rPr>
      </w:pPr>
      <w:r>
        <w:rPr>
          <w:rFonts w:hint="cs"/>
          <w:rtl/>
        </w:rPr>
        <w:t>14.</w:t>
      </w:r>
      <w:r>
        <w:rPr>
          <w:rFonts w:hint="cs"/>
          <w:rtl/>
        </w:rPr>
        <w:tab/>
        <w:t>במסגרת הנסיבות הקשורות לביצוע העבירה יש לקחת בחשבון את קיום הנסיבות הבאות:</w:t>
      </w:r>
    </w:p>
    <w:p w14:paraId="3959B338" w14:textId="77777777" w:rsidR="003B28A8" w:rsidRDefault="001C18F0">
      <w:pPr>
        <w:spacing w:before="20" w:after="20" w:line="360" w:lineRule="auto"/>
        <w:ind w:left="720"/>
        <w:jc w:val="both"/>
        <w:rPr>
          <w:rtl/>
        </w:rPr>
      </w:pPr>
      <w:r>
        <w:rPr>
          <w:rFonts w:hint="cs"/>
          <w:b/>
          <w:bCs/>
          <w:rtl/>
        </w:rPr>
        <w:t xml:space="preserve">התכנון שקדם לביצוע העבירה; </w:t>
      </w:r>
      <w:r>
        <w:rPr>
          <w:rFonts w:hint="cs"/>
          <w:rtl/>
        </w:rPr>
        <w:t>הנאשם החזיק כמות גדול של סמים משלושה סוגים הן בביתו והן ברכבו. לא נטענו בפניי נסיבות מיוחדות המצביעות על תכנון מיוחד מצד הנאשם.</w:t>
      </w:r>
    </w:p>
    <w:p w14:paraId="413D433C" w14:textId="77777777" w:rsidR="003B28A8" w:rsidRDefault="001C18F0">
      <w:pPr>
        <w:spacing w:before="20" w:after="20" w:line="360" w:lineRule="auto"/>
        <w:ind w:left="720"/>
        <w:jc w:val="both"/>
        <w:rPr>
          <w:rtl/>
        </w:rPr>
      </w:pPr>
      <w:r>
        <w:rPr>
          <w:rFonts w:hint="cs"/>
          <w:b/>
          <w:bCs/>
          <w:rtl/>
        </w:rPr>
        <w:t xml:space="preserve">חלקו היחסי של הנאשם בביצוע העבירה; </w:t>
      </w:r>
      <w:r>
        <w:rPr>
          <w:rFonts w:hint="cs"/>
          <w:rtl/>
        </w:rPr>
        <w:t>הינו עיקרי ובלעדי.</w:t>
      </w:r>
    </w:p>
    <w:p w14:paraId="6649311B" w14:textId="77777777" w:rsidR="003B28A8" w:rsidRDefault="001C18F0">
      <w:pPr>
        <w:spacing w:before="20" w:after="20" w:line="360" w:lineRule="auto"/>
        <w:ind w:left="720"/>
        <w:jc w:val="both"/>
        <w:rPr>
          <w:rtl/>
        </w:rPr>
      </w:pPr>
      <w:r>
        <w:rPr>
          <w:rFonts w:hint="cs"/>
          <w:b/>
          <w:bCs/>
          <w:rtl/>
        </w:rPr>
        <w:t xml:space="preserve">הנזקים </w:t>
      </w:r>
      <w:r>
        <w:rPr>
          <w:rFonts w:hint="cs"/>
          <w:rtl/>
        </w:rPr>
        <w:t>של השימוש בסמים הינם פיזיים ונפשיים ופוגעים בשלום ובטחון החברה בכללותה ובפרט במשתמשים ובאנשים שבקרבתם.</w:t>
      </w:r>
    </w:p>
    <w:p w14:paraId="20EDD09F" w14:textId="77777777" w:rsidR="003B28A8" w:rsidRDefault="001C18F0">
      <w:pPr>
        <w:spacing w:before="20" w:after="20" w:line="360" w:lineRule="auto"/>
        <w:ind w:left="720"/>
        <w:jc w:val="both"/>
        <w:rPr>
          <w:rtl/>
        </w:rPr>
      </w:pPr>
      <w:r>
        <w:rPr>
          <w:rFonts w:hint="cs"/>
          <w:b/>
          <w:bCs/>
          <w:rtl/>
        </w:rPr>
        <w:t xml:space="preserve">הסיבות שהביאו את הנאשם לבצע את העבירה; </w:t>
      </w:r>
      <w:r>
        <w:rPr>
          <w:rFonts w:hint="cs"/>
          <w:rtl/>
        </w:rPr>
        <w:t>הינן מצוקותיו שפורטו לעיל, גישוריו ופטירת אמו, עמן התקשה להתמודד.</w:t>
      </w:r>
    </w:p>
    <w:p w14:paraId="5E69283F" w14:textId="77777777" w:rsidR="003B28A8" w:rsidRDefault="001C18F0">
      <w:pPr>
        <w:spacing w:before="20" w:after="20" w:line="360" w:lineRule="auto"/>
        <w:ind w:left="720"/>
        <w:jc w:val="both"/>
        <w:rPr>
          <w:b/>
          <w:bCs/>
          <w:rtl/>
        </w:rPr>
      </w:pPr>
      <w:r>
        <w:rPr>
          <w:rFonts w:hint="cs"/>
          <w:rtl/>
        </w:rPr>
        <w:t>לא נגרעה</w:t>
      </w:r>
      <w:r>
        <w:rPr>
          <w:rFonts w:hint="cs"/>
          <w:b/>
          <w:bCs/>
          <w:rtl/>
        </w:rPr>
        <w:t xml:space="preserve"> יכולתו של הנאשם להבין את אשר הוא עושה, את הפסול שבמעשהו או את משמעות מעשהו, הוא אינו קרוב לסייג לאחריות הפלילית והיה יכול להימנע מהמעשה עליו הייתה לו שליטה מלאה. </w:t>
      </w:r>
    </w:p>
    <w:p w14:paraId="0339D37B" w14:textId="77777777" w:rsidR="003B28A8" w:rsidRDefault="001C18F0">
      <w:pPr>
        <w:spacing w:before="20" w:after="20" w:line="360" w:lineRule="auto"/>
        <w:jc w:val="both"/>
        <w:rPr>
          <w:rtl/>
        </w:rPr>
      </w:pPr>
      <w:r>
        <w:rPr>
          <w:rFonts w:hint="cs"/>
          <w:rtl/>
        </w:rPr>
        <w:tab/>
      </w:r>
      <w:r>
        <w:rPr>
          <w:rFonts w:hint="cs"/>
          <w:rtl/>
        </w:rPr>
        <w:tab/>
      </w:r>
      <w:r>
        <w:rPr>
          <w:rFonts w:hint="cs"/>
          <w:rtl/>
        </w:rPr>
        <w:tab/>
      </w:r>
    </w:p>
    <w:p w14:paraId="5C72B9F3" w14:textId="77777777" w:rsidR="003B28A8" w:rsidRDefault="001C18F0">
      <w:pPr>
        <w:spacing w:before="20" w:after="20" w:line="360" w:lineRule="auto"/>
        <w:jc w:val="both"/>
        <w:rPr>
          <w:b/>
          <w:bCs/>
          <w:u w:val="single"/>
          <w:rtl/>
        </w:rPr>
      </w:pPr>
      <w:r>
        <w:rPr>
          <w:rFonts w:hint="cs"/>
          <w:b/>
          <w:bCs/>
          <w:u w:val="single"/>
          <w:rtl/>
        </w:rPr>
        <w:t>נסיבות שאינן קשורות בביצוע העבירה</w:t>
      </w:r>
    </w:p>
    <w:p w14:paraId="385475D3" w14:textId="77777777" w:rsidR="003B28A8" w:rsidRDefault="003B28A8">
      <w:pPr>
        <w:spacing w:before="20" w:after="20" w:line="360" w:lineRule="auto"/>
        <w:jc w:val="both"/>
        <w:rPr>
          <w:rtl/>
        </w:rPr>
      </w:pPr>
    </w:p>
    <w:p w14:paraId="1B38E244" w14:textId="77777777" w:rsidR="003B28A8" w:rsidRDefault="001C18F0">
      <w:pPr>
        <w:spacing w:before="20" w:after="20" w:line="360" w:lineRule="auto"/>
        <w:ind w:left="720" w:hanging="720"/>
        <w:jc w:val="both"/>
        <w:rPr>
          <w:rtl/>
        </w:rPr>
      </w:pPr>
      <w:r>
        <w:rPr>
          <w:rFonts w:hint="cs"/>
          <w:rtl/>
        </w:rPr>
        <w:t>15.</w:t>
      </w:r>
      <w:r>
        <w:rPr>
          <w:rFonts w:hint="cs"/>
          <w:rtl/>
        </w:rPr>
        <w:tab/>
        <w:t xml:space="preserve">כמצווה על בית המשפט </w:t>
      </w:r>
      <w:hyperlink r:id="rId40" w:history="1">
        <w:r w:rsidR="007407B3" w:rsidRPr="007407B3">
          <w:rPr>
            <w:color w:val="0000FF"/>
            <w:u w:val="single"/>
            <w:rtl/>
          </w:rPr>
          <w:t>בסעיף 40יא</w:t>
        </w:r>
      </w:hyperlink>
      <w:r>
        <w:rPr>
          <w:rFonts w:hint="cs"/>
          <w:rtl/>
        </w:rPr>
        <w:t xml:space="preserve"> בחוק יש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704D1089" w14:textId="77777777" w:rsidR="003B28A8" w:rsidRDefault="001C18F0">
      <w:pPr>
        <w:spacing w:before="20" w:after="20" w:line="360" w:lineRule="auto"/>
        <w:ind w:left="720"/>
        <w:jc w:val="both"/>
        <w:rPr>
          <w:rtl/>
        </w:rPr>
      </w:pPr>
      <w:r>
        <w:rPr>
          <w:rFonts w:hint="cs"/>
          <w:b/>
          <w:bCs/>
          <w:rtl/>
        </w:rPr>
        <w:t xml:space="preserve">הפגיעה של העונש בנאשם, לרבות בשל גילו; </w:t>
      </w:r>
      <w:r>
        <w:rPr>
          <w:rFonts w:hint="cs"/>
          <w:rtl/>
        </w:rPr>
        <w:t>מדובר בנאשם צעיר בן 30, נעדר עבר פלילי, אך העונש אליו עתרה המאשימה לא יפגע בנאשם או במשפחתו משמדובר בעונש שאינו מאסר בפועל אלא ענישה צופה פני עתיד.</w:t>
      </w:r>
    </w:p>
    <w:p w14:paraId="57803CB2" w14:textId="77777777" w:rsidR="003B28A8" w:rsidRDefault="001C18F0">
      <w:pPr>
        <w:spacing w:before="20" w:after="20" w:line="360" w:lineRule="auto"/>
        <w:ind w:left="720"/>
        <w:jc w:val="both"/>
        <w:rPr>
          <w:rtl/>
        </w:rPr>
      </w:pPr>
      <w:r>
        <w:rPr>
          <w:rFonts w:hint="cs"/>
          <w:b/>
          <w:bCs/>
          <w:rtl/>
        </w:rPr>
        <w:t xml:space="preserve">הנזקים שנגרמו לנאשם מביצוע העבירה ומהרשעתו; </w:t>
      </w:r>
      <w:r>
        <w:rPr>
          <w:rFonts w:hint="cs"/>
          <w:rtl/>
        </w:rPr>
        <w:t>נטען על ידי ההגנה כי עלול להיגרם לנאשם נזק תעסוקתי מעצם הרשעתו.</w:t>
      </w:r>
    </w:p>
    <w:p w14:paraId="6DA56C47" w14:textId="77777777" w:rsidR="003B28A8" w:rsidRDefault="001C18F0">
      <w:pPr>
        <w:spacing w:before="20" w:after="20" w:line="360" w:lineRule="auto"/>
        <w:ind w:left="720"/>
        <w:jc w:val="both"/>
        <w:rPr>
          <w:rtl/>
        </w:rPr>
      </w:pPr>
      <w:r>
        <w:rPr>
          <w:rFonts w:hint="cs"/>
          <w:b/>
          <w:bCs/>
          <w:rtl/>
        </w:rPr>
        <w:t xml:space="preserve">נטילת האחריות של הנאשם על מעשיו, וחזרתו למוטב או מאמציו לחזור למוטב; </w:t>
      </w:r>
      <w:r>
        <w:rPr>
          <w:rFonts w:hint="cs"/>
          <w:rtl/>
        </w:rPr>
        <w:t>הנאשם נטל אחריות מלאה על מעשיו, הוא פסע בדרכי שיקום ובסופו של יום נגמל מסמים וחזר למוטב.</w:t>
      </w:r>
    </w:p>
    <w:p w14:paraId="7E37C40B" w14:textId="77777777" w:rsidR="003B28A8" w:rsidRDefault="001C18F0">
      <w:pPr>
        <w:spacing w:before="20" w:after="20" w:line="360" w:lineRule="auto"/>
        <w:ind w:left="720"/>
        <w:jc w:val="both"/>
        <w:rPr>
          <w:rtl/>
        </w:rPr>
      </w:pPr>
      <w:r>
        <w:rPr>
          <w:rFonts w:hint="cs"/>
          <w:b/>
          <w:bCs/>
          <w:rtl/>
        </w:rPr>
        <w:t xml:space="preserve">שיתוף הפעולה של הנאשם עם רשויות אכיפת החוק; </w:t>
      </w:r>
      <w:r>
        <w:rPr>
          <w:rFonts w:hint="cs"/>
          <w:rtl/>
        </w:rPr>
        <w:t>הנאשם שיתף פעולה באופן מלא, הוא הודה בחקירתו במשטרה וכן שיתף פעולה עם שירות המבחן.</w:t>
      </w:r>
    </w:p>
    <w:p w14:paraId="3C68DBB3" w14:textId="77777777" w:rsidR="003B28A8" w:rsidRDefault="001C18F0">
      <w:pPr>
        <w:spacing w:before="20" w:after="20" w:line="360" w:lineRule="auto"/>
        <w:ind w:left="720"/>
        <w:jc w:val="both"/>
        <w:rPr>
          <w:rtl/>
        </w:rPr>
      </w:pPr>
      <w:r>
        <w:rPr>
          <w:rFonts w:hint="cs"/>
          <w:b/>
          <w:bCs/>
          <w:rtl/>
        </w:rPr>
        <w:t xml:space="preserve">נסיבות חיים קשות של הנאשם שהיתה להן השפעה על ביצוע מעשה העבירה; </w:t>
      </w:r>
      <w:r>
        <w:rPr>
          <w:rFonts w:hint="cs"/>
          <w:rtl/>
        </w:rPr>
        <w:t>נסיבות אלו פורטו בהרחבה בתסקיר שירות המבחן וכן על ידי ההגנה.</w:t>
      </w:r>
    </w:p>
    <w:p w14:paraId="1DC125B1" w14:textId="77777777" w:rsidR="003B28A8" w:rsidRDefault="003B28A8">
      <w:pPr>
        <w:spacing w:before="20" w:after="20" w:line="360" w:lineRule="auto"/>
        <w:jc w:val="both"/>
        <w:rPr>
          <w:rtl/>
        </w:rPr>
      </w:pPr>
    </w:p>
    <w:p w14:paraId="15CFAB9B" w14:textId="77777777" w:rsidR="003B28A8" w:rsidRDefault="001C18F0">
      <w:pPr>
        <w:spacing w:before="20" w:after="20" w:line="360" w:lineRule="auto"/>
        <w:jc w:val="both"/>
        <w:rPr>
          <w:rtl/>
        </w:rPr>
      </w:pPr>
      <w:r>
        <w:rPr>
          <w:rFonts w:hint="cs"/>
          <w:rtl/>
        </w:rPr>
        <w:t>16.</w:t>
      </w:r>
      <w:r>
        <w:rPr>
          <w:rFonts w:hint="cs"/>
          <w:rtl/>
        </w:rPr>
        <w:tab/>
        <w:t>לאור האמור לעיל הנני משיתה על הנאשם את העונשים הבאים:</w:t>
      </w:r>
    </w:p>
    <w:p w14:paraId="5AF7048A" w14:textId="77777777" w:rsidR="003B28A8" w:rsidRDefault="003B28A8">
      <w:pPr>
        <w:spacing w:before="20" w:after="20" w:line="360" w:lineRule="auto"/>
        <w:jc w:val="both"/>
        <w:rPr>
          <w:rtl/>
        </w:rPr>
      </w:pPr>
    </w:p>
    <w:p w14:paraId="51761AEB" w14:textId="77777777" w:rsidR="003B28A8" w:rsidRDefault="001C18F0">
      <w:pPr>
        <w:numPr>
          <w:ilvl w:val="0"/>
          <w:numId w:val="2"/>
        </w:numPr>
        <w:spacing w:before="20" w:after="20" w:line="360" w:lineRule="auto"/>
        <w:jc w:val="both"/>
        <w:rPr>
          <w:rtl/>
        </w:rPr>
      </w:pPr>
      <w:r>
        <w:rPr>
          <w:rFonts w:hint="cs"/>
          <w:rtl/>
        </w:rPr>
        <w:t>מאסר על תנאי למשך  6 חודשים והנאשם לא יישא עונש זה אלא אם יעבור בתוך 3 שנים מהיום עבירה על פקודת הסמים.</w:t>
      </w:r>
      <w:r>
        <w:rPr>
          <w:rFonts w:hint="cs"/>
          <w:rtl/>
        </w:rPr>
        <w:tab/>
      </w:r>
    </w:p>
    <w:p w14:paraId="3AF37BB8" w14:textId="77777777" w:rsidR="003B28A8" w:rsidRDefault="003B28A8">
      <w:pPr>
        <w:spacing w:before="20" w:after="20" w:line="360" w:lineRule="auto"/>
        <w:jc w:val="both"/>
        <w:rPr>
          <w:rtl/>
        </w:rPr>
      </w:pPr>
    </w:p>
    <w:p w14:paraId="29DE0D39" w14:textId="77777777" w:rsidR="003B28A8" w:rsidRDefault="001C18F0">
      <w:pPr>
        <w:numPr>
          <w:ilvl w:val="0"/>
          <w:numId w:val="2"/>
        </w:numPr>
        <w:spacing w:before="20" w:after="20" w:line="360" w:lineRule="auto"/>
        <w:jc w:val="both"/>
        <w:rPr>
          <w:rtl/>
        </w:rPr>
      </w:pPr>
      <w:r>
        <w:rPr>
          <w:rFonts w:hint="cs"/>
          <w:rtl/>
        </w:rPr>
        <w:t>צו של"צ – בהיקף של 120 שעות במרכז לבטיחות בדרכים בנתניה, בעבודות כלליות ובהדרכה, כפי התוכנית שהוכנה על ידי שירות המבחן.</w:t>
      </w:r>
    </w:p>
    <w:p w14:paraId="46AE1335" w14:textId="77777777" w:rsidR="003B28A8" w:rsidRDefault="001C18F0">
      <w:pPr>
        <w:spacing w:before="20" w:after="20" w:line="360" w:lineRule="auto"/>
        <w:jc w:val="both"/>
        <w:rPr>
          <w:rtl/>
        </w:rPr>
      </w:pPr>
      <w:r>
        <w:rPr>
          <w:rFonts w:hint="cs"/>
          <w:rtl/>
        </w:rPr>
        <w:tab/>
      </w:r>
      <w:r>
        <w:rPr>
          <w:rFonts w:hint="cs"/>
          <w:rtl/>
        </w:rPr>
        <w:tab/>
      </w:r>
    </w:p>
    <w:p w14:paraId="1F23A761" w14:textId="77777777" w:rsidR="003B28A8" w:rsidRDefault="001C18F0">
      <w:pPr>
        <w:numPr>
          <w:ilvl w:val="0"/>
          <w:numId w:val="2"/>
        </w:numPr>
        <w:spacing w:before="20" w:after="20" w:line="360" w:lineRule="auto"/>
        <w:jc w:val="both"/>
        <w:rPr>
          <w:rtl/>
        </w:rPr>
      </w:pPr>
      <w:r>
        <w:rPr>
          <w:rFonts w:hint="cs"/>
          <w:rtl/>
        </w:rPr>
        <w:t>הנאשם יעמוד בפיקוח שירות המבחן למשך 12 חודשים מהיום.</w:t>
      </w:r>
    </w:p>
    <w:p w14:paraId="35D906E3" w14:textId="77777777" w:rsidR="003B28A8" w:rsidRDefault="001C18F0">
      <w:pPr>
        <w:spacing w:before="20" w:after="20" w:line="360" w:lineRule="auto"/>
        <w:ind w:left="1080"/>
        <w:jc w:val="both"/>
        <w:rPr>
          <w:rtl/>
        </w:rPr>
      </w:pPr>
      <w:r>
        <w:rPr>
          <w:rFonts w:hint="cs"/>
          <w:rtl/>
        </w:rPr>
        <w:t xml:space="preserve">הוסבר לנאשם כי אם לא יעמוד בתנאי צווי השל"צ והמבחן, ניתן יהיה להחזירו לביהמ"ש ולהוסיף על עונשו. </w:t>
      </w:r>
    </w:p>
    <w:p w14:paraId="61E9F35A" w14:textId="77777777" w:rsidR="003B28A8" w:rsidRDefault="003B28A8">
      <w:pPr>
        <w:spacing w:before="20" w:after="20" w:line="360" w:lineRule="auto"/>
        <w:jc w:val="both"/>
        <w:rPr>
          <w:rtl/>
        </w:rPr>
      </w:pPr>
    </w:p>
    <w:p w14:paraId="6729A912" w14:textId="77777777" w:rsidR="003B28A8" w:rsidRDefault="001C18F0">
      <w:pPr>
        <w:numPr>
          <w:ilvl w:val="0"/>
          <w:numId w:val="2"/>
        </w:numPr>
        <w:spacing w:before="20" w:after="20" w:line="360" w:lineRule="auto"/>
        <w:jc w:val="both"/>
        <w:rPr>
          <w:rtl/>
        </w:rPr>
      </w:pPr>
      <w:r>
        <w:rPr>
          <w:rFonts w:hint="cs"/>
          <w:rtl/>
        </w:rPr>
        <w:t>קנס כספי בסך 2000 ₪ או 20 ימי מאסר תמורתו.</w:t>
      </w:r>
    </w:p>
    <w:p w14:paraId="44480E86" w14:textId="77777777" w:rsidR="003B28A8" w:rsidRDefault="001C18F0">
      <w:pPr>
        <w:spacing w:before="20" w:after="20" w:line="360" w:lineRule="auto"/>
        <w:jc w:val="both"/>
        <w:rPr>
          <w:rtl/>
        </w:rPr>
      </w:pPr>
      <w:r>
        <w:rPr>
          <w:rFonts w:hint="cs"/>
          <w:rtl/>
        </w:rPr>
        <w:tab/>
      </w:r>
    </w:p>
    <w:p w14:paraId="1B62159B" w14:textId="77777777" w:rsidR="003B28A8" w:rsidRDefault="001C18F0">
      <w:pPr>
        <w:spacing w:before="20" w:after="20" w:line="360" w:lineRule="auto"/>
        <w:ind w:left="360" w:firstLine="720"/>
        <w:jc w:val="both"/>
        <w:rPr>
          <w:rtl/>
        </w:rPr>
      </w:pPr>
      <w:r>
        <w:rPr>
          <w:rFonts w:hint="cs"/>
          <w:rtl/>
        </w:rPr>
        <w:t xml:space="preserve">הקנס ישולם מתוך ההפקדה בתיק </w:t>
      </w:r>
      <w:hyperlink r:id="rId41" w:history="1">
        <w:r w:rsidRPr="001C18F0">
          <w:rPr>
            <w:color w:val="0000FF"/>
            <w:u w:val="single"/>
            <w:rtl/>
          </w:rPr>
          <w:t>מ"ת 53971-11-14</w:t>
        </w:r>
      </w:hyperlink>
      <w:r>
        <w:rPr>
          <w:rFonts w:hint="cs"/>
          <w:rtl/>
        </w:rPr>
        <w:t xml:space="preserve"> .</w:t>
      </w:r>
    </w:p>
    <w:p w14:paraId="1CE39681" w14:textId="77777777" w:rsidR="003B28A8" w:rsidRDefault="003B28A8">
      <w:pPr>
        <w:spacing w:before="20" w:after="20" w:line="360" w:lineRule="auto"/>
        <w:jc w:val="both"/>
        <w:rPr>
          <w:rtl/>
        </w:rPr>
      </w:pPr>
    </w:p>
    <w:p w14:paraId="6211995E" w14:textId="77777777" w:rsidR="003B28A8" w:rsidRDefault="001C18F0">
      <w:pPr>
        <w:spacing w:before="20" w:after="20" w:line="360" w:lineRule="auto"/>
        <w:jc w:val="both"/>
        <w:rPr>
          <w:b/>
          <w:bCs/>
          <w:rtl/>
        </w:rPr>
      </w:pPr>
      <w:r>
        <w:rPr>
          <w:rFonts w:hint="cs"/>
          <w:b/>
          <w:bCs/>
          <w:rtl/>
        </w:rPr>
        <w:t>מוצגים – סמים יושמדו, שאר המוצגים יוחזרו לבעלים ובהעדרם יחולטו או יושמדו לפי החלטת קצין ממונה.</w:t>
      </w:r>
    </w:p>
    <w:p w14:paraId="5835A86D" w14:textId="77777777" w:rsidR="003B28A8" w:rsidRDefault="003B28A8">
      <w:pPr>
        <w:spacing w:before="20" w:after="20" w:line="360" w:lineRule="auto"/>
        <w:jc w:val="both"/>
        <w:rPr>
          <w:rtl/>
        </w:rPr>
      </w:pPr>
    </w:p>
    <w:p w14:paraId="1D8B526A" w14:textId="77777777" w:rsidR="003B28A8" w:rsidRDefault="001C18F0">
      <w:pPr>
        <w:spacing w:before="20" w:after="20" w:line="360" w:lineRule="auto"/>
        <w:jc w:val="both"/>
        <w:rPr>
          <w:b/>
          <w:bCs/>
          <w:u w:val="single"/>
          <w:rtl/>
        </w:rPr>
      </w:pPr>
      <w:r>
        <w:rPr>
          <w:rFonts w:hint="cs"/>
          <w:b/>
          <w:bCs/>
          <w:u w:val="single"/>
          <w:rtl/>
        </w:rPr>
        <w:t>זכות ערעור תוך 45 יום מהיום</w:t>
      </w:r>
    </w:p>
    <w:p w14:paraId="04E566CE" w14:textId="77777777" w:rsidR="003B28A8" w:rsidRDefault="003B28A8">
      <w:pPr>
        <w:spacing w:before="20" w:after="20" w:line="360" w:lineRule="auto"/>
        <w:jc w:val="both"/>
        <w:rPr>
          <w:rtl/>
        </w:rPr>
      </w:pPr>
    </w:p>
    <w:p w14:paraId="6FA5AC73" w14:textId="77777777" w:rsidR="003B28A8" w:rsidRDefault="001C18F0">
      <w:pPr>
        <w:spacing w:before="20" w:after="20" w:line="360" w:lineRule="auto"/>
        <w:jc w:val="both"/>
        <w:rPr>
          <w:u w:val="single"/>
          <w:rtl/>
        </w:rPr>
      </w:pPr>
      <w:r>
        <w:rPr>
          <w:rFonts w:hint="cs"/>
          <w:u w:val="single"/>
          <w:rtl/>
        </w:rPr>
        <w:t>המזכירות תעביר עותק מגזר הדין לשירות המבחן שידווח לבית המשפט בסיום צו השל"צ וצו המבחן.</w:t>
      </w:r>
    </w:p>
    <w:p w14:paraId="41D599C9" w14:textId="77777777" w:rsidR="003B28A8" w:rsidRDefault="003B28A8">
      <w:pPr>
        <w:spacing w:before="20" w:after="20" w:line="360" w:lineRule="auto"/>
        <w:jc w:val="both"/>
      </w:pPr>
    </w:p>
    <w:p w14:paraId="3A797DF9" w14:textId="77777777" w:rsidR="003B28A8" w:rsidRDefault="003B28A8">
      <w:pPr>
        <w:pStyle w:val="12"/>
        <w:jc w:val="center"/>
        <w:rPr>
          <w:rFonts w:ascii="David" w:hAnsi="David"/>
          <w:b w:val="0"/>
          <w:bCs w:val="0"/>
          <w:u w:val="none"/>
          <w:rtl/>
        </w:rPr>
      </w:pPr>
    </w:p>
    <w:p w14:paraId="61E29E02" w14:textId="77777777" w:rsidR="003B28A8" w:rsidRDefault="001C18F0">
      <w:pPr>
        <w:pStyle w:val="12"/>
        <w:jc w:val="center"/>
        <w:rPr>
          <w:rFonts w:ascii="David" w:hAnsi="David"/>
          <w:b w:val="0"/>
          <w:bCs w:val="0"/>
          <w:sz w:val="6"/>
          <w:szCs w:val="6"/>
          <w:u w:val="none"/>
          <w:rtl/>
        </w:rPr>
      </w:pPr>
      <w:r>
        <w:rPr>
          <w:rFonts w:ascii="David" w:hAnsi="David"/>
          <w:b w:val="0"/>
          <w:bCs w:val="0"/>
          <w:sz w:val="6"/>
          <w:szCs w:val="6"/>
          <w:u w:val="none"/>
          <w:rtl/>
        </w:rPr>
        <w:t>&lt;#4#&gt;</w:t>
      </w:r>
    </w:p>
    <w:p w14:paraId="4DD4A9C9" w14:textId="77777777" w:rsidR="003B28A8" w:rsidRDefault="003B28A8">
      <w:pPr>
        <w:jc w:val="right"/>
        <w:rPr>
          <w:rtl/>
        </w:rPr>
      </w:pPr>
    </w:p>
    <w:p w14:paraId="728275E8" w14:textId="77777777" w:rsidR="003B28A8" w:rsidRDefault="001C18F0">
      <w:pPr>
        <w:jc w:val="center"/>
        <w:rPr>
          <w:rtl/>
        </w:rPr>
      </w:pPr>
      <w:r>
        <w:rPr>
          <w:b/>
          <w:bCs/>
          <w:rtl/>
        </w:rPr>
        <w:t xml:space="preserve">ניתנה והודעה היום כ"ו כסלו תשע"ו, 08/12/2015 במעמד הנוכחים. </w:t>
      </w:r>
    </w:p>
    <w:p w14:paraId="11F24915" w14:textId="77777777" w:rsidR="003B28A8" w:rsidRDefault="003B28A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B28A8" w14:paraId="17FAEAA6" w14:textId="77777777">
        <w:trPr>
          <w:trHeight w:val="364"/>
          <w:jc w:val="right"/>
        </w:trPr>
        <w:tc>
          <w:tcPr>
            <w:tcW w:w="3708" w:type="dxa"/>
            <w:shd w:val="clear" w:color="auto" w:fill="auto"/>
          </w:tcPr>
          <w:p w14:paraId="16EA7197" w14:textId="77777777" w:rsidR="003B28A8" w:rsidRDefault="003B28A8">
            <w:pPr>
              <w:jc w:val="center"/>
              <w:rPr>
                <w:rFonts w:ascii="Times New Roman" w:eastAsia="Times New Roman" w:hAnsi="Times New Roman" w:cs="Times New Roman"/>
              </w:rPr>
            </w:pPr>
          </w:p>
          <w:p w14:paraId="3B1461DB" w14:textId="77777777" w:rsidR="003B28A8" w:rsidRDefault="003B28A8">
            <w:pPr>
              <w:jc w:val="center"/>
              <w:rPr>
                <w:rFonts w:ascii="Times New Roman" w:eastAsia="Times New Roman" w:hAnsi="Times New Roman" w:cs="Times New Roman"/>
                <w:rtl/>
              </w:rPr>
            </w:pPr>
          </w:p>
        </w:tc>
      </w:tr>
      <w:tr w:rsidR="003B28A8" w14:paraId="35C2BBAE" w14:textId="77777777">
        <w:trPr>
          <w:trHeight w:val="415"/>
          <w:jc w:val="right"/>
        </w:trPr>
        <w:tc>
          <w:tcPr>
            <w:tcW w:w="3708" w:type="dxa"/>
            <w:shd w:val="clear" w:color="auto" w:fill="auto"/>
          </w:tcPr>
          <w:p w14:paraId="10089EDA" w14:textId="77777777" w:rsidR="003B28A8" w:rsidRDefault="001C18F0">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0AA6DBAE" w14:textId="77777777" w:rsidR="003B28A8" w:rsidRDefault="003B28A8">
      <w:pPr>
        <w:jc w:val="right"/>
        <w:rPr>
          <w:rtl/>
        </w:rPr>
      </w:pPr>
    </w:p>
    <w:p w14:paraId="3E46510B" w14:textId="77777777" w:rsidR="003B28A8" w:rsidRDefault="003B28A8">
      <w:pPr>
        <w:jc w:val="center"/>
        <w:rPr>
          <w:rtl/>
        </w:rPr>
      </w:pPr>
    </w:p>
    <w:p w14:paraId="2A9FDAA1" w14:textId="77777777" w:rsidR="003B28A8" w:rsidRDefault="003B28A8">
      <w:pPr>
        <w:pStyle w:val="12"/>
        <w:jc w:val="center"/>
        <w:rPr>
          <w:rFonts w:ascii="David" w:hAnsi="David"/>
          <w:b w:val="0"/>
          <w:bCs w:val="0"/>
          <w:u w:val="none"/>
          <w:rtl/>
        </w:rPr>
      </w:pPr>
    </w:p>
    <w:p w14:paraId="51931ED7" w14:textId="77777777" w:rsidR="003B28A8" w:rsidRPr="001C18F0" w:rsidRDefault="001C18F0">
      <w:pPr>
        <w:pStyle w:val="12"/>
        <w:jc w:val="both"/>
        <w:rPr>
          <w:rFonts w:ascii="David" w:hAnsi="David"/>
          <w:b w:val="0"/>
          <w:bCs w:val="0"/>
          <w:color w:val="FFFFFF"/>
          <w:sz w:val="2"/>
          <w:szCs w:val="2"/>
          <w:u w:val="none"/>
          <w:rtl/>
        </w:rPr>
      </w:pPr>
      <w:r w:rsidRPr="001C18F0">
        <w:rPr>
          <w:rFonts w:ascii="David" w:hAnsi="David"/>
          <w:b w:val="0"/>
          <w:bCs w:val="0"/>
          <w:color w:val="FFFFFF"/>
          <w:sz w:val="2"/>
          <w:szCs w:val="2"/>
          <w:u w:val="none"/>
          <w:rtl/>
        </w:rPr>
        <w:t xml:space="preserve">5129371 </w:t>
      </w:r>
    </w:p>
    <w:p w14:paraId="1412FB78" w14:textId="77777777" w:rsidR="003B28A8" w:rsidRPr="001C18F0" w:rsidRDefault="001C18F0">
      <w:pPr>
        <w:pStyle w:val="12"/>
        <w:jc w:val="center"/>
        <w:rPr>
          <w:color w:val="FFFFFF"/>
          <w:sz w:val="2"/>
          <w:szCs w:val="2"/>
        </w:rPr>
      </w:pPr>
      <w:r w:rsidRPr="001C18F0">
        <w:rPr>
          <w:rFonts w:ascii="David" w:hAnsi="David"/>
          <w:b w:val="0"/>
          <w:bCs w:val="0"/>
          <w:color w:val="FFFFFF"/>
          <w:sz w:val="2"/>
          <w:szCs w:val="2"/>
          <w:u w:val="none"/>
          <w:rtl/>
        </w:rPr>
        <w:t>54678313</w:t>
      </w:r>
      <w:r w:rsidRPr="001C18F0">
        <w:rPr>
          <w:rFonts w:ascii="David" w:hAnsi="David" w:hint="cs"/>
          <w:b w:val="0"/>
          <w:bCs w:val="0"/>
          <w:color w:val="FFFFFF"/>
          <w:sz w:val="2"/>
          <w:szCs w:val="2"/>
          <w:u w:val="none"/>
          <w:rtl/>
        </w:rPr>
        <w:t xml:space="preserve"> </w:t>
      </w:r>
    </w:p>
    <w:p w14:paraId="3745EA82" w14:textId="77777777" w:rsidR="003B28A8" w:rsidRDefault="003B28A8">
      <w:pPr>
        <w:spacing w:line="360" w:lineRule="auto"/>
        <w:jc w:val="both"/>
        <w:rPr>
          <w:rtl/>
        </w:rPr>
      </w:pPr>
    </w:p>
    <w:p w14:paraId="104254BF" w14:textId="77777777" w:rsidR="003B28A8" w:rsidRDefault="003B28A8">
      <w:pPr>
        <w:pStyle w:val="David"/>
        <w:rPr>
          <w:rtl/>
        </w:rPr>
      </w:pPr>
    </w:p>
    <w:p w14:paraId="5BB9DCDB" w14:textId="77777777" w:rsidR="003B28A8" w:rsidRDefault="001C18F0">
      <w:pPr>
        <w:spacing w:line="360" w:lineRule="auto"/>
        <w:jc w:val="both"/>
        <w:rPr>
          <w:rtl/>
        </w:rPr>
      </w:pPr>
      <w:r>
        <w:rPr>
          <w:rtl/>
        </w:rPr>
        <w:t xml:space="preserve">  </w:t>
      </w:r>
    </w:p>
    <w:p w14:paraId="045AA39D" w14:textId="77777777" w:rsidR="003B28A8" w:rsidRDefault="001C18F0">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244380A6" w14:textId="77777777" w:rsidR="001C18F0" w:rsidRPr="001C18F0" w:rsidRDefault="001C18F0" w:rsidP="001C18F0">
      <w:pPr>
        <w:keepNext/>
        <w:rPr>
          <w:color w:val="000000"/>
          <w:sz w:val="22"/>
          <w:szCs w:val="22"/>
          <w:rtl/>
        </w:rPr>
      </w:pPr>
    </w:p>
    <w:p w14:paraId="4CAB2623" w14:textId="77777777" w:rsidR="001C18F0" w:rsidRPr="001C18F0" w:rsidRDefault="001C18F0" w:rsidP="001C18F0">
      <w:pPr>
        <w:keepNext/>
        <w:rPr>
          <w:color w:val="000000"/>
          <w:sz w:val="22"/>
          <w:szCs w:val="22"/>
          <w:rtl/>
        </w:rPr>
      </w:pPr>
      <w:r w:rsidRPr="001C18F0">
        <w:rPr>
          <w:color w:val="000000"/>
          <w:sz w:val="22"/>
          <w:szCs w:val="22"/>
          <w:rtl/>
        </w:rPr>
        <w:t>איטה נחמן 54678313</w:t>
      </w:r>
    </w:p>
    <w:p w14:paraId="5CE2F1A4" w14:textId="77777777" w:rsidR="001C18F0" w:rsidRDefault="001C18F0" w:rsidP="001C18F0">
      <w:r w:rsidRPr="001C18F0">
        <w:rPr>
          <w:color w:val="000000"/>
          <w:rtl/>
        </w:rPr>
        <w:t>נוסח מסמך זה כפוף לשינויי ניסוח ועריכה</w:t>
      </w:r>
    </w:p>
    <w:p w14:paraId="095D141F" w14:textId="77777777" w:rsidR="001C18F0" w:rsidRDefault="001C18F0" w:rsidP="001C18F0">
      <w:pPr>
        <w:rPr>
          <w:rtl/>
        </w:rPr>
      </w:pPr>
    </w:p>
    <w:p w14:paraId="52D9A02F" w14:textId="77777777" w:rsidR="001C18F0" w:rsidRDefault="001C18F0" w:rsidP="001C18F0">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1E30A63" w14:textId="77777777" w:rsidR="003B28A8" w:rsidRPr="001C18F0" w:rsidRDefault="003B28A8" w:rsidP="001C18F0">
      <w:pPr>
        <w:jc w:val="center"/>
        <w:rPr>
          <w:color w:val="0000FF"/>
          <w:u w:val="single"/>
        </w:rPr>
      </w:pPr>
    </w:p>
    <w:sectPr w:rsidR="003B28A8" w:rsidRPr="001C18F0" w:rsidSect="001C18F0">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9ECE6" w14:textId="77777777" w:rsidR="002F7A4D" w:rsidRDefault="002F7A4D">
      <w:r>
        <w:separator/>
      </w:r>
    </w:p>
  </w:endnote>
  <w:endnote w:type="continuationSeparator" w:id="0">
    <w:p w14:paraId="311CBBE8" w14:textId="77777777" w:rsidR="002F7A4D" w:rsidRDefault="002F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A24F" w14:textId="77777777" w:rsidR="00A75AA7" w:rsidRDefault="00A75AA7" w:rsidP="001C18F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50CC97A6" w14:textId="77777777" w:rsidR="00A75AA7" w:rsidRPr="001C18F0" w:rsidRDefault="00A75AA7" w:rsidP="001C18F0">
    <w:pPr>
      <w:pStyle w:val="a6"/>
      <w:pBdr>
        <w:top w:val="single" w:sz="4" w:space="1" w:color="auto"/>
        <w:between w:val="single" w:sz="4" w:space="0" w:color="auto"/>
      </w:pBdr>
      <w:spacing w:after="60"/>
      <w:jc w:val="center"/>
      <w:rPr>
        <w:rFonts w:ascii="FrankRuehl" w:hAnsi="FrankRuehl" w:cs="FrankRuehl"/>
        <w:color w:val="000000"/>
      </w:rPr>
    </w:pPr>
    <w:r w:rsidRPr="001C18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D9818" w14:textId="77777777" w:rsidR="00A75AA7" w:rsidRDefault="00A75AA7" w:rsidP="001C18F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791B">
      <w:rPr>
        <w:rFonts w:ascii="FrankRuehl" w:hAnsi="FrankRuehl" w:cs="FrankRuehl"/>
        <w:noProof/>
        <w:rtl/>
      </w:rPr>
      <w:t>1</w:t>
    </w:r>
    <w:r>
      <w:rPr>
        <w:rFonts w:ascii="FrankRuehl" w:hAnsi="FrankRuehl" w:cs="FrankRuehl"/>
        <w:rtl/>
      </w:rPr>
      <w:fldChar w:fldCharType="end"/>
    </w:r>
  </w:p>
  <w:p w14:paraId="1F5093C8" w14:textId="77777777" w:rsidR="00A75AA7" w:rsidRPr="001C18F0" w:rsidRDefault="00A75AA7" w:rsidP="001C18F0">
    <w:pPr>
      <w:pStyle w:val="a6"/>
      <w:pBdr>
        <w:top w:val="single" w:sz="4" w:space="1" w:color="auto"/>
        <w:between w:val="single" w:sz="4" w:space="0" w:color="auto"/>
      </w:pBdr>
      <w:spacing w:after="60"/>
      <w:jc w:val="center"/>
      <w:rPr>
        <w:rFonts w:ascii="FrankRuehl" w:hAnsi="FrankRuehl" w:cs="FrankRuehl"/>
        <w:color w:val="000000"/>
      </w:rPr>
    </w:pPr>
    <w:r w:rsidRPr="001C18F0">
      <w:rPr>
        <w:rFonts w:ascii="FrankRuehl" w:hAnsi="FrankRuehl" w:cs="FrankRuehl"/>
        <w:color w:val="000000"/>
      </w:rPr>
      <w:pict w14:anchorId="553E0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E5CA0" w14:textId="77777777" w:rsidR="002F7A4D" w:rsidRDefault="002F7A4D">
      <w:r>
        <w:separator/>
      </w:r>
    </w:p>
  </w:footnote>
  <w:footnote w:type="continuationSeparator" w:id="0">
    <w:p w14:paraId="6B3839D7" w14:textId="77777777" w:rsidR="002F7A4D" w:rsidRDefault="002F7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BB1F2" w14:textId="77777777" w:rsidR="00A75AA7" w:rsidRPr="001C18F0" w:rsidRDefault="00A75AA7" w:rsidP="001C18F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53948-11-14</w:t>
    </w:r>
    <w:r>
      <w:rPr>
        <w:color w:val="000000"/>
        <w:sz w:val="22"/>
        <w:szCs w:val="22"/>
        <w:rtl/>
      </w:rPr>
      <w:tab/>
      <w:t xml:space="preserve"> מדינת ישראל נ' בן פרל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BCFE0" w14:textId="77777777" w:rsidR="00A75AA7" w:rsidRPr="001C18F0" w:rsidRDefault="00A75AA7" w:rsidP="001C18F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53948-11-14</w:t>
    </w:r>
    <w:r>
      <w:rPr>
        <w:color w:val="000000"/>
        <w:sz w:val="22"/>
        <w:szCs w:val="22"/>
        <w:rtl/>
      </w:rPr>
      <w:tab/>
      <w:t xml:space="preserve"> מדינת ישראל נ' בן פרל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B4941036"/>
    <w:lvl w:ilvl="0" w:tplc="E70AFAF2">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C5E6DF5"/>
    <w:multiLevelType w:val="hybridMultilevel"/>
    <w:tmpl w:val="46360458"/>
    <w:lvl w:ilvl="0" w:tplc="59F0BC54">
      <w:start w:val="1"/>
      <w:numFmt w:val="decimal"/>
      <w:pStyle w:val="a"/>
      <w:lvlText w:val="%1."/>
      <w:lvlJc w:val="left"/>
      <w:pPr>
        <w:tabs>
          <w:tab w:val="num" w:pos="720"/>
        </w:tabs>
        <w:ind w:left="720" w:hanging="720"/>
      </w:pPr>
      <w:rPr>
        <w:rFonts w:cs="David"/>
      </w:rPr>
    </w:lvl>
    <w:lvl w:ilvl="1" w:tplc="EA0C5CC0">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66991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2228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28A8"/>
    <w:rsid w:val="001C18F0"/>
    <w:rsid w:val="0023791B"/>
    <w:rsid w:val="002E3366"/>
    <w:rsid w:val="002F7A4D"/>
    <w:rsid w:val="003524C9"/>
    <w:rsid w:val="003B28A8"/>
    <w:rsid w:val="00431E35"/>
    <w:rsid w:val="007407B3"/>
    <w:rsid w:val="00883941"/>
    <w:rsid w:val="00A75AA7"/>
    <w:rsid w:val="00DD0790"/>
    <w:rsid w:val="00F70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953D5B9"/>
  <w15:chartTrackingRefBased/>
  <w15:docId w15:val="{1E3C68EC-4BC7-441F-808A-A89DDAF9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28A8"/>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3B28A8"/>
  </w:style>
  <w:style w:type="paragraph" w:styleId="a5">
    <w:name w:val="header"/>
    <w:basedOn w:val="a0"/>
    <w:rsid w:val="003B28A8"/>
    <w:pPr>
      <w:tabs>
        <w:tab w:val="center" w:pos="4153"/>
        <w:tab w:val="right" w:pos="8306"/>
      </w:tabs>
    </w:pPr>
  </w:style>
  <w:style w:type="paragraph" w:styleId="a6">
    <w:name w:val="footer"/>
    <w:basedOn w:val="a0"/>
    <w:rsid w:val="003B28A8"/>
    <w:pPr>
      <w:tabs>
        <w:tab w:val="center" w:pos="4153"/>
        <w:tab w:val="right" w:pos="8306"/>
      </w:tabs>
    </w:pPr>
  </w:style>
  <w:style w:type="character" w:styleId="a7">
    <w:name w:val="page number"/>
    <w:basedOn w:val="a1"/>
    <w:rsid w:val="003B28A8"/>
  </w:style>
  <w:style w:type="paragraph" w:customStyle="1" w:styleId="12">
    <w:name w:val="רגיל + ‏12 נק'"/>
    <w:aliases w:val="מיושר לשני הצדדים,מרווח בין שורות:  שורה וחצי"/>
    <w:basedOn w:val="a0"/>
    <w:rsid w:val="003B28A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0"/>
    <w:rsid w:val="003B28A8"/>
    <w:pPr>
      <w:spacing w:line="360" w:lineRule="auto"/>
      <w:jc w:val="both"/>
    </w:pPr>
    <w:rPr>
      <w:rFonts w:ascii="Times New Roman" w:eastAsia="Times New Roman" w:hAnsi="Times New Roman"/>
    </w:rPr>
  </w:style>
  <w:style w:type="paragraph" w:customStyle="1" w:styleId="a">
    <w:name w:val="ממוספר"/>
    <w:basedOn w:val="a0"/>
    <w:rsid w:val="003B28A8"/>
    <w:pPr>
      <w:numPr>
        <w:numId w:val="1"/>
      </w:numPr>
      <w:spacing w:after="120" w:line="360" w:lineRule="auto"/>
    </w:pPr>
    <w:rPr>
      <w:rFonts w:eastAsia="Times New Roman"/>
      <w:color w:val="000000"/>
    </w:rPr>
  </w:style>
  <w:style w:type="character" w:styleId="Hyperlink">
    <w:name w:val="Hyperlink"/>
    <w:rsid w:val="003B2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40ja" TargetMode="External"/><Relationship Id="rId18" Type="http://schemas.openxmlformats.org/officeDocument/2006/relationships/hyperlink" Target="http://www.nevo.co.il/law/4216/40c.a" TargetMode="External"/><Relationship Id="rId26" Type="http://schemas.openxmlformats.org/officeDocument/2006/relationships/hyperlink" Target="http://www.nevo.co.il/case/17916229" TargetMode="External"/><Relationship Id="rId39" Type="http://schemas.openxmlformats.org/officeDocument/2006/relationships/hyperlink" Target="http://www.nevo.co.il/law/4216/40d.a"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577941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65523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40c.a" TargetMode="External"/><Relationship Id="rId24" Type="http://schemas.openxmlformats.org/officeDocument/2006/relationships/hyperlink" Target="http://www.nevo.co.il/case/12976857" TargetMode="External"/><Relationship Id="rId32" Type="http://schemas.openxmlformats.org/officeDocument/2006/relationships/hyperlink" Target="http://www.nevo.co.il/law/4216/40b" TargetMode="External"/><Relationship Id="rId37" Type="http://schemas.openxmlformats.org/officeDocument/2006/relationships/hyperlink" Target="http://www.nevo.co.il/case/5074126" TargetMode="External"/><Relationship Id="rId40" Type="http://schemas.openxmlformats.org/officeDocument/2006/relationships/hyperlink" Target="http://www.nevo.co.il/law/4216/40j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9994809" TargetMode="External"/><Relationship Id="rId36" Type="http://schemas.openxmlformats.org/officeDocument/2006/relationships/hyperlink" Target="http://www.nevo.co.il/case/7018336" TargetMode="External"/><Relationship Id="rId10" Type="http://schemas.openxmlformats.org/officeDocument/2006/relationships/hyperlink" Target="http://www.nevo.co.il/law/4216/40b" TargetMode="External"/><Relationship Id="rId19" Type="http://schemas.openxmlformats.org/officeDocument/2006/relationships/hyperlink" Target="http://www.nevo.co.il/law/4216/40d.a" TargetMode="External"/><Relationship Id="rId31" Type="http://schemas.openxmlformats.org/officeDocument/2006/relationships/hyperlink" Target="http://www.nevo.co.il/law/4216/40c.a"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5603186" TargetMode="External"/><Relationship Id="rId35" Type="http://schemas.openxmlformats.org/officeDocument/2006/relationships/hyperlink" Target="http://www.nevo.co.il/case/4569822"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40d.a" TargetMode="External"/><Relationship Id="rId17" Type="http://schemas.openxmlformats.org/officeDocument/2006/relationships/hyperlink" Target="http://www.nevo.co.il/law/4216/40b" TargetMode="External"/><Relationship Id="rId25" Type="http://schemas.openxmlformats.org/officeDocument/2006/relationships/hyperlink" Target="http://www.nevo.co.il/case/5633505" TargetMode="External"/><Relationship Id="rId33" Type="http://schemas.openxmlformats.org/officeDocument/2006/relationships/hyperlink" Target="http://www.nevo.co.il/case/5953822" TargetMode="External"/><Relationship Id="rId38" Type="http://schemas.openxmlformats.org/officeDocument/2006/relationships/hyperlink" Target="http://www.nevo.co.il/case/7862641" TargetMode="External"/><Relationship Id="rId46" Type="http://schemas.openxmlformats.org/officeDocument/2006/relationships/footer" Target="footer2.xml"/><Relationship Id="rId20" Type="http://schemas.openxmlformats.org/officeDocument/2006/relationships/hyperlink" Target="http://www.nevo.co.il/law/4216/40ja" TargetMode="External"/><Relationship Id="rId41" Type="http://schemas.openxmlformats.org/officeDocument/2006/relationships/hyperlink" Target="http://www.nevo.co.il/case/181850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2812</Words>
  <Characters>14065</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16844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3997812</vt:i4>
      </vt:variant>
      <vt:variant>
        <vt:i4>102</vt:i4>
      </vt:variant>
      <vt:variant>
        <vt:i4>0</vt:i4>
      </vt:variant>
      <vt:variant>
        <vt:i4>5</vt:i4>
      </vt:variant>
      <vt:variant>
        <vt:lpwstr>http://www.nevo.co.il/case/18185087</vt:lpwstr>
      </vt:variant>
      <vt:variant>
        <vt:lpwstr/>
      </vt:variant>
      <vt:variant>
        <vt:i4>2097274</vt:i4>
      </vt:variant>
      <vt:variant>
        <vt:i4>99</vt:i4>
      </vt:variant>
      <vt:variant>
        <vt:i4>0</vt:i4>
      </vt:variant>
      <vt:variant>
        <vt:i4>5</vt:i4>
      </vt:variant>
      <vt:variant>
        <vt:lpwstr>http://www.nevo.co.il/law/4216/40ja</vt:lpwstr>
      </vt:variant>
      <vt:variant>
        <vt:lpwstr/>
      </vt:variant>
      <vt:variant>
        <vt:i4>5177428</vt:i4>
      </vt:variant>
      <vt:variant>
        <vt:i4>96</vt:i4>
      </vt:variant>
      <vt:variant>
        <vt:i4>0</vt:i4>
      </vt:variant>
      <vt:variant>
        <vt:i4>5</vt:i4>
      </vt:variant>
      <vt:variant>
        <vt:lpwstr>http://www.nevo.co.il/law/4216/40d.a</vt:lpwstr>
      </vt:variant>
      <vt:variant>
        <vt:lpwstr/>
      </vt:variant>
      <vt:variant>
        <vt:i4>3539066</vt:i4>
      </vt:variant>
      <vt:variant>
        <vt:i4>93</vt:i4>
      </vt:variant>
      <vt:variant>
        <vt:i4>0</vt:i4>
      </vt:variant>
      <vt:variant>
        <vt:i4>5</vt:i4>
      </vt:variant>
      <vt:variant>
        <vt:lpwstr>http://www.nevo.co.il/case/7862641</vt:lpwstr>
      </vt:variant>
      <vt:variant>
        <vt:lpwstr/>
      </vt:variant>
      <vt:variant>
        <vt:i4>3473522</vt:i4>
      </vt:variant>
      <vt:variant>
        <vt:i4>90</vt:i4>
      </vt:variant>
      <vt:variant>
        <vt:i4>0</vt:i4>
      </vt:variant>
      <vt:variant>
        <vt:i4>5</vt:i4>
      </vt:variant>
      <vt:variant>
        <vt:lpwstr>http://www.nevo.co.il/case/5074126</vt:lpwstr>
      </vt:variant>
      <vt:variant>
        <vt:lpwstr/>
      </vt:variant>
      <vt:variant>
        <vt:i4>3342463</vt:i4>
      </vt:variant>
      <vt:variant>
        <vt:i4>87</vt:i4>
      </vt:variant>
      <vt:variant>
        <vt:i4>0</vt:i4>
      </vt:variant>
      <vt:variant>
        <vt:i4>5</vt:i4>
      </vt:variant>
      <vt:variant>
        <vt:lpwstr>http://www.nevo.co.il/case/7018336</vt:lpwstr>
      </vt:variant>
      <vt:variant>
        <vt:lpwstr/>
      </vt:variant>
      <vt:variant>
        <vt:i4>3670138</vt:i4>
      </vt:variant>
      <vt:variant>
        <vt:i4>84</vt:i4>
      </vt:variant>
      <vt:variant>
        <vt:i4>0</vt:i4>
      </vt:variant>
      <vt:variant>
        <vt:i4>5</vt:i4>
      </vt:variant>
      <vt:variant>
        <vt:lpwstr>http://www.nevo.co.il/case/4569822</vt:lpwstr>
      </vt:variant>
      <vt:variant>
        <vt:lpwstr/>
      </vt:variant>
      <vt:variant>
        <vt:i4>4063355</vt:i4>
      </vt:variant>
      <vt:variant>
        <vt:i4>81</vt:i4>
      </vt:variant>
      <vt:variant>
        <vt:i4>0</vt:i4>
      </vt:variant>
      <vt:variant>
        <vt:i4>5</vt:i4>
      </vt:variant>
      <vt:variant>
        <vt:lpwstr>http://www.nevo.co.il/case/5779418</vt:lpwstr>
      </vt:variant>
      <vt:variant>
        <vt:lpwstr/>
      </vt:variant>
      <vt:variant>
        <vt:i4>3801212</vt:i4>
      </vt:variant>
      <vt:variant>
        <vt:i4>78</vt:i4>
      </vt:variant>
      <vt:variant>
        <vt:i4>0</vt:i4>
      </vt:variant>
      <vt:variant>
        <vt:i4>5</vt:i4>
      </vt:variant>
      <vt:variant>
        <vt:lpwstr>http://www.nevo.co.il/case/5953822</vt:lpwstr>
      </vt:variant>
      <vt:variant>
        <vt:lpwstr/>
      </vt:variant>
      <vt:variant>
        <vt:i4>2621562</vt:i4>
      </vt:variant>
      <vt:variant>
        <vt:i4>75</vt:i4>
      </vt:variant>
      <vt:variant>
        <vt:i4>0</vt:i4>
      </vt:variant>
      <vt:variant>
        <vt:i4>5</vt:i4>
      </vt:variant>
      <vt:variant>
        <vt:lpwstr>http://www.nevo.co.il/law/4216/40b</vt:lpwstr>
      </vt:variant>
      <vt:variant>
        <vt:lpwstr/>
      </vt:variant>
      <vt:variant>
        <vt:i4>4718676</vt:i4>
      </vt:variant>
      <vt:variant>
        <vt:i4>72</vt:i4>
      </vt:variant>
      <vt:variant>
        <vt:i4>0</vt:i4>
      </vt:variant>
      <vt:variant>
        <vt:i4>5</vt:i4>
      </vt:variant>
      <vt:variant>
        <vt:lpwstr>http://www.nevo.co.il/law/4216/40c.a</vt:lpwstr>
      </vt:variant>
      <vt:variant>
        <vt:lpwstr/>
      </vt:variant>
      <vt:variant>
        <vt:i4>3276921</vt:i4>
      </vt:variant>
      <vt:variant>
        <vt:i4>69</vt:i4>
      </vt:variant>
      <vt:variant>
        <vt:i4>0</vt:i4>
      </vt:variant>
      <vt:variant>
        <vt:i4>5</vt:i4>
      </vt:variant>
      <vt:variant>
        <vt:lpwstr>http://www.nevo.co.il/case/5603186</vt:lpwstr>
      </vt:variant>
      <vt:variant>
        <vt:lpwstr/>
      </vt:variant>
      <vt:variant>
        <vt:i4>3473525</vt:i4>
      </vt:variant>
      <vt:variant>
        <vt:i4>66</vt:i4>
      </vt:variant>
      <vt:variant>
        <vt:i4>0</vt:i4>
      </vt:variant>
      <vt:variant>
        <vt:i4>5</vt:i4>
      </vt:variant>
      <vt:variant>
        <vt:lpwstr>http://www.nevo.co.il/case/6552365</vt:lpwstr>
      </vt:variant>
      <vt:variant>
        <vt:lpwstr/>
      </vt:variant>
      <vt:variant>
        <vt:i4>3932284</vt:i4>
      </vt:variant>
      <vt:variant>
        <vt:i4>63</vt:i4>
      </vt:variant>
      <vt:variant>
        <vt:i4>0</vt:i4>
      </vt:variant>
      <vt:variant>
        <vt:i4>5</vt:i4>
      </vt:variant>
      <vt:variant>
        <vt:lpwstr>http://www.nevo.co.il/case/19994809</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3932272</vt:i4>
      </vt:variant>
      <vt:variant>
        <vt:i4>57</vt:i4>
      </vt:variant>
      <vt:variant>
        <vt:i4>0</vt:i4>
      </vt:variant>
      <vt:variant>
        <vt:i4>5</vt:i4>
      </vt:variant>
      <vt:variant>
        <vt:lpwstr>http://www.nevo.co.il/case/17916229</vt:lpwstr>
      </vt:variant>
      <vt:variant>
        <vt:lpwstr/>
      </vt:variant>
      <vt:variant>
        <vt:i4>3539057</vt:i4>
      </vt:variant>
      <vt:variant>
        <vt:i4>54</vt:i4>
      </vt:variant>
      <vt:variant>
        <vt:i4>0</vt:i4>
      </vt:variant>
      <vt:variant>
        <vt:i4>5</vt:i4>
      </vt:variant>
      <vt:variant>
        <vt:lpwstr>http://www.nevo.co.il/case/5633505</vt:lpwstr>
      </vt:variant>
      <vt:variant>
        <vt:lpwstr/>
      </vt:variant>
      <vt:variant>
        <vt:i4>3866745</vt:i4>
      </vt:variant>
      <vt:variant>
        <vt:i4>51</vt:i4>
      </vt:variant>
      <vt:variant>
        <vt:i4>0</vt:i4>
      </vt:variant>
      <vt:variant>
        <vt:i4>5</vt:i4>
      </vt:variant>
      <vt:variant>
        <vt:lpwstr>http://www.nevo.co.il/case/12976857</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2097274</vt:i4>
      </vt:variant>
      <vt:variant>
        <vt:i4>39</vt:i4>
      </vt:variant>
      <vt:variant>
        <vt:i4>0</vt:i4>
      </vt:variant>
      <vt:variant>
        <vt:i4>5</vt:i4>
      </vt:variant>
      <vt:variant>
        <vt:lpwstr>http://www.nevo.co.il/law/4216/40ja</vt:lpwstr>
      </vt:variant>
      <vt:variant>
        <vt:lpwstr/>
      </vt:variant>
      <vt:variant>
        <vt:i4>5177428</vt:i4>
      </vt:variant>
      <vt:variant>
        <vt:i4>36</vt:i4>
      </vt:variant>
      <vt:variant>
        <vt:i4>0</vt:i4>
      </vt:variant>
      <vt:variant>
        <vt:i4>5</vt:i4>
      </vt:variant>
      <vt:variant>
        <vt:lpwstr>http://www.nevo.co.il/law/4216/40d.a</vt:lpwstr>
      </vt:variant>
      <vt:variant>
        <vt:lpwstr/>
      </vt:variant>
      <vt:variant>
        <vt:i4>4718676</vt:i4>
      </vt:variant>
      <vt:variant>
        <vt:i4>33</vt:i4>
      </vt:variant>
      <vt:variant>
        <vt:i4>0</vt:i4>
      </vt:variant>
      <vt:variant>
        <vt:i4>5</vt:i4>
      </vt:variant>
      <vt:variant>
        <vt:lpwstr>http://www.nevo.co.il/law/4216/40c.a</vt:lpwstr>
      </vt:variant>
      <vt:variant>
        <vt:lpwstr/>
      </vt:variant>
      <vt:variant>
        <vt:i4>2621562</vt:i4>
      </vt:variant>
      <vt:variant>
        <vt:i4>30</vt:i4>
      </vt:variant>
      <vt:variant>
        <vt:i4>0</vt:i4>
      </vt:variant>
      <vt:variant>
        <vt:i4>5</vt:i4>
      </vt:variant>
      <vt:variant>
        <vt:lpwstr>http://www.nevo.co.il/law/4216/40b</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2097274</vt:i4>
      </vt:variant>
      <vt:variant>
        <vt:i4>18</vt:i4>
      </vt:variant>
      <vt:variant>
        <vt:i4>0</vt:i4>
      </vt:variant>
      <vt:variant>
        <vt:i4>5</vt:i4>
      </vt:variant>
      <vt:variant>
        <vt:lpwstr>http://www.nevo.co.il/law/4216/40ja</vt:lpwstr>
      </vt:variant>
      <vt:variant>
        <vt:lpwstr/>
      </vt:variant>
      <vt:variant>
        <vt:i4>5177428</vt:i4>
      </vt:variant>
      <vt:variant>
        <vt:i4>15</vt:i4>
      </vt:variant>
      <vt:variant>
        <vt:i4>0</vt:i4>
      </vt:variant>
      <vt:variant>
        <vt:i4>5</vt:i4>
      </vt:variant>
      <vt:variant>
        <vt:lpwstr>http://www.nevo.co.il/law/4216/40d.a</vt:lpwstr>
      </vt:variant>
      <vt:variant>
        <vt:lpwstr/>
      </vt:variant>
      <vt:variant>
        <vt:i4>4718676</vt:i4>
      </vt:variant>
      <vt:variant>
        <vt:i4>12</vt:i4>
      </vt:variant>
      <vt:variant>
        <vt:i4>0</vt:i4>
      </vt:variant>
      <vt:variant>
        <vt:i4>5</vt:i4>
      </vt:variant>
      <vt:variant>
        <vt:lpwstr>http://www.nevo.co.il/law/4216/40c.a</vt:lpwstr>
      </vt:variant>
      <vt:variant>
        <vt:lpwstr/>
      </vt:variant>
      <vt:variant>
        <vt:i4>2621562</vt:i4>
      </vt:variant>
      <vt:variant>
        <vt:i4>9</vt:i4>
      </vt:variant>
      <vt:variant>
        <vt:i4>0</vt:i4>
      </vt:variant>
      <vt:variant>
        <vt:i4>5</vt:i4>
      </vt:variant>
      <vt:variant>
        <vt:lpwstr>http://www.nevo.co.il/law/4216/40b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53948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בן פרל</vt:lpwstr>
  </property>
  <property fmtid="{D5CDD505-2E9C-101B-9397-08002B2CF9AE}" pid="10" name="LAWYER">
    <vt:lpwstr>אלמוג בן חמו;רן עטיה</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20151208</vt:lpwstr>
  </property>
  <property fmtid="{D5CDD505-2E9C-101B-9397-08002B2CF9AE}" pid="14" name="TYPE_N_DATE">
    <vt:lpwstr>38020151208</vt:lpwstr>
  </property>
  <property fmtid="{D5CDD505-2E9C-101B-9397-08002B2CF9AE}" pid="15" name="WORDNUMPAGES">
    <vt:lpwstr>9</vt:lpwstr>
  </property>
  <property fmtid="{D5CDD505-2E9C-101B-9397-08002B2CF9AE}" pid="16" name="TYPE_ABS_DATE">
    <vt:lpwstr>380020151208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12976857;5633505;17916229;5810781;19994809;6552365;5603186;5953822;5779418;4569822;7018336;5074126;7862641;18185087</vt:lpwstr>
  </property>
  <property fmtid="{D5CDD505-2E9C-101B-9397-08002B2CF9AE}" pid="36" name="LAWLISTTMP1">
    <vt:lpwstr>4216/007.a;007.c;040b;040c.a;040d.a;40ja</vt:lpwstr>
  </property>
</Properties>
</file>