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3"/>
        <w:gridCol w:w="3668"/>
      </w:tblGrid>
      <w:tr w:rsidR="00A745C5" w:rsidRPr="002D11B3" w14:paraId="0627E66A" w14:textId="77777777" w:rsidTr="00C43EA0">
        <w:trPr>
          <w:trHeight w:hRule="exact" w:val="418"/>
          <w:jc w:val="center"/>
        </w:trPr>
        <w:tc>
          <w:tcPr>
            <w:tcW w:w="8721" w:type="dxa"/>
            <w:gridSpan w:val="2"/>
          </w:tcPr>
          <w:p w14:paraId="740530A4" w14:textId="77777777" w:rsidR="00A745C5" w:rsidRPr="002D11B3" w:rsidRDefault="002D11B3">
            <w:pPr>
              <w:pStyle w:val="a3"/>
              <w:jc w:val="center"/>
              <w:rPr>
                <w:rFonts w:ascii="Tahoma" w:hAnsi="Tahoma" w:cs="Tahoma"/>
                <w:color w:val="000080"/>
                <w:rtl/>
              </w:rPr>
            </w:pPr>
            <w:bookmarkStart w:id="0" w:name="LastJudge"/>
            <w:r w:rsidRPr="002D11B3">
              <w:rPr>
                <w:rFonts w:ascii="Tahoma" w:hAnsi="Tahoma" w:cs="Tahoma"/>
                <w:b/>
                <w:bCs/>
                <w:color w:val="000080"/>
                <w:rtl/>
              </w:rPr>
              <w:t>בית משפט השלום בירושלים</w:t>
            </w:r>
          </w:p>
        </w:tc>
      </w:tr>
      <w:tr w:rsidR="00A745C5" w:rsidRPr="002D11B3" w14:paraId="172D28EA" w14:textId="77777777" w:rsidTr="00C43EA0">
        <w:trPr>
          <w:trHeight w:val="337"/>
          <w:jc w:val="center"/>
        </w:trPr>
        <w:tc>
          <w:tcPr>
            <w:tcW w:w="5053" w:type="dxa"/>
          </w:tcPr>
          <w:p w14:paraId="43BF1419" w14:textId="77777777" w:rsidR="00A745C5" w:rsidRPr="002D11B3" w:rsidRDefault="002D11B3">
            <w:pPr>
              <w:rPr>
                <w:rFonts w:cs="FrankRuehl"/>
                <w:sz w:val="28"/>
                <w:szCs w:val="28"/>
                <w:rtl/>
              </w:rPr>
            </w:pPr>
            <w:r w:rsidRPr="002D11B3">
              <w:rPr>
                <w:rFonts w:cs="FrankRuehl"/>
                <w:sz w:val="28"/>
                <w:szCs w:val="28"/>
                <w:rtl/>
              </w:rPr>
              <w:t>ת"פ</w:t>
            </w:r>
            <w:r w:rsidRPr="002D11B3">
              <w:rPr>
                <w:rFonts w:cs="FrankRuehl" w:hint="cs"/>
                <w:sz w:val="28"/>
                <w:szCs w:val="28"/>
                <w:rtl/>
              </w:rPr>
              <w:t xml:space="preserve"> </w:t>
            </w:r>
            <w:r w:rsidRPr="002D11B3">
              <w:rPr>
                <w:rFonts w:cs="FrankRuehl"/>
                <w:sz w:val="28"/>
                <w:szCs w:val="28"/>
                <w:rtl/>
              </w:rPr>
              <w:t>28420-12-14</w:t>
            </w:r>
            <w:r w:rsidRPr="002D11B3">
              <w:rPr>
                <w:rFonts w:cs="FrankRuehl" w:hint="cs"/>
                <w:sz w:val="28"/>
                <w:szCs w:val="28"/>
                <w:rtl/>
              </w:rPr>
              <w:t xml:space="preserve"> </w:t>
            </w:r>
            <w:r w:rsidRPr="002D11B3">
              <w:rPr>
                <w:rFonts w:cs="FrankRuehl"/>
                <w:sz w:val="28"/>
                <w:szCs w:val="28"/>
                <w:rtl/>
              </w:rPr>
              <w:t>מדינת ישראל נ' אבו סאלח(עציר)</w:t>
            </w:r>
          </w:p>
        </w:tc>
        <w:tc>
          <w:tcPr>
            <w:tcW w:w="3668" w:type="dxa"/>
          </w:tcPr>
          <w:p w14:paraId="1472E7A4" w14:textId="77777777" w:rsidR="00A745C5" w:rsidRPr="002D11B3" w:rsidRDefault="002D11B3">
            <w:pPr>
              <w:pStyle w:val="a3"/>
              <w:jc w:val="right"/>
              <w:rPr>
                <w:rFonts w:cs="FrankRuehl"/>
                <w:sz w:val="28"/>
                <w:szCs w:val="28"/>
                <w:rtl/>
              </w:rPr>
            </w:pPr>
            <w:r w:rsidRPr="002D11B3">
              <w:rPr>
                <w:rFonts w:cs="FrankRuehl"/>
                <w:sz w:val="28"/>
                <w:szCs w:val="28"/>
                <w:rtl/>
              </w:rPr>
              <w:t>19 יולי 2015</w:t>
            </w:r>
          </w:p>
        </w:tc>
      </w:tr>
    </w:tbl>
    <w:p w14:paraId="3A876489" w14:textId="77777777" w:rsidR="00A745C5" w:rsidRPr="002D11B3" w:rsidRDefault="002D11B3">
      <w:pPr>
        <w:pStyle w:val="a3"/>
        <w:rPr>
          <w:rtl/>
        </w:rPr>
      </w:pPr>
      <w:r w:rsidRPr="002D11B3">
        <w:rPr>
          <w:rFonts w:hint="cs"/>
          <w:rtl/>
        </w:rPr>
        <w:t xml:space="preserve"> </w:t>
      </w:r>
    </w:p>
    <w:p w14:paraId="7728B934" w14:textId="77777777" w:rsidR="00A745C5" w:rsidRPr="002D11B3" w:rsidRDefault="002D11B3">
      <w:pPr>
        <w:pStyle w:val="a3"/>
      </w:pPr>
      <w:r w:rsidRPr="002D11B3">
        <w:rPr>
          <w:rFonts w:cs="Times New Roman" w:hint="cs"/>
          <w:b/>
          <w:bCs/>
          <w:sz w:val="26"/>
          <w:szCs w:val="28"/>
          <w:rtl/>
        </w:rPr>
        <w:t xml:space="preserve"> </w:t>
      </w:r>
    </w:p>
    <w:p w14:paraId="7055ED22" w14:textId="77777777" w:rsidR="00A745C5" w:rsidRPr="002D11B3" w:rsidRDefault="00A745C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745C5" w:rsidRPr="002D11B3" w14:paraId="30D98AD6" w14:textId="77777777">
        <w:trPr>
          <w:trHeight w:val="295"/>
          <w:jc w:val="center"/>
        </w:trPr>
        <w:tc>
          <w:tcPr>
            <w:tcW w:w="923" w:type="dxa"/>
            <w:tcBorders>
              <w:top w:val="nil"/>
              <w:left w:val="nil"/>
              <w:bottom w:val="nil"/>
              <w:right w:val="nil"/>
            </w:tcBorders>
            <w:shd w:val="clear" w:color="auto" w:fill="auto"/>
          </w:tcPr>
          <w:p w14:paraId="2B772B43" w14:textId="77777777" w:rsidR="00A745C5" w:rsidRPr="002D11B3" w:rsidRDefault="002D11B3">
            <w:pPr>
              <w:jc w:val="both"/>
              <w:rPr>
                <w:rFonts w:ascii="Arial" w:hAnsi="Arial" w:cs="FrankRuehl"/>
                <w:sz w:val="28"/>
                <w:szCs w:val="28"/>
              </w:rPr>
            </w:pPr>
            <w:r w:rsidRPr="002D11B3">
              <w:rPr>
                <w:rFonts w:ascii="Arial" w:hAnsi="Arial" w:cs="FrankRuehl" w:hint="cs"/>
                <w:sz w:val="28"/>
                <w:szCs w:val="28"/>
                <w:rtl/>
              </w:rPr>
              <w:t>ב</w:t>
            </w:r>
            <w:r w:rsidRPr="002D11B3">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5C37133" w14:textId="77777777" w:rsidR="00A745C5" w:rsidRPr="002D11B3" w:rsidRDefault="002D11B3">
            <w:pPr>
              <w:rPr>
                <w:rFonts w:ascii="Arial" w:hAnsi="Arial" w:cs="FrankRuehl"/>
                <w:b/>
                <w:bCs/>
                <w:sz w:val="28"/>
                <w:szCs w:val="28"/>
                <w:rtl/>
              </w:rPr>
            </w:pPr>
            <w:r w:rsidRPr="002D11B3">
              <w:rPr>
                <w:rFonts w:ascii="Arial" w:hAnsi="Arial" w:cs="FrankRuehl" w:hint="cs"/>
                <w:b/>
                <w:bCs/>
                <w:sz w:val="28"/>
                <w:szCs w:val="28"/>
                <w:rtl/>
              </w:rPr>
              <w:t>כב' השופטת דנה כהן-לקח</w:t>
            </w:r>
          </w:p>
          <w:p w14:paraId="05DA6C6D" w14:textId="77777777" w:rsidR="00A745C5" w:rsidRPr="002D11B3" w:rsidRDefault="00A745C5">
            <w:pPr>
              <w:rPr>
                <w:rFonts w:ascii="Arial" w:hAnsi="Arial" w:cs="FrankRuehl"/>
                <w:b/>
                <w:bCs/>
                <w:sz w:val="28"/>
                <w:szCs w:val="28"/>
                <w:rtl/>
              </w:rPr>
            </w:pPr>
          </w:p>
          <w:p w14:paraId="277E3C3C" w14:textId="77777777" w:rsidR="00A745C5" w:rsidRPr="002D11B3" w:rsidRDefault="002D11B3">
            <w:pPr>
              <w:tabs>
                <w:tab w:val="left" w:pos="1246"/>
              </w:tabs>
              <w:jc w:val="both"/>
              <w:rPr>
                <w:rFonts w:ascii="Arial" w:hAnsi="Arial" w:cs="FrankRuehl"/>
                <w:b/>
                <w:bCs/>
                <w:sz w:val="28"/>
                <w:szCs w:val="28"/>
              </w:rPr>
            </w:pPr>
            <w:r w:rsidRPr="002D11B3">
              <w:rPr>
                <w:rFonts w:ascii="Arial" w:hAnsi="Arial" w:cs="FrankRuehl"/>
                <w:b/>
                <w:bCs/>
                <w:sz w:val="28"/>
                <w:szCs w:val="28"/>
                <w:rtl/>
              </w:rPr>
              <w:tab/>
            </w:r>
          </w:p>
        </w:tc>
      </w:tr>
      <w:tr w:rsidR="00A745C5" w:rsidRPr="002D11B3" w14:paraId="0EC304A3" w14:textId="77777777">
        <w:trPr>
          <w:trHeight w:val="355"/>
          <w:jc w:val="center"/>
        </w:trPr>
        <w:tc>
          <w:tcPr>
            <w:tcW w:w="923" w:type="dxa"/>
            <w:tcBorders>
              <w:top w:val="nil"/>
              <w:left w:val="nil"/>
              <w:bottom w:val="nil"/>
              <w:right w:val="nil"/>
            </w:tcBorders>
            <w:shd w:val="clear" w:color="auto" w:fill="auto"/>
          </w:tcPr>
          <w:p w14:paraId="24B000B2" w14:textId="77777777" w:rsidR="00A745C5" w:rsidRPr="002D11B3" w:rsidRDefault="002D11B3">
            <w:pPr>
              <w:jc w:val="both"/>
              <w:rPr>
                <w:rFonts w:ascii="Arial" w:hAnsi="Arial" w:cs="FrankRuehl"/>
                <w:sz w:val="28"/>
                <w:szCs w:val="28"/>
              </w:rPr>
            </w:pPr>
            <w:bookmarkStart w:id="1" w:name="FirstAppellant"/>
            <w:r w:rsidRPr="002D11B3">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F17750C" w14:textId="77777777" w:rsidR="00A745C5" w:rsidRPr="002D11B3" w:rsidRDefault="002D11B3">
            <w:r w:rsidRPr="002D11B3">
              <w:rPr>
                <w:rFonts w:hint="cs"/>
                <w:rtl/>
              </w:rPr>
              <w:t>מדינת ישראל</w:t>
            </w:r>
          </w:p>
        </w:tc>
        <w:tc>
          <w:tcPr>
            <w:tcW w:w="3771" w:type="dxa"/>
            <w:tcBorders>
              <w:top w:val="nil"/>
              <w:left w:val="nil"/>
              <w:bottom w:val="nil"/>
              <w:right w:val="nil"/>
            </w:tcBorders>
            <w:shd w:val="clear" w:color="auto" w:fill="auto"/>
          </w:tcPr>
          <w:p w14:paraId="11F212AC" w14:textId="77777777" w:rsidR="00A745C5" w:rsidRPr="002D11B3" w:rsidRDefault="00A745C5">
            <w:pPr>
              <w:jc w:val="both"/>
              <w:rPr>
                <w:rFonts w:ascii="Arial" w:hAnsi="Arial" w:cs="FrankRuehl"/>
                <w:sz w:val="28"/>
                <w:szCs w:val="28"/>
              </w:rPr>
            </w:pPr>
          </w:p>
        </w:tc>
      </w:tr>
      <w:bookmarkEnd w:id="1"/>
      <w:tr w:rsidR="00A745C5" w:rsidRPr="002D11B3" w14:paraId="698A16DA" w14:textId="77777777">
        <w:trPr>
          <w:trHeight w:val="355"/>
          <w:jc w:val="center"/>
        </w:trPr>
        <w:tc>
          <w:tcPr>
            <w:tcW w:w="923" w:type="dxa"/>
            <w:tcBorders>
              <w:top w:val="nil"/>
              <w:left w:val="nil"/>
              <w:bottom w:val="nil"/>
              <w:right w:val="nil"/>
            </w:tcBorders>
            <w:shd w:val="clear" w:color="auto" w:fill="auto"/>
          </w:tcPr>
          <w:p w14:paraId="6A95A4DF" w14:textId="77777777" w:rsidR="00A745C5" w:rsidRPr="002D11B3" w:rsidRDefault="00A745C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9E3000B" w14:textId="77777777" w:rsidR="00A745C5" w:rsidRPr="002D11B3" w:rsidRDefault="00A745C5">
            <w:pPr>
              <w:jc w:val="both"/>
              <w:rPr>
                <w:rtl/>
              </w:rPr>
            </w:pPr>
          </w:p>
        </w:tc>
        <w:tc>
          <w:tcPr>
            <w:tcW w:w="3771" w:type="dxa"/>
            <w:tcBorders>
              <w:top w:val="nil"/>
              <w:left w:val="nil"/>
              <w:bottom w:val="nil"/>
              <w:right w:val="nil"/>
            </w:tcBorders>
            <w:shd w:val="clear" w:color="auto" w:fill="auto"/>
          </w:tcPr>
          <w:p w14:paraId="6485513A" w14:textId="77777777" w:rsidR="00A745C5" w:rsidRPr="002D11B3" w:rsidRDefault="002D11B3">
            <w:pPr>
              <w:jc w:val="right"/>
              <w:rPr>
                <w:rFonts w:ascii="Arial" w:hAnsi="Arial" w:cs="FrankRuehl"/>
                <w:sz w:val="28"/>
                <w:szCs w:val="28"/>
                <w:rtl/>
              </w:rPr>
            </w:pPr>
            <w:r w:rsidRPr="002D11B3">
              <w:rPr>
                <w:rFonts w:ascii="Arial" w:hAnsi="Arial" w:cs="FrankRuehl" w:hint="cs"/>
                <w:sz w:val="28"/>
                <w:szCs w:val="28"/>
                <w:rtl/>
              </w:rPr>
              <w:t>ה</w:t>
            </w:r>
            <w:r w:rsidRPr="002D11B3">
              <w:rPr>
                <w:rFonts w:hint="cs"/>
                <w:rtl/>
              </w:rPr>
              <w:t>מאשימה</w:t>
            </w:r>
          </w:p>
        </w:tc>
      </w:tr>
      <w:tr w:rsidR="00A745C5" w:rsidRPr="002D11B3" w14:paraId="370D37B9" w14:textId="77777777">
        <w:trPr>
          <w:trHeight w:val="355"/>
          <w:jc w:val="center"/>
        </w:trPr>
        <w:tc>
          <w:tcPr>
            <w:tcW w:w="923" w:type="dxa"/>
            <w:tcBorders>
              <w:top w:val="nil"/>
              <w:left w:val="nil"/>
              <w:bottom w:val="nil"/>
              <w:right w:val="nil"/>
            </w:tcBorders>
            <w:shd w:val="clear" w:color="auto" w:fill="auto"/>
          </w:tcPr>
          <w:p w14:paraId="719BA1E7" w14:textId="77777777" w:rsidR="00A745C5" w:rsidRPr="002D11B3" w:rsidRDefault="00A745C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A9F0CA8" w14:textId="77777777" w:rsidR="00A745C5" w:rsidRPr="002D11B3" w:rsidRDefault="00A745C5">
            <w:pPr>
              <w:jc w:val="center"/>
              <w:rPr>
                <w:rFonts w:ascii="Arial" w:hAnsi="Arial" w:cs="FrankRuehl"/>
                <w:b/>
                <w:bCs/>
                <w:sz w:val="28"/>
                <w:szCs w:val="28"/>
                <w:rtl/>
              </w:rPr>
            </w:pPr>
          </w:p>
          <w:p w14:paraId="42B57F0B" w14:textId="77777777" w:rsidR="00A745C5" w:rsidRPr="002D11B3" w:rsidRDefault="002D11B3">
            <w:pPr>
              <w:jc w:val="center"/>
              <w:rPr>
                <w:rFonts w:ascii="Arial" w:hAnsi="Arial" w:cs="FrankRuehl"/>
                <w:b/>
                <w:bCs/>
                <w:sz w:val="28"/>
                <w:szCs w:val="28"/>
                <w:rtl/>
              </w:rPr>
            </w:pPr>
            <w:r w:rsidRPr="002D11B3">
              <w:rPr>
                <w:rFonts w:ascii="Arial" w:hAnsi="Arial" w:cs="FrankRuehl"/>
                <w:b/>
                <w:bCs/>
                <w:sz w:val="28"/>
                <w:szCs w:val="28"/>
                <w:rtl/>
              </w:rPr>
              <w:t>נגד</w:t>
            </w:r>
          </w:p>
          <w:p w14:paraId="47D7A622" w14:textId="77777777" w:rsidR="00A745C5" w:rsidRPr="002D11B3" w:rsidRDefault="00A745C5">
            <w:pPr>
              <w:jc w:val="both"/>
              <w:rPr>
                <w:rFonts w:ascii="Arial" w:hAnsi="Arial" w:cs="FrankRuehl"/>
                <w:sz w:val="28"/>
                <w:szCs w:val="28"/>
              </w:rPr>
            </w:pPr>
          </w:p>
        </w:tc>
      </w:tr>
      <w:tr w:rsidR="00A745C5" w:rsidRPr="002D11B3" w14:paraId="309A5D02" w14:textId="77777777">
        <w:trPr>
          <w:trHeight w:val="355"/>
          <w:jc w:val="center"/>
        </w:trPr>
        <w:tc>
          <w:tcPr>
            <w:tcW w:w="923" w:type="dxa"/>
            <w:tcBorders>
              <w:top w:val="nil"/>
              <w:left w:val="nil"/>
              <w:bottom w:val="nil"/>
              <w:right w:val="nil"/>
            </w:tcBorders>
            <w:shd w:val="clear" w:color="auto" w:fill="auto"/>
          </w:tcPr>
          <w:p w14:paraId="111F9817" w14:textId="77777777" w:rsidR="00A745C5" w:rsidRPr="002D11B3" w:rsidRDefault="00A745C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41A62B5" w14:textId="77777777" w:rsidR="00A745C5" w:rsidRPr="002D11B3" w:rsidRDefault="002D11B3">
            <w:pPr>
              <w:jc w:val="both"/>
              <w:rPr>
                <w:rtl/>
              </w:rPr>
            </w:pPr>
            <w:r w:rsidRPr="002D11B3">
              <w:rPr>
                <w:rFonts w:hint="cs"/>
                <w:rtl/>
              </w:rPr>
              <w:t>גאזי אבו סאלח (עציר)</w:t>
            </w:r>
          </w:p>
        </w:tc>
        <w:tc>
          <w:tcPr>
            <w:tcW w:w="3771" w:type="dxa"/>
            <w:tcBorders>
              <w:top w:val="nil"/>
              <w:left w:val="nil"/>
              <w:bottom w:val="nil"/>
              <w:right w:val="nil"/>
            </w:tcBorders>
            <w:shd w:val="clear" w:color="auto" w:fill="auto"/>
          </w:tcPr>
          <w:p w14:paraId="03495DA6" w14:textId="77777777" w:rsidR="00A745C5" w:rsidRPr="002D11B3" w:rsidRDefault="00A745C5">
            <w:pPr>
              <w:jc w:val="right"/>
              <w:rPr>
                <w:rFonts w:ascii="Arial" w:hAnsi="Arial" w:cs="FrankRuehl"/>
                <w:sz w:val="28"/>
                <w:szCs w:val="28"/>
              </w:rPr>
            </w:pPr>
          </w:p>
        </w:tc>
      </w:tr>
      <w:tr w:rsidR="00A745C5" w:rsidRPr="002D11B3" w14:paraId="79020884" w14:textId="77777777">
        <w:trPr>
          <w:trHeight w:val="355"/>
          <w:jc w:val="center"/>
        </w:trPr>
        <w:tc>
          <w:tcPr>
            <w:tcW w:w="923" w:type="dxa"/>
            <w:tcBorders>
              <w:top w:val="nil"/>
              <w:left w:val="nil"/>
              <w:bottom w:val="nil"/>
              <w:right w:val="nil"/>
            </w:tcBorders>
            <w:shd w:val="clear" w:color="auto" w:fill="auto"/>
          </w:tcPr>
          <w:p w14:paraId="2CEED5F2" w14:textId="77777777" w:rsidR="00A745C5" w:rsidRPr="002D11B3" w:rsidRDefault="00A745C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1926294" w14:textId="77777777" w:rsidR="00A745C5" w:rsidRPr="002D11B3" w:rsidRDefault="00A745C5">
            <w:pPr>
              <w:jc w:val="both"/>
              <w:rPr>
                <w:rtl/>
              </w:rPr>
            </w:pPr>
          </w:p>
        </w:tc>
        <w:tc>
          <w:tcPr>
            <w:tcW w:w="3771" w:type="dxa"/>
            <w:tcBorders>
              <w:top w:val="nil"/>
              <w:left w:val="nil"/>
              <w:bottom w:val="nil"/>
              <w:right w:val="nil"/>
            </w:tcBorders>
            <w:shd w:val="clear" w:color="auto" w:fill="auto"/>
          </w:tcPr>
          <w:p w14:paraId="47DCB469" w14:textId="77777777" w:rsidR="00A745C5" w:rsidRPr="002D11B3" w:rsidRDefault="002D11B3">
            <w:pPr>
              <w:jc w:val="right"/>
              <w:rPr>
                <w:rFonts w:ascii="Arial" w:hAnsi="Arial" w:cs="FrankRuehl"/>
                <w:sz w:val="28"/>
                <w:szCs w:val="28"/>
              </w:rPr>
            </w:pPr>
            <w:r w:rsidRPr="002D11B3">
              <w:rPr>
                <w:rFonts w:ascii="Arial" w:hAnsi="Arial" w:cs="FrankRuehl" w:hint="cs"/>
                <w:sz w:val="28"/>
                <w:szCs w:val="28"/>
                <w:rtl/>
              </w:rPr>
              <w:t>ה</w:t>
            </w:r>
            <w:r w:rsidRPr="002D11B3">
              <w:rPr>
                <w:rFonts w:hint="cs"/>
                <w:rtl/>
              </w:rPr>
              <w:t>נאשם</w:t>
            </w:r>
          </w:p>
        </w:tc>
      </w:tr>
    </w:tbl>
    <w:p w14:paraId="5E0DB121" w14:textId="77777777" w:rsidR="00C43EA0" w:rsidRDefault="00C43EA0">
      <w:pPr>
        <w:rPr>
          <w:rtl/>
        </w:rPr>
      </w:pPr>
      <w:bookmarkStart w:id="2" w:name="LawTable"/>
      <w:bookmarkEnd w:id="2"/>
    </w:p>
    <w:p w14:paraId="4E511E85" w14:textId="77777777" w:rsidR="00C43EA0" w:rsidRPr="00C43EA0" w:rsidRDefault="00C43EA0" w:rsidP="00C43EA0">
      <w:pPr>
        <w:spacing w:after="120" w:line="240" w:lineRule="exact"/>
        <w:ind w:left="283" w:hanging="283"/>
        <w:jc w:val="both"/>
        <w:rPr>
          <w:rFonts w:ascii="FrankRuehl" w:hAnsi="FrankRuehl" w:cs="FrankRuehl"/>
          <w:rtl/>
        </w:rPr>
      </w:pPr>
    </w:p>
    <w:p w14:paraId="190CC4DD" w14:textId="77777777" w:rsidR="00C43EA0" w:rsidRPr="00C43EA0" w:rsidRDefault="00C43EA0" w:rsidP="00C43EA0">
      <w:pPr>
        <w:spacing w:after="120" w:line="240" w:lineRule="exact"/>
        <w:ind w:left="283" w:hanging="283"/>
        <w:jc w:val="both"/>
        <w:rPr>
          <w:rFonts w:ascii="FrankRuehl" w:hAnsi="FrankRuehl" w:cs="FrankRuehl"/>
          <w:rtl/>
        </w:rPr>
      </w:pPr>
      <w:r w:rsidRPr="00C43EA0">
        <w:rPr>
          <w:rFonts w:ascii="FrankRuehl" w:hAnsi="FrankRuehl" w:cs="FrankRuehl"/>
          <w:rtl/>
        </w:rPr>
        <w:t xml:space="preserve">חקיקה שאוזכרה: </w:t>
      </w:r>
    </w:p>
    <w:p w14:paraId="19E8FF05" w14:textId="77777777" w:rsidR="00C43EA0" w:rsidRPr="00C43EA0" w:rsidRDefault="00C43EA0" w:rsidP="00C43EA0">
      <w:pPr>
        <w:spacing w:after="120" w:line="240" w:lineRule="exact"/>
        <w:ind w:left="283" w:hanging="283"/>
        <w:jc w:val="both"/>
        <w:rPr>
          <w:rFonts w:ascii="FrankRuehl" w:hAnsi="FrankRuehl" w:cs="FrankRuehl"/>
          <w:rtl/>
        </w:rPr>
      </w:pPr>
      <w:hyperlink r:id="rId6" w:history="1">
        <w:r w:rsidRPr="00C43EA0">
          <w:rPr>
            <w:rFonts w:ascii="FrankRuehl" w:hAnsi="FrankRuehl" w:cs="FrankRuehl"/>
            <w:color w:val="0000FF"/>
            <w:u w:val="single"/>
            <w:rtl/>
          </w:rPr>
          <w:t>פקודת הסמים המסוכנים [נוסח חדש], תשל"ג-1973</w:t>
        </w:r>
      </w:hyperlink>
      <w:r w:rsidRPr="00C43EA0">
        <w:rPr>
          <w:rFonts w:ascii="FrankRuehl" w:hAnsi="FrankRuehl" w:cs="FrankRuehl"/>
          <w:rtl/>
        </w:rPr>
        <w:t xml:space="preserve">: סע'  </w:t>
      </w:r>
      <w:hyperlink r:id="rId7" w:history="1">
        <w:r w:rsidRPr="00C43EA0">
          <w:rPr>
            <w:rFonts w:ascii="FrankRuehl" w:hAnsi="FrankRuehl" w:cs="FrankRuehl"/>
            <w:color w:val="0000FF"/>
            <w:u w:val="single"/>
            <w:rtl/>
          </w:rPr>
          <w:t>13</w:t>
        </w:r>
      </w:hyperlink>
    </w:p>
    <w:p w14:paraId="1A8C2727" w14:textId="77777777" w:rsidR="00C43EA0" w:rsidRPr="00C43EA0" w:rsidRDefault="00C43EA0" w:rsidP="00C43EA0">
      <w:pPr>
        <w:spacing w:after="120" w:line="240" w:lineRule="exact"/>
        <w:ind w:left="283" w:hanging="283"/>
        <w:jc w:val="both"/>
        <w:rPr>
          <w:rFonts w:ascii="FrankRuehl" w:hAnsi="FrankRuehl" w:cs="FrankRuehl"/>
          <w:rtl/>
        </w:rPr>
      </w:pPr>
      <w:hyperlink r:id="rId8" w:history="1">
        <w:r w:rsidRPr="00C43EA0">
          <w:rPr>
            <w:rFonts w:ascii="FrankRuehl" w:hAnsi="FrankRuehl" w:cs="FrankRuehl"/>
            <w:color w:val="0000FF"/>
            <w:u w:val="single"/>
            <w:rtl/>
          </w:rPr>
          <w:t>חוק העונשין, תשל"ז-1977</w:t>
        </w:r>
      </w:hyperlink>
      <w:r w:rsidRPr="00C43EA0">
        <w:rPr>
          <w:rFonts w:ascii="FrankRuehl" w:hAnsi="FrankRuehl" w:cs="FrankRuehl"/>
          <w:rtl/>
        </w:rPr>
        <w:t xml:space="preserve">: סע'  </w:t>
      </w:r>
      <w:hyperlink r:id="rId9" w:history="1">
        <w:r w:rsidRPr="00C43EA0">
          <w:rPr>
            <w:rFonts w:ascii="FrankRuehl" w:hAnsi="FrankRuehl" w:cs="FrankRuehl"/>
            <w:color w:val="0000FF"/>
            <w:u w:val="single"/>
            <w:rtl/>
          </w:rPr>
          <w:t>40ג(א)</w:t>
        </w:r>
      </w:hyperlink>
      <w:r w:rsidRPr="00C43EA0">
        <w:rPr>
          <w:rFonts w:ascii="FrankRuehl" w:hAnsi="FrankRuehl" w:cs="FrankRuehl"/>
          <w:rtl/>
        </w:rPr>
        <w:t xml:space="preserve">, </w:t>
      </w:r>
      <w:hyperlink r:id="rId10" w:history="1">
        <w:r w:rsidRPr="00C43EA0">
          <w:rPr>
            <w:rFonts w:ascii="FrankRuehl" w:hAnsi="FrankRuehl" w:cs="FrankRuehl"/>
            <w:color w:val="0000FF"/>
            <w:u w:val="single"/>
            <w:rtl/>
          </w:rPr>
          <w:t>40יא</w:t>
        </w:r>
      </w:hyperlink>
      <w:r w:rsidRPr="00C43EA0">
        <w:rPr>
          <w:rFonts w:ascii="FrankRuehl" w:hAnsi="FrankRuehl" w:cs="FrankRuehl"/>
          <w:rtl/>
        </w:rPr>
        <w:t xml:space="preserve">, </w:t>
      </w:r>
      <w:hyperlink r:id="rId11" w:history="1">
        <w:r w:rsidRPr="00C43EA0">
          <w:rPr>
            <w:rFonts w:ascii="FrankRuehl" w:hAnsi="FrankRuehl" w:cs="FrankRuehl"/>
            <w:color w:val="0000FF"/>
            <w:u w:val="single"/>
            <w:rtl/>
          </w:rPr>
          <w:t>40יג</w:t>
        </w:r>
      </w:hyperlink>
      <w:r w:rsidRPr="00C43EA0">
        <w:rPr>
          <w:rFonts w:ascii="FrankRuehl" w:hAnsi="FrankRuehl" w:cs="FrankRuehl"/>
          <w:rtl/>
        </w:rPr>
        <w:t xml:space="preserve">, </w:t>
      </w:r>
      <w:hyperlink r:id="rId12" w:history="1">
        <w:r w:rsidRPr="00C43EA0">
          <w:rPr>
            <w:rFonts w:ascii="FrankRuehl" w:hAnsi="FrankRuehl" w:cs="FrankRuehl"/>
            <w:color w:val="0000FF"/>
            <w:u w:val="single"/>
            <w:rtl/>
          </w:rPr>
          <w:t>40יג(ב)</w:t>
        </w:r>
      </w:hyperlink>
    </w:p>
    <w:p w14:paraId="0DC6CFD3" w14:textId="77777777" w:rsidR="00C43EA0" w:rsidRPr="00C43EA0" w:rsidRDefault="00C43EA0" w:rsidP="00C43EA0">
      <w:pPr>
        <w:spacing w:after="120" w:line="240" w:lineRule="exact"/>
        <w:ind w:left="283" w:hanging="283"/>
        <w:jc w:val="both"/>
        <w:rPr>
          <w:rFonts w:ascii="FrankRuehl" w:hAnsi="FrankRuehl" w:cs="FrankRuehl"/>
          <w:rtl/>
        </w:rPr>
      </w:pPr>
      <w:hyperlink r:id="rId13" w:history="1">
        <w:r w:rsidRPr="00C43EA0">
          <w:rPr>
            <w:rFonts w:ascii="FrankRuehl" w:hAnsi="FrankRuehl" w:cs="FrankRuehl"/>
            <w:color w:val="0000FF"/>
            <w:u w:val="single"/>
            <w:rtl/>
          </w:rPr>
          <w:t>חוק סדר הדין הפלילי [נוסח משולב], תשמ"ב-1982</w:t>
        </w:r>
      </w:hyperlink>
      <w:r w:rsidRPr="00C43EA0">
        <w:rPr>
          <w:rFonts w:ascii="FrankRuehl" w:hAnsi="FrankRuehl" w:cs="FrankRuehl"/>
          <w:rtl/>
        </w:rPr>
        <w:t xml:space="preserve">: סע'  </w:t>
      </w:r>
      <w:hyperlink r:id="rId14" w:history="1">
        <w:r w:rsidRPr="00C43EA0">
          <w:rPr>
            <w:rFonts w:ascii="FrankRuehl" w:hAnsi="FrankRuehl" w:cs="FrankRuehl"/>
            <w:color w:val="0000FF"/>
            <w:u w:val="single"/>
            <w:rtl/>
          </w:rPr>
          <w:t>186</w:t>
        </w:r>
      </w:hyperlink>
    </w:p>
    <w:p w14:paraId="1F1F7E29" w14:textId="77777777" w:rsidR="00C43EA0" w:rsidRPr="00C43EA0" w:rsidRDefault="00C43EA0" w:rsidP="00C43EA0">
      <w:pPr>
        <w:spacing w:after="120" w:line="240" w:lineRule="exact"/>
        <w:ind w:left="283" w:hanging="283"/>
        <w:jc w:val="both"/>
        <w:rPr>
          <w:rFonts w:ascii="FrankRuehl" w:hAnsi="FrankRuehl" w:cs="FrankRuehl"/>
          <w:rtl/>
        </w:rPr>
      </w:pPr>
    </w:p>
    <w:p w14:paraId="1637C0B1" w14:textId="77777777" w:rsidR="00C43EA0" w:rsidRPr="00C43EA0" w:rsidRDefault="00C43EA0">
      <w:pPr>
        <w:rPr>
          <w:rtl/>
        </w:rPr>
      </w:pPr>
      <w:bookmarkStart w:id="3" w:name="LawTable_End"/>
      <w:bookmarkEnd w:id="3"/>
    </w:p>
    <w:p w14:paraId="73E7F8F3" w14:textId="77777777" w:rsidR="00C43EA0" w:rsidRPr="00C43EA0" w:rsidRDefault="00C43EA0">
      <w:pPr>
        <w:rPr>
          <w:rtl/>
        </w:rPr>
      </w:pPr>
    </w:p>
    <w:p w14:paraId="25467A64" w14:textId="77777777" w:rsidR="00A745C5" w:rsidRPr="00C43EA0" w:rsidRDefault="00A745C5"/>
    <w:p w14:paraId="1BD20866" w14:textId="77777777" w:rsidR="002D11B3" w:rsidRPr="002D11B3" w:rsidRDefault="002D11B3">
      <w:pPr>
        <w:rPr>
          <w:rFonts w:cs="FrankRuehl"/>
          <w:sz w:val="28"/>
          <w:szCs w:val="28"/>
          <w:rtl/>
        </w:rPr>
      </w:pPr>
    </w:p>
    <w:p w14:paraId="63990220" w14:textId="77777777" w:rsidR="002D11B3" w:rsidRPr="002D11B3" w:rsidRDefault="002D11B3">
      <w:pPr>
        <w:rPr>
          <w:rFonts w:cs="FrankRuehl"/>
          <w:sz w:val="28"/>
          <w:szCs w:val="28"/>
          <w:rtl/>
        </w:rPr>
      </w:pPr>
    </w:p>
    <w:p w14:paraId="7FF373FE" w14:textId="77777777" w:rsidR="00A745C5" w:rsidRPr="002D11B3" w:rsidRDefault="00A745C5">
      <w:pPr>
        <w:rPr>
          <w:rFonts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745C5" w14:paraId="4345E87C" w14:textId="77777777">
        <w:trPr>
          <w:trHeight w:val="355"/>
          <w:jc w:val="center"/>
        </w:trPr>
        <w:tc>
          <w:tcPr>
            <w:tcW w:w="8820" w:type="dxa"/>
            <w:tcBorders>
              <w:top w:val="nil"/>
              <w:left w:val="nil"/>
              <w:bottom w:val="nil"/>
              <w:right w:val="nil"/>
            </w:tcBorders>
            <w:shd w:val="clear" w:color="auto" w:fill="auto"/>
          </w:tcPr>
          <w:p w14:paraId="39B5C678" w14:textId="77777777" w:rsidR="002D11B3" w:rsidRPr="002D11B3" w:rsidRDefault="002D11B3" w:rsidP="002D11B3">
            <w:pPr>
              <w:jc w:val="center"/>
              <w:rPr>
                <w:rFonts w:ascii="Arial" w:hAnsi="Arial" w:cs="FrankRuehl"/>
                <w:b/>
                <w:bCs/>
                <w:sz w:val="32"/>
                <w:szCs w:val="32"/>
                <w:u w:val="single"/>
                <w:rtl/>
              </w:rPr>
            </w:pPr>
            <w:bookmarkStart w:id="4" w:name="PsakDin" w:colFirst="0" w:colLast="0"/>
            <w:bookmarkEnd w:id="0"/>
            <w:r w:rsidRPr="002D11B3">
              <w:rPr>
                <w:rFonts w:ascii="Arial" w:hAnsi="Arial" w:cs="FrankRuehl"/>
                <w:b/>
                <w:bCs/>
                <w:sz w:val="32"/>
                <w:szCs w:val="32"/>
                <w:u w:val="single"/>
                <w:rtl/>
              </w:rPr>
              <w:t>גזר-דין</w:t>
            </w:r>
          </w:p>
          <w:p w14:paraId="0D8BB25A" w14:textId="77777777" w:rsidR="00A745C5" w:rsidRPr="002D11B3" w:rsidRDefault="00A745C5" w:rsidP="002D11B3">
            <w:pPr>
              <w:jc w:val="center"/>
              <w:rPr>
                <w:rFonts w:ascii="Arial" w:hAnsi="Arial" w:cs="FrankRuehl"/>
                <w:bCs/>
                <w:sz w:val="32"/>
                <w:szCs w:val="32"/>
                <w:u w:val="single"/>
                <w:rtl/>
              </w:rPr>
            </w:pPr>
          </w:p>
        </w:tc>
      </w:tr>
      <w:bookmarkEnd w:id="4"/>
    </w:tbl>
    <w:p w14:paraId="6BF4A2F4" w14:textId="77777777" w:rsidR="00A745C5" w:rsidRDefault="00A745C5">
      <w:pPr>
        <w:spacing w:line="480" w:lineRule="auto"/>
        <w:rPr>
          <w:rFonts w:ascii="Arial" w:hAnsi="Arial" w:cs="FrankRuehl"/>
          <w:sz w:val="28"/>
          <w:szCs w:val="28"/>
          <w:rtl/>
        </w:rPr>
      </w:pPr>
    </w:p>
    <w:p w14:paraId="231C568A" w14:textId="77777777" w:rsidR="00A745C5" w:rsidRDefault="002D11B3">
      <w:pPr>
        <w:spacing w:after="120" w:line="360" w:lineRule="auto"/>
        <w:jc w:val="both"/>
        <w:rPr>
          <w:rFonts w:cs="FrankRuehl"/>
          <w:sz w:val="28"/>
          <w:szCs w:val="28"/>
          <w:rtl/>
        </w:rPr>
      </w:pPr>
      <w:r>
        <w:rPr>
          <w:rFonts w:cs="FrankRuehl" w:hint="cs"/>
          <w:sz w:val="28"/>
          <w:szCs w:val="28"/>
          <w:u w:val="single"/>
          <w:rtl/>
        </w:rPr>
        <w:t>רקע</w:t>
      </w:r>
    </w:p>
    <w:p w14:paraId="1130B531" w14:textId="77777777" w:rsidR="00A745C5" w:rsidRDefault="002D11B3">
      <w:pPr>
        <w:spacing w:after="120" w:line="360" w:lineRule="auto"/>
        <w:jc w:val="both"/>
        <w:rPr>
          <w:rFonts w:cs="FrankRuehl"/>
          <w:sz w:val="28"/>
          <w:szCs w:val="28"/>
          <w:rtl/>
        </w:rPr>
      </w:pPr>
      <w:r>
        <w:rPr>
          <w:rFonts w:cs="FrankRuehl" w:hint="cs"/>
          <w:sz w:val="28"/>
          <w:szCs w:val="28"/>
          <w:rtl/>
        </w:rPr>
        <w:t>1.</w:t>
      </w:r>
      <w:r>
        <w:rPr>
          <w:rFonts w:cs="FrankRuehl" w:hint="cs"/>
          <w:sz w:val="28"/>
          <w:szCs w:val="28"/>
          <w:rtl/>
        </w:rPr>
        <w:tab/>
      </w:r>
      <w:bookmarkStart w:id="5" w:name="ABSTRACT_START"/>
      <w:bookmarkEnd w:id="5"/>
      <w:r>
        <w:rPr>
          <w:rFonts w:cs="FrankRuehl" w:hint="cs"/>
          <w:sz w:val="28"/>
          <w:szCs w:val="28"/>
          <w:rtl/>
        </w:rPr>
        <w:t xml:space="preserve">ביום 7.6.2015 הרשעתי את הנאשם בהתאם להודאתו, בשלוש עבירות של סחר בסם מסוכן לפי </w:t>
      </w:r>
      <w:hyperlink r:id="rId15" w:history="1">
        <w:r w:rsidR="00C43EA0" w:rsidRPr="00C43EA0">
          <w:rPr>
            <w:rFonts w:cs="FrankRuehl"/>
            <w:color w:val="0000FF"/>
            <w:sz w:val="28"/>
            <w:szCs w:val="28"/>
            <w:u w:val="single"/>
            <w:rtl/>
          </w:rPr>
          <w:t>סעיף 13</w:t>
        </w:r>
      </w:hyperlink>
      <w:r>
        <w:rPr>
          <w:rFonts w:cs="FrankRuehl" w:hint="cs"/>
          <w:sz w:val="28"/>
          <w:szCs w:val="28"/>
          <w:rtl/>
        </w:rPr>
        <w:t xml:space="preserve"> ל</w:t>
      </w:r>
      <w:hyperlink r:id="rId16" w:history="1">
        <w:r w:rsidRPr="002D11B3">
          <w:rPr>
            <w:rFonts w:cs="FrankRuehl"/>
            <w:color w:val="0000FF"/>
            <w:sz w:val="28"/>
            <w:szCs w:val="28"/>
            <w:u w:val="single"/>
            <w:rtl/>
          </w:rPr>
          <w:t>פקודת הסמים המסוכנים</w:t>
        </w:r>
      </w:hyperlink>
      <w:r>
        <w:rPr>
          <w:rFonts w:cs="FrankRuehl" w:hint="cs"/>
          <w:sz w:val="28"/>
          <w:szCs w:val="28"/>
          <w:rtl/>
        </w:rPr>
        <w:t xml:space="preserve"> [נוסח חדש], התשל"ג-1973 (להלן: </w:t>
      </w:r>
      <w:r>
        <w:rPr>
          <w:rFonts w:cs="Miriam" w:hint="cs"/>
          <w:rtl/>
        </w:rPr>
        <w:t>פקודת הסמים</w:t>
      </w:r>
      <w:r>
        <w:rPr>
          <w:rFonts w:cs="FrankRuehl" w:hint="cs"/>
          <w:sz w:val="28"/>
          <w:szCs w:val="28"/>
          <w:rtl/>
        </w:rPr>
        <w:t>).</w:t>
      </w:r>
    </w:p>
    <w:p w14:paraId="14A3D01A" w14:textId="77777777" w:rsidR="00A745C5" w:rsidRDefault="00A745C5">
      <w:pPr>
        <w:spacing w:after="120" w:line="360" w:lineRule="auto"/>
        <w:jc w:val="both"/>
        <w:rPr>
          <w:rFonts w:cs="FrankRuehl"/>
          <w:sz w:val="28"/>
          <w:szCs w:val="28"/>
        </w:rPr>
      </w:pPr>
    </w:p>
    <w:p w14:paraId="6B732ADE" w14:textId="77777777" w:rsidR="00A745C5" w:rsidRDefault="002D11B3">
      <w:pPr>
        <w:spacing w:after="120" w:line="360" w:lineRule="auto"/>
        <w:jc w:val="both"/>
        <w:rPr>
          <w:rFonts w:cs="FrankRuehl"/>
          <w:sz w:val="28"/>
          <w:szCs w:val="28"/>
          <w:rtl/>
        </w:rPr>
      </w:pPr>
      <w:r>
        <w:rPr>
          <w:rFonts w:cs="FrankRuehl" w:hint="cs"/>
          <w:sz w:val="28"/>
          <w:szCs w:val="28"/>
          <w:rtl/>
        </w:rPr>
        <w:tab/>
        <w:t xml:space="preserve">בהתאם לשלושת האישומים בכתב-האישום המתוקן שבעובדותיו הודה הנאשם, בימים 22.10.2014, 15.10.2014 ו- 8.10.2014 ברחוב שער שכם בירושלים, מכר הנאשם לסוכן משטרתי סם מסוכן מסוג הרואין: פעם אחת במשקל של </w:t>
      </w:r>
      <w:smartTag w:uri="urn:schemas-microsoft-com:office:smarttags" w:element="metricconverter">
        <w:smartTagPr>
          <w:attr w:name="ProductID" w:val="0.4521 גרם"/>
        </w:smartTagPr>
        <w:r>
          <w:rPr>
            <w:rFonts w:cs="FrankRuehl" w:hint="cs"/>
            <w:sz w:val="28"/>
            <w:szCs w:val="28"/>
            <w:rtl/>
          </w:rPr>
          <w:t>0.4521 גרם</w:t>
        </w:r>
      </w:smartTag>
      <w:r>
        <w:rPr>
          <w:rFonts w:cs="FrankRuehl" w:hint="cs"/>
          <w:sz w:val="28"/>
          <w:szCs w:val="28"/>
          <w:rtl/>
        </w:rPr>
        <w:t xml:space="preserve"> נטו, פעם שנייה במשקל של </w:t>
      </w:r>
      <w:smartTag w:uri="urn:schemas-microsoft-com:office:smarttags" w:element="metricconverter">
        <w:smartTagPr>
          <w:attr w:name="ProductID" w:val="0.4419 גרם"/>
        </w:smartTagPr>
        <w:r>
          <w:rPr>
            <w:rFonts w:cs="FrankRuehl" w:hint="cs"/>
            <w:sz w:val="28"/>
            <w:szCs w:val="28"/>
            <w:rtl/>
          </w:rPr>
          <w:t xml:space="preserve">0.4419 </w:t>
        </w:r>
        <w:r>
          <w:rPr>
            <w:rFonts w:cs="FrankRuehl" w:hint="cs"/>
            <w:sz w:val="28"/>
            <w:szCs w:val="28"/>
            <w:rtl/>
          </w:rPr>
          <w:lastRenderedPageBreak/>
          <w:t>גרם</w:t>
        </w:r>
      </w:smartTag>
      <w:r>
        <w:rPr>
          <w:rFonts w:cs="FrankRuehl" w:hint="cs"/>
          <w:sz w:val="28"/>
          <w:szCs w:val="28"/>
          <w:rtl/>
        </w:rPr>
        <w:t xml:space="preserve"> נטו, ופעם שלישית במשקל </w:t>
      </w:r>
      <w:smartTag w:uri="urn:schemas-microsoft-com:office:smarttags" w:element="metricconverter">
        <w:smartTagPr>
          <w:attr w:name="ProductID" w:val="0.4932 גרם"/>
        </w:smartTagPr>
        <w:r>
          <w:rPr>
            <w:rFonts w:cs="FrankRuehl" w:hint="cs"/>
            <w:sz w:val="28"/>
            <w:szCs w:val="28"/>
            <w:rtl/>
          </w:rPr>
          <w:t>0.4932 גרם</w:t>
        </w:r>
      </w:smartTag>
      <w:r>
        <w:rPr>
          <w:rFonts w:cs="FrankRuehl" w:hint="cs"/>
          <w:sz w:val="28"/>
          <w:szCs w:val="28"/>
          <w:rtl/>
        </w:rPr>
        <w:t xml:space="preserve"> נטו. בכל שלוש העסקאות, הסוכן המשטרתי הגיע אל הנאשם ואמר לו שהוא מעוניין לרכוש מנת סם מסוג הרואין. בכל שלוש העסקאות, הסוכן המשטרתי מסר לנאשם 120 ₪, ואז הנאשם הוציא את הסם מפיו והעבירו לסוכן. </w:t>
      </w:r>
    </w:p>
    <w:p w14:paraId="3C40740B" w14:textId="77777777" w:rsidR="00A745C5" w:rsidRDefault="00A745C5">
      <w:pPr>
        <w:spacing w:after="120" w:line="360" w:lineRule="auto"/>
        <w:jc w:val="both"/>
        <w:rPr>
          <w:rFonts w:cs="FrankRuehl"/>
          <w:sz w:val="28"/>
          <w:szCs w:val="28"/>
          <w:rtl/>
        </w:rPr>
      </w:pPr>
    </w:p>
    <w:p w14:paraId="0FB0AB55" w14:textId="77777777" w:rsidR="00A745C5" w:rsidRDefault="002D11B3">
      <w:pPr>
        <w:spacing w:after="120" w:line="360" w:lineRule="auto"/>
        <w:jc w:val="both"/>
        <w:rPr>
          <w:rFonts w:cs="FrankRuehl"/>
          <w:sz w:val="28"/>
          <w:szCs w:val="28"/>
          <w:rtl/>
        </w:rPr>
      </w:pPr>
      <w:bookmarkStart w:id="6" w:name="ABSTRACT_END"/>
      <w:bookmarkEnd w:id="6"/>
      <w:r>
        <w:rPr>
          <w:rFonts w:cs="FrankRuehl" w:hint="cs"/>
          <w:sz w:val="28"/>
          <w:szCs w:val="28"/>
          <w:rtl/>
        </w:rPr>
        <w:t>2.</w:t>
      </w:r>
      <w:r>
        <w:rPr>
          <w:rFonts w:cs="FrankRuehl" w:hint="cs"/>
          <w:sz w:val="28"/>
          <w:szCs w:val="28"/>
          <w:rtl/>
        </w:rPr>
        <w:tab/>
        <w:t xml:space="preserve">הסדר-הטיעון בין הצדדים לא כלל הסכמה לעניין העונש והצדדים נותרו חופשיים בטיעוניהם. יוער כי הסנגור לא עתר להפניית הנאשם לשירות המבחן לצורך הכנת תסקיר עדכני לעונש, אולם הגיש לעיוני (בהעדר התנגדות מטעם המאשימה) תסקירים שהוכנו בעניינו של הנאשם בשנה החולפת, במסגרת הליכים קודמים אליהם אתייחס מיד. </w:t>
      </w:r>
    </w:p>
    <w:p w14:paraId="07A98D7C" w14:textId="77777777" w:rsidR="00A745C5" w:rsidRDefault="00A745C5">
      <w:pPr>
        <w:spacing w:after="120" w:line="360" w:lineRule="auto"/>
        <w:jc w:val="both"/>
        <w:rPr>
          <w:rFonts w:cs="FrankRuehl"/>
          <w:sz w:val="28"/>
          <w:szCs w:val="28"/>
          <w:rtl/>
        </w:rPr>
      </w:pPr>
    </w:p>
    <w:p w14:paraId="0EA58AF8" w14:textId="77777777" w:rsidR="00A745C5" w:rsidRDefault="00A745C5">
      <w:pPr>
        <w:spacing w:after="120" w:line="360" w:lineRule="auto"/>
        <w:jc w:val="both"/>
        <w:rPr>
          <w:rFonts w:cs="FrankRuehl"/>
          <w:sz w:val="28"/>
          <w:szCs w:val="28"/>
          <w:rtl/>
        </w:rPr>
      </w:pPr>
    </w:p>
    <w:p w14:paraId="7FD0F30E" w14:textId="77777777" w:rsidR="00A745C5" w:rsidRDefault="002D11B3">
      <w:pPr>
        <w:spacing w:after="120" w:line="360" w:lineRule="auto"/>
        <w:jc w:val="both"/>
        <w:rPr>
          <w:rFonts w:cs="FrankRuehl"/>
          <w:sz w:val="28"/>
          <w:szCs w:val="28"/>
          <w:u w:val="single"/>
          <w:rtl/>
        </w:rPr>
      </w:pPr>
      <w:r>
        <w:rPr>
          <w:rFonts w:cs="FrankRuehl" w:hint="cs"/>
          <w:sz w:val="28"/>
          <w:szCs w:val="28"/>
          <w:u w:val="single"/>
          <w:rtl/>
        </w:rPr>
        <w:t>הפקעת צו מבחן בהליכים קודמים</w:t>
      </w:r>
    </w:p>
    <w:p w14:paraId="0E094B50" w14:textId="77777777" w:rsidR="00A745C5" w:rsidRDefault="002D11B3">
      <w:pPr>
        <w:spacing w:after="120" w:line="360" w:lineRule="auto"/>
        <w:jc w:val="both"/>
        <w:rPr>
          <w:rFonts w:cs="FrankRuehl"/>
          <w:sz w:val="28"/>
          <w:szCs w:val="28"/>
          <w:rtl/>
        </w:rPr>
      </w:pPr>
      <w:r>
        <w:rPr>
          <w:rFonts w:cs="FrankRuehl" w:hint="cs"/>
          <w:sz w:val="28"/>
          <w:szCs w:val="28"/>
          <w:rtl/>
        </w:rPr>
        <w:t>3.</w:t>
      </w:r>
      <w:r>
        <w:rPr>
          <w:rFonts w:cs="FrankRuehl" w:hint="cs"/>
          <w:sz w:val="28"/>
          <w:szCs w:val="28"/>
          <w:rtl/>
        </w:rPr>
        <w:tab/>
        <w:t xml:space="preserve"> בדיון שהתקיים לפניי ביום 2.7.2015, ביקשו הצדדים כי אדון בשני תיקים אחרים של הנאשם: </w:t>
      </w:r>
      <w:hyperlink r:id="rId17" w:history="1">
        <w:r w:rsidRPr="002D11B3">
          <w:rPr>
            <w:rFonts w:cs="FrankRuehl"/>
            <w:color w:val="0000FF"/>
            <w:sz w:val="28"/>
            <w:szCs w:val="28"/>
            <w:u w:val="single"/>
            <w:rtl/>
          </w:rPr>
          <w:t>ת"פ (י-ם) 31282-02-13</w:t>
        </w:r>
      </w:hyperlink>
      <w:r>
        <w:rPr>
          <w:rFonts w:cs="FrankRuehl" w:hint="cs"/>
          <w:sz w:val="28"/>
          <w:szCs w:val="28"/>
          <w:rtl/>
        </w:rPr>
        <w:t xml:space="preserve"> ות"פ (י-ם) 34785-03-12. מדובר בשני תיקים במסגרתם הורשע הנאשם על-יסוד הודאתו לפני כב' השופט הרבסט, בשתי עבירות של גניבה-סתם ובעבירה אחת של היזק בזדון. בגין כך, גזר כב' השופט הרבסט על הנאשם ביום 29.6.2014 מאסר על-תנאי וצו מבחן לשנה, וזאת לפי המלצת שירות המבחן ובהסכמת הצדדים. יוער כי מדובר בעונש שנשא בשעתו אופי שיקומי, נוכח הצלחתו של הנאשם אותה עת להתרחק מסמי רחוב ולהשתלב בטיפול במסגרת מרכז המתדון לטיפול בנפגעי סמים בירושלים.</w:t>
      </w:r>
    </w:p>
    <w:p w14:paraId="159AECD8" w14:textId="77777777" w:rsidR="00A745C5" w:rsidRDefault="00A745C5">
      <w:pPr>
        <w:spacing w:after="120" w:line="360" w:lineRule="auto"/>
        <w:jc w:val="both"/>
        <w:rPr>
          <w:rFonts w:cs="FrankRuehl"/>
          <w:sz w:val="28"/>
          <w:szCs w:val="28"/>
          <w:rtl/>
        </w:rPr>
      </w:pPr>
    </w:p>
    <w:p w14:paraId="737CD775" w14:textId="77777777" w:rsidR="00A745C5" w:rsidRDefault="002D11B3">
      <w:pPr>
        <w:spacing w:after="120" w:line="360" w:lineRule="auto"/>
        <w:jc w:val="both"/>
        <w:rPr>
          <w:rFonts w:cs="FrankRuehl"/>
          <w:sz w:val="28"/>
          <w:szCs w:val="28"/>
          <w:rtl/>
        </w:rPr>
      </w:pPr>
      <w:r>
        <w:rPr>
          <w:rFonts w:cs="FrankRuehl" w:hint="cs"/>
          <w:sz w:val="28"/>
          <w:szCs w:val="28"/>
          <w:rtl/>
        </w:rPr>
        <w:tab/>
        <w:t xml:space="preserve">דא עקא, הנאשם נעצר בגין עבירות הסמים נשוּא התיק הנוכחי, אשר בוצעו במהלך תקופת צו המבחן שהוטלה על הנאשם בגזר-דינו הנ"ל של כב' השופט הרבסט. על רקע זה, עתר שירות המבחן להפקעת צו המבחן. לבקשת הצדדים, נזקקתי לסוגיה זו ובהסכמתם הוריתי על הפקעת צו המבחן. כמו כן, ראיתי לכבד את הסכמת הצדדים ותחת אותו צו מבחן שהופקע, גזרתי על הנאשם חודשיים מאסר בפועל בניכוי ימי מעצר (סך הכל נדרש הנאשם לרצות לאחר הניכוי הנ"ל 32 ימי מאסר בפועל), במצטבר לכל עונש מאסר אחר, אם וככל שהנאשם מרצה. זאת, ללא שינוי ביתר חלקי גזר-דינו של כב' השופט הרבסט מיום 29.6.2014. </w:t>
      </w:r>
    </w:p>
    <w:p w14:paraId="17629E2A" w14:textId="77777777" w:rsidR="00A745C5" w:rsidRDefault="00A745C5">
      <w:pPr>
        <w:spacing w:after="120" w:line="360" w:lineRule="auto"/>
        <w:jc w:val="both"/>
        <w:rPr>
          <w:rFonts w:cs="FrankRuehl"/>
          <w:sz w:val="28"/>
          <w:szCs w:val="28"/>
          <w:rtl/>
        </w:rPr>
      </w:pPr>
    </w:p>
    <w:p w14:paraId="3D5A7212" w14:textId="77777777" w:rsidR="00A745C5" w:rsidRDefault="002D11B3">
      <w:pPr>
        <w:spacing w:after="120" w:line="360" w:lineRule="auto"/>
        <w:jc w:val="both"/>
        <w:rPr>
          <w:rFonts w:cs="FrankRuehl"/>
          <w:sz w:val="28"/>
          <w:szCs w:val="28"/>
          <w:rtl/>
        </w:rPr>
      </w:pPr>
      <w:r>
        <w:rPr>
          <w:rFonts w:cs="FrankRuehl" w:hint="cs"/>
          <w:sz w:val="28"/>
          <w:szCs w:val="28"/>
          <w:rtl/>
        </w:rPr>
        <w:tab/>
        <w:t xml:space="preserve">משגזרתי את דינו של הנאשם בעקבות הפקעת צו המבחן בשני ההליכים הקודמים בעניינוֹ שנדונו לפני כב' השופט הרבסט, נותר כעת לגזור את דינו של הנאשם בגין ההליך שבכותרת. </w:t>
      </w:r>
    </w:p>
    <w:p w14:paraId="51D6FAF3" w14:textId="77777777" w:rsidR="00A745C5" w:rsidRDefault="00A745C5">
      <w:pPr>
        <w:spacing w:after="120" w:line="360" w:lineRule="auto"/>
        <w:jc w:val="both"/>
        <w:rPr>
          <w:rFonts w:cs="FrankRuehl"/>
          <w:sz w:val="28"/>
          <w:szCs w:val="28"/>
          <w:rtl/>
        </w:rPr>
      </w:pPr>
    </w:p>
    <w:p w14:paraId="3F661106" w14:textId="77777777" w:rsidR="00A745C5" w:rsidRDefault="002D11B3">
      <w:pPr>
        <w:spacing w:after="120" w:line="360" w:lineRule="auto"/>
        <w:jc w:val="both"/>
        <w:rPr>
          <w:rFonts w:cs="FrankRuehl"/>
          <w:sz w:val="28"/>
          <w:szCs w:val="28"/>
          <w:u w:val="single"/>
          <w:rtl/>
        </w:rPr>
      </w:pPr>
      <w:r>
        <w:rPr>
          <w:rFonts w:cs="FrankRuehl" w:hint="cs"/>
          <w:sz w:val="28"/>
          <w:szCs w:val="28"/>
          <w:u w:val="single"/>
          <w:rtl/>
        </w:rPr>
        <w:t>טיעוני הצדדים לעונש בתיק זה</w:t>
      </w:r>
    </w:p>
    <w:p w14:paraId="49A7D75D" w14:textId="77777777" w:rsidR="00A745C5" w:rsidRDefault="002D11B3">
      <w:pPr>
        <w:spacing w:after="120" w:line="360" w:lineRule="auto"/>
        <w:jc w:val="both"/>
        <w:rPr>
          <w:rFonts w:cs="FrankRuehl"/>
          <w:sz w:val="28"/>
          <w:szCs w:val="28"/>
          <w:rtl/>
        </w:rPr>
      </w:pPr>
      <w:r>
        <w:rPr>
          <w:rFonts w:cs="FrankRuehl" w:hint="cs"/>
          <w:sz w:val="28"/>
          <w:szCs w:val="28"/>
          <w:rtl/>
        </w:rPr>
        <w:t>4.</w:t>
      </w:r>
      <w:r>
        <w:rPr>
          <w:rFonts w:cs="FrankRuehl" w:hint="cs"/>
          <w:sz w:val="28"/>
          <w:szCs w:val="28"/>
          <w:rtl/>
        </w:rPr>
        <w:tab/>
        <w:t xml:space="preserve"> בא-כוח המאשימה, עו"ד איהאב חלבי, טען כי מתחם הענישה ההולמת </w:t>
      </w:r>
      <w:r>
        <w:rPr>
          <w:rFonts w:cs="FrankRuehl" w:hint="cs"/>
          <w:sz w:val="28"/>
          <w:szCs w:val="28"/>
          <w:u w:val="single"/>
          <w:rtl/>
        </w:rPr>
        <w:t>בגין כל אחת</w:t>
      </w:r>
      <w:r>
        <w:rPr>
          <w:rFonts w:cs="FrankRuehl" w:hint="cs"/>
          <w:sz w:val="28"/>
          <w:szCs w:val="28"/>
          <w:rtl/>
        </w:rPr>
        <w:t xml:space="preserve"> מעבירות הסחר בסם מסוכן בהן הורשע הנאשם, נע מ- 8 ועד 18 חודשי מאסר בפועל. בנסיבות העניין, טען בא-כוח המאשימה כי יש למקם את עונשו של הנאשם ברף הגבוה ולגזור עליו 15 חודשי מאסר בפועל בגין כל אישום, ובסך-הכל 45 חודשי מאסר בפועל בגין שלושת האישומים, מאסר על-תנאי, וכן פסילה בפועל ופסילה על-תנאי. </w:t>
      </w:r>
    </w:p>
    <w:p w14:paraId="46FDEFDD" w14:textId="77777777" w:rsidR="00A745C5" w:rsidRDefault="002D11B3">
      <w:pPr>
        <w:spacing w:after="120" w:line="360" w:lineRule="auto"/>
        <w:jc w:val="both"/>
        <w:rPr>
          <w:rFonts w:cs="FrankRuehl"/>
          <w:sz w:val="28"/>
          <w:szCs w:val="28"/>
          <w:rtl/>
        </w:rPr>
      </w:pPr>
      <w:r>
        <w:rPr>
          <w:rFonts w:cs="FrankRuehl" w:hint="cs"/>
          <w:sz w:val="28"/>
          <w:szCs w:val="28"/>
          <w:rtl/>
        </w:rPr>
        <w:t xml:space="preserve">                                                                                                                                                                                                                                                                                                                                                                                                                                    </w:t>
      </w:r>
    </w:p>
    <w:p w14:paraId="16E7CC67" w14:textId="77777777" w:rsidR="00A745C5" w:rsidRDefault="002D11B3">
      <w:pPr>
        <w:spacing w:after="120" w:line="360" w:lineRule="auto"/>
        <w:jc w:val="both"/>
        <w:rPr>
          <w:rFonts w:cs="FrankRuehl"/>
          <w:sz w:val="28"/>
          <w:szCs w:val="28"/>
          <w:rtl/>
        </w:rPr>
      </w:pPr>
      <w:r>
        <w:rPr>
          <w:rFonts w:cs="FrankRuehl" w:hint="cs"/>
          <w:sz w:val="28"/>
          <w:szCs w:val="28"/>
          <w:rtl/>
        </w:rPr>
        <w:t>5.</w:t>
      </w:r>
      <w:r>
        <w:rPr>
          <w:rFonts w:cs="FrankRuehl" w:hint="cs"/>
          <w:sz w:val="28"/>
          <w:szCs w:val="28"/>
          <w:rtl/>
        </w:rPr>
        <w:tab/>
        <w:t xml:space="preserve">בא-כוח הנאשם, עו"ד עיסא אבו-אלהווא, טען כי מתחם הענישה ההולמת בגין </w:t>
      </w:r>
      <w:r>
        <w:rPr>
          <w:rFonts w:cs="FrankRuehl" w:hint="cs"/>
          <w:sz w:val="28"/>
          <w:szCs w:val="28"/>
          <w:u w:val="single"/>
          <w:rtl/>
        </w:rPr>
        <w:t>שלושת האישומים יחדיו</w:t>
      </w:r>
      <w:r>
        <w:rPr>
          <w:rFonts w:cs="FrankRuehl" w:hint="cs"/>
          <w:sz w:val="28"/>
          <w:szCs w:val="28"/>
          <w:rtl/>
        </w:rPr>
        <w:t xml:space="preserve"> נע מ- 5 ועד 22 חודשי מאסר בפועל. הסנגור עמד על נסיבותיו המשפחתיות והאישיות של הנאשם ועתר להסתפק ב- 13 עד 14 חודשי מאסר בפועל.</w:t>
      </w:r>
    </w:p>
    <w:p w14:paraId="55993A19" w14:textId="77777777" w:rsidR="00A745C5" w:rsidRDefault="00A745C5">
      <w:pPr>
        <w:spacing w:after="120" w:line="360" w:lineRule="auto"/>
        <w:jc w:val="both"/>
        <w:rPr>
          <w:rFonts w:cs="FrankRuehl"/>
          <w:b/>
          <w:bCs/>
          <w:sz w:val="28"/>
          <w:szCs w:val="28"/>
          <w:u w:val="single"/>
          <w:rtl/>
        </w:rPr>
      </w:pPr>
    </w:p>
    <w:p w14:paraId="7256B123" w14:textId="77777777" w:rsidR="00A745C5" w:rsidRDefault="002D11B3">
      <w:pPr>
        <w:spacing w:after="120" w:line="360" w:lineRule="auto"/>
        <w:jc w:val="both"/>
        <w:rPr>
          <w:rFonts w:cs="FrankRuehl"/>
          <w:sz w:val="28"/>
          <w:szCs w:val="28"/>
          <w:rtl/>
        </w:rPr>
      </w:pPr>
      <w:r>
        <w:rPr>
          <w:rFonts w:cs="FrankRuehl" w:hint="cs"/>
          <w:sz w:val="28"/>
          <w:szCs w:val="28"/>
          <w:rtl/>
        </w:rPr>
        <w:tab/>
        <w:t>הנאשם בדבריו לפניי הביע חרטה על מעשיו, וטען כי מדובר בסחר בין נרקומנים.</w:t>
      </w:r>
    </w:p>
    <w:p w14:paraId="02D686AD" w14:textId="77777777" w:rsidR="00A745C5" w:rsidRDefault="002D11B3">
      <w:pPr>
        <w:spacing w:after="120" w:line="360" w:lineRule="auto"/>
        <w:jc w:val="both"/>
        <w:rPr>
          <w:rFonts w:cs="FrankRuehl"/>
          <w:sz w:val="28"/>
          <w:szCs w:val="28"/>
          <w:rtl/>
        </w:rPr>
      </w:pPr>
      <w:r>
        <w:rPr>
          <w:rFonts w:cs="FrankRuehl" w:hint="cs"/>
          <w:sz w:val="28"/>
          <w:szCs w:val="28"/>
          <w:rtl/>
        </w:rPr>
        <w:tab/>
      </w:r>
    </w:p>
    <w:p w14:paraId="7AF9512B" w14:textId="77777777" w:rsidR="00A745C5" w:rsidRDefault="002D11B3">
      <w:pPr>
        <w:spacing w:after="120" w:line="360" w:lineRule="auto"/>
        <w:jc w:val="both"/>
        <w:rPr>
          <w:rFonts w:cs="FrankRuehl"/>
          <w:sz w:val="28"/>
          <w:szCs w:val="28"/>
          <w:u w:val="single"/>
          <w:rtl/>
        </w:rPr>
      </w:pPr>
      <w:r>
        <w:rPr>
          <w:rFonts w:cs="FrankRuehl" w:hint="cs"/>
          <w:sz w:val="28"/>
          <w:szCs w:val="28"/>
          <w:u w:val="single"/>
          <w:rtl/>
        </w:rPr>
        <w:t>ריבוי עבירות</w:t>
      </w:r>
    </w:p>
    <w:p w14:paraId="49ABD2E9" w14:textId="77777777" w:rsidR="00A745C5" w:rsidRDefault="002D11B3">
      <w:pPr>
        <w:spacing w:after="120" w:line="360" w:lineRule="auto"/>
        <w:jc w:val="both"/>
        <w:rPr>
          <w:rFonts w:ascii="Calibri" w:hAnsi="Calibri" w:cs="FrankRuehl"/>
          <w:sz w:val="28"/>
          <w:szCs w:val="28"/>
          <w:rtl/>
        </w:rPr>
      </w:pPr>
      <w:r>
        <w:rPr>
          <w:rFonts w:cs="FrankRuehl" w:hint="cs"/>
          <w:sz w:val="28"/>
          <w:szCs w:val="28"/>
          <w:rtl/>
        </w:rPr>
        <w:t>6.</w:t>
      </w:r>
      <w:r>
        <w:rPr>
          <w:rFonts w:cs="FrankRuehl" w:hint="cs"/>
          <w:sz w:val="28"/>
          <w:szCs w:val="28"/>
          <w:rtl/>
        </w:rPr>
        <w:tab/>
      </w:r>
      <w:r>
        <w:rPr>
          <w:rFonts w:ascii="Calibri" w:hAnsi="Calibri" w:cs="FrankRuehl" w:hint="cs"/>
          <w:sz w:val="28"/>
          <w:szCs w:val="28"/>
          <w:rtl/>
        </w:rPr>
        <w:t xml:space="preserve">מאחר שבנסיבות המקרה דנן הורשע הנאשם בשלוש עבירות של סחר בסמים במסגרת שלושה אישומים, השאלה המתעוררת בפתח הדיון הינה האם שלושת האישומים מהווים אירוע אחד לצורך קביעתו של מתחם ענישה הולמת כולל, או שמא מדובר בשלושה אירועים אשר יש לקבוע בנוגע לכל אחד מהם מתחם עונש הולם נפרד (ראו: </w:t>
      </w:r>
      <w:hyperlink r:id="rId18" w:history="1">
        <w:r w:rsidR="00C43EA0" w:rsidRPr="00C43EA0">
          <w:rPr>
            <w:rFonts w:ascii="Calibri" w:hAnsi="Calibri" w:cs="FrankRuehl" w:hint="eastAsia"/>
            <w:color w:val="0000FF"/>
            <w:sz w:val="28"/>
            <w:szCs w:val="28"/>
            <w:u w:val="single"/>
            <w:rtl/>
          </w:rPr>
          <w:t>סעיף</w:t>
        </w:r>
        <w:r w:rsidR="00C43EA0" w:rsidRPr="00C43EA0">
          <w:rPr>
            <w:rFonts w:ascii="Calibri" w:hAnsi="Calibri" w:cs="FrankRuehl"/>
            <w:color w:val="0000FF"/>
            <w:sz w:val="28"/>
            <w:szCs w:val="28"/>
            <w:u w:val="single"/>
            <w:rtl/>
          </w:rPr>
          <w:t xml:space="preserve"> 40</w:t>
        </w:r>
        <w:r w:rsidR="00C43EA0" w:rsidRPr="00C43EA0">
          <w:rPr>
            <w:rFonts w:ascii="Calibri" w:hAnsi="Calibri" w:cs="FrankRuehl" w:hint="eastAsia"/>
            <w:color w:val="0000FF"/>
            <w:sz w:val="28"/>
            <w:szCs w:val="28"/>
            <w:u w:val="single"/>
            <w:rtl/>
          </w:rPr>
          <w:t>יג</w:t>
        </w:r>
      </w:hyperlink>
      <w:r>
        <w:rPr>
          <w:rFonts w:ascii="Calibri" w:hAnsi="Calibri" w:cs="FrankRuehl" w:hint="cs"/>
          <w:sz w:val="28"/>
          <w:szCs w:val="28"/>
          <w:rtl/>
        </w:rPr>
        <w:t xml:space="preserve"> ל</w:t>
      </w:r>
      <w:hyperlink r:id="rId19" w:history="1">
        <w:r w:rsidRPr="002D11B3">
          <w:rPr>
            <w:rFonts w:ascii="Calibri" w:hAnsi="Calibri" w:cs="FrankRuehl" w:hint="eastAsia"/>
            <w:color w:val="0000FF"/>
            <w:sz w:val="28"/>
            <w:szCs w:val="28"/>
            <w:u w:val="single"/>
            <w:rtl/>
          </w:rPr>
          <w:t>חוק</w:t>
        </w:r>
        <w:r w:rsidRPr="002D11B3">
          <w:rPr>
            <w:rFonts w:ascii="Calibri" w:hAnsi="Calibri" w:cs="FrankRuehl"/>
            <w:color w:val="0000FF"/>
            <w:sz w:val="28"/>
            <w:szCs w:val="28"/>
            <w:u w:val="single"/>
            <w:rtl/>
          </w:rPr>
          <w:t xml:space="preserve"> </w:t>
        </w:r>
        <w:r w:rsidRPr="002D11B3">
          <w:rPr>
            <w:rFonts w:ascii="Calibri" w:hAnsi="Calibri" w:cs="FrankRuehl" w:hint="eastAsia"/>
            <w:color w:val="0000FF"/>
            <w:sz w:val="28"/>
            <w:szCs w:val="28"/>
            <w:u w:val="single"/>
            <w:rtl/>
          </w:rPr>
          <w:t>העונשין</w:t>
        </w:r>
      </w:hyperlink>
      <w:r>
        <w:rPr>
          <w:rFonts w:ascii="Calibri" w:hAnsi="Calibri" w:cs="FrankRuehl" w:hint="cs"/>
          <w:sz w:val="28"/>
          <w:szCs w:val="28"/>
          <w:rtl/>
        </w:rPr>
        <w:t xml:space="preserve">). </w:t>
      </w:r>
    </w:p>
    <w:p w14:paraId="5FC721F7" w14:textId="77777777" w:rsidR="00A745C5" w:rsidRDefault="00A745C5">
      <w:pPr>
        <w:spacing w:after="120" w:line="360" w:lineRule="auto"/>
        <w:jc w:val="both"/>
        <w:rPr>
          <w:rFonts w:ascii="Calibri" w:hAnsi="Calibri" w:cs="FrankRuehl"/>
          <w:sz w:val="28"/>
          <w:szCs w:val="28"/>
          <w:rtl/>
        </w:rPr>
      </w:pPr>
    </w:p>
    <w:p w14:paraId="756EDB17" w14:textId="77777777" w:rsidR="00A745C5" w:rsidRDefault="002D11B3">
      <w:pPr>
        <w:spacing w:after="120" w:line="360" w:lineRule="auto"/>
        <w:jc w:val="both"/>
        <w:rPr>
          <w:rFonts w:cs="FrankRuehl"/>
          <w:sz w:val="28"/>
          <w:szCs w:val="28"/>
          <w:rtl/>
        </w:rPr>
      </w:pPr>
      <w:r>
        <w:rPr>
          <w:rFonts w:ascii="Calibri" w:hAnsi="Calibri" w:cs="FrankRuehl" w:hint="cs"/>
          <w:sz w:val="28"/>
          <w:szCs w:val="28"/>
          <w:rtl/>
        </w:rPr>
        <w:tab/>
        <w:t xml:space="preserve">ניתן למצוא פנים לכאן ולכאן בשאלה האמורה: </w:t>
      </w:r>
      <w:r>
        <w:rPr>
          <w:rFonts w:ascii="Calibri" w:hAnsi="Calibri" w:cs="Miriam" w:hint="cs"/>
          <w:rtl/>
        </w:rPr>
        <w:t>מחד גיסא</w:t>
      </w:r>
      <w:r>
        <w:rPr>
          <w:rFonts w:ascii="Calibri" w:hAnsi="Calibri" w:cs="FrankRuehl" w:hint="cs"/>
          <w:sz w:val="28"/>
          <w:szCs w:val="28"/>
          <w:rtl/>
        </w:rPr>
        <w:t xml:space="preserve">, </w:t>
      </w:r>
      <w:r>
        <w:rPr>
          <w:rFonts w:cs="FrankRuehl" w:hint="cs"/>
          <w:sz w:val="28"/>
          <w:szCs w:val="28"/>
          <w:rtl/>
        </w:rPr>
        <w:t xml:space="preserve">ניתן לסבור כי מדובר באותה מסכת עבריינית עם קשר הדוק בין המקרים. כך הוא הדבר, שכן שלושת האישומים עוסקים בעבירה של סחר בסמים מסוג הרואין, שבוצעו מול אותו סוכן משטרתי, באותו מקום בירושלים, במהלך פרק-זמן כולל של כשבועיים, במשקל סם דומה וכן עבור תמורה כספית זהה בכל שלוש העסקאות. נראה כי לפי מבחן "הקשר ההדוק", יש לקבוע מתחם ענישה הולמת אחד בגין שלוש העבירות בהן הורשע הנאשם בהיותן בגדר "אירוע" אחד. </w:t>
      </w:r>
      <w:r>
        <w:rPr>
          <w:rFonts w:ascii="Calibri" w:hAnsi="Calibri" w:cs="FrankRuehl" w:hint="cs"/>
          <w:sz w:val="28"/>
          <w:szCs w:val="28"/>
          <w:rtl/>
        </w:rPr>
        <w:t xml:space="preserve">ודוק, במסגרת קביעתו של המתחם הנ"ל, מן הראוי ליתן משקל לכך שהנאשם ביצע מספר "מעשים" כמובנו של מונח זה </w:t>
      </w:r>
      <w:hyperlink r:id="rId20" w:history="1">
        <w:r w:rsidR="00C43EA0" w:rsidRPr="00C43EA0">
          <w:rPr>
            <w:rFonts w:ascii="Calibri" w:hAnsi="Calibri" w:cs="FrankRuehl" w:hint="eastAsia"/>
            <w:color w:val="0000FF"/>
            <w:sz w:val="28"/>
            <w:szCs w:val="28"/>
            <w:u w:val="single"/>
            <w:rtl/>
          </w:rPr>
          <w:t>בסעיף</w:t>
        </w:r>
        <w:r w:rsidR="00C43EA0" w:rsidRPr="00C43EA0">
          <w:rPr>
            <w:rFonts w:ascii="Calibri" w:hAnsi="Calibri" w:cs="FrankRuehl"/>
            <w:color w:val="0000FF"/>
            <w:sz w:val="28"/>
            <w:szCs w:val="28"/>
            <w:u w:val="single"/>
            <w:rtl/>
          </w:rPr>
          <w:t xml:space="preserve"> 186</w:t>
        </w:r>
      </w:hyperlink>
      <w:r>
        <w:rPr>
          <w:rFonts w:ascii="Calibri" w:hAnsi="Calibri" w:cs="FrankRuehl" w:hint="cs"/>
          <w:sz w:val="28"/>
          <w:szCs w:val="28"/>
          <w:rtl/>
        </w:rPr>
        <w:t xml:space="preserve"> ל</w:t>
      </w:r>
      <w:hyperlink r:id="rId21" w:history="1">
        <w:r w:rsidRPr="002D11B3">
          <w:rPr>
            <w:rFonts w:ascii="Calibri" w:hAnsi="Calibri" w:cs="FrankRuehl" w:hint="eastAsia"/>
            <w:color w:val="0000FF"/>
            <w:sz w:val="28"/>
            <w:szCs w:val="28"/>
            <w:u w:val="single"/>
            <w:rtl/>
          </w:rPr>
          <w:t>חוק</w:t>
        </w:r>
        <w:r w:rsidRPr="002D11B3">
          <w:rPr>
            <w:rFonts w:ascii="Calibri" w:hAnsi="Calibri" w:cs="FrankRuehl"/>
            <w:color w:val="0000FF"/>
            <w:sz w:val="28"/>
            <w:szCs w:val="28"/>
            <w:u w:val="single"/>
            <w:rtl/>
          </w:rPr>
          <w:t xml:space="preserve"> </w:t>
        </w:r>
        <w:r w:rsidRPr="002D11B3">
          <w:rPr>
            <w:rFonts w:ascii="Calibri" w:hAnsi="Calibri" w:cs="FrankRuehl" w:hint="eastAsia"/>
            <w:color w:val="0000FF"/>
            <w:sz w:val="28"/>
            <w:szCs w:val="28"/>
            <w:u w:val="single"/>
            <w:rtl/>
          </w:rPr>
          <w:t>סדר</w:t>
        </w:r>
        <w:r w:rsidRPr="002D11B3">
          <w:rPr>
            <w:rFonts w:ascii="Calibri" w:hAnsi="Calibri" w:cs="FrankRuehl"/>
            <w:color w:val="0000FF"/>
            <w:sz w:val="28"/>
            <w:szCs w:val="28"/>
            <w:u w:val="single"/>
            <w:rtl/>
          </w:rPr>
          <w:t xml:space="preserve"> </w:t>
        </w:r>
        <w:r w:rsidRPr="002D11B3">
          <w:rPr>
            <w:rFonts w:ascii="Calibri" w:hAnsi="Calibri" w:cs="FrankRuehl" w:hint="eastAsia"/>
            <w:color w:val="0000FF"/>
            <w:sz w:val="28"/>
            <w:szCs w:val="28"/>
            <w:u w:val="single"/>
            <w:rtl/>
          </w:rPr>
          <w:t>הדין</w:t>
        </w:r>
        <w:r w:rsidRPr="002D11B3">
          <w:rPr>
            <w:rFonts w:ascii="Calibri" w:hAnsi="Calibri" w:cs="FrankRuehl"/>
            <w:color w:val="0000FF"/>
            <w:sz w:val="28"/>
            <w:szCs w:val="28"/>
            <w:u w:val="single"/>
            <w:rtl/>
          </w:rPr>
          <w:t xml:space="preserve"> </w:t>
        </w:r>
        <w:r w:rsidRPr="002D11B3">
          <w:rPr>
            <w:rFonts w:ascii="Calibri" w:hAnsi="Calibri" w:cs="FrankRuehl" w:hint="eastAsia"/>
            <w:color w:val="0000FF"/>
            <w:sz w:val="28"/>
            <w:szCs w:val="28"/>
            <w:u w:val="single"/>
            <w:rtl/>
          </w:rPr>
          <w:t>הפלילי</w:t>
        </w:r>
      </w:hyperlink>
      <w:r>
        <w:rPr>
          <w:rFonts w:ascii="Calibri" w:hAnsi="Calibri" w:cs="FrankRuehl" w:hint="cs"/>
          <w:sz w:val="28"/>
          <w:szCs w:val="28"/>
          <w:rtl/>
        </w:rPr>
        <w:t xml:space="preserve"> [נוסח משולב], התשמ"ב-1982. הדבר ישווה מידה של חוּמרה שתשפיע על קביעתו של מתחם העונש ההולם הכולל בגין שלוש העבירות בהן הורשע</w:t>
      </w:r>
      <w:r>
        <w:rPr>
          <w:rFonts w:cs="FrankRuehl" w:hint="cs"/>
          <w:sz w:val="28"/>
          <w:szCs w:val="28"/>
          <w:rtl/>
        </w:rPr>
        <w:t xml:space="preserve"> הנאשם </w:t>
      </w:r>
      <w:r>
        <w:rPr>
          <w:rFonts w:ascii="Calibri" w:hAnsi="Calibri" w:cs="FrankRuehl" w:hint="cs"/>
          <w:sz w:val="28"/>
          <w:szCs w:val="28"/>
          <w:rtl/>
        </w:rPr>
        <w:t xml:space="preserve">(ראו והשוו: </w:t>
      </w:r>
      <w:hyperlink r:id="rId22" w:history="1">
        <w:r w:rsidRPr="002D11B3">
          <w:rPr>
            <w:rFonts w:ascii="Calibri" w:hAnsi="Calibri" w:cs="FrankRuehl" w:hint="eastAsia"/>
            <w:color w:val="0000FF"/>
            <w:sz w:val="28"/>
            <w:szCs w:val="28"/>
            <w:u w:val="single"/>
            <w:rtl/>
          </w:rPr>
          <w:t>ע</w:t>
        </w:r>
        <w:r w:rsidRPr="002D11B3">
          <w:rPr>
            <w:rFonts w:ascii="Calibri" w:hAnsi="Calibri" w:cs="FrankRuehl"/>
            <w:color w:val="0000FF"/>
            <w:sz w:val="28"/>
            <w:szCs w:val="28"/>
            <w:u w:val="single"/>
            <w:rtl/>
          </w:rPr>
          <w:t>"</w:t>
        </w:r>
        <w:r w:rsidRPr="002D11B3">
          <w:rPr>
            <w:rFonts w:ascii="Calibri" w:hAnsi="Calibri" w:cs="FrankRuehl" w:hint="eastAsia"/>
            <w:color w:val="0000FF"/>
            <w:sz w:val="28"/>
            <w:szCs w:val="28"/>
            <w:u w:val="single"/>
            <w:rtl/>
          </w:rPr>
          <w:t>פ</w:t>
        </w:r>
        <w:r w:rsidRPr="002D11B3">
          <w:rPr>
            <w:rFonts w:ascii="Calibri" w:hAnsi="Calibri" w:cs="FrankRuehl"/>
            <w:color w:val="0000FF"/>
            <w:sz w:val="28"/>
            <w:szCs w:val="28"/>
            <w:u w:val="single"/>
            <w:rtl/>
          </w:rPr>
          <w:t xml:space="preserve"> 4910/13</w:t>
        </w:r>
      </w:hyperlink>
      <w:r>
        <w:rPr>
          <w:rFonts w:ascii="Calibri" w:hAnsi="Calibri" w:cs="FrankRuehl" w:hint="cs"/>
          <w:sz w:val="28"/>
          <w:szCs w:val="28"/>
          <w:rtl/>
        </w:rPr>
        <w:t xml:space="preserve"> </w:t>
      </w:r>
      <w:r>
        <w:rPr>
          <w:rFonts w:ascii="Calibri" w:hAnsi="Calibri" w:cs="Miriam" w:hint="cs"/>
          <w:rtl/>
        </w:rPr>
        <w:t>ג'אבר נ' מדינת ישראל</w:t>
      </w:r>
      <w:r>
        <w:rPr>
          <w:rFonts w:ascii="Calibri" w:hAnsi="Calibri" w:cs="FrankRuehl" w:hint="cs"/>
          <w:sz w:val="28"/>
          <w:szCs w:val="28"/>
          <w:rtl/>
        </w:rPr>
        <w:t xml:space="preserve"> (29.10.2014) - גישתם של כב' השופטת ברק-ארז בפיסקה 5 ואילך לפסק-דינה, וכב' השופט פוגלמן בפיסקה 2 לפסק-דינו; עוד ראו והשוו לאחרונה: רע"פ 4660/14 </w:t>
      </w:r>
      <w:r>
        <w:rPr>
          <w:rFonts w:ascii="Calibri" w:hAnsi="Calibri" w:cs="Miriam" w:hint="cs"/>
          <w:rtl/>
        </w:rPr>
        <w:t>קיסלמן נ' מדינת ישראל</w:t>
      </w:r>
      <w:r>
        <w:rPr>
          <w:rFonts w:ascii="Calibri" w:hAnsi="Calibri" w:cs="FrankRuehl" w:hint="cs"/>
          <w:sz w:val="28"/>
          <w:szCs w:val="28"/>
          <w:rtl/>
        </w:rPr>
        <w:t xml:space="preserve"> (7.5.2015) מפי כב' השופט מלצר; </w:t>
      </w:r>
      <w:hyperlink r:id="rId23" w:history="1">
        <w:r w:rsidRPr="002D11B3">
          <w:rPr>
            <w:rFonts w:ascii="Calibri" w:hAnsi="Calibri" w:cs="FrankRuehl" w:hint="eastAsia"/>
            <w:color w:val="0000FF"/>
            <w:sz w:val="28"/>
            <w:szCs w:val="28"/>
            <w:u w:val="single"/>
            <w:rtl/>
          </w:rPr>
          <w:t>ע</w:t>
        </w:r>
        <w:r w:rsidRPr="002D11B3">
          <w:rPr>
            <w:rFonts w:ascii="Calibri" w:hAnsi="Calibri" w:cs="FrankRuehl"/>
            <w:color w:val="0000FF"/>
            <w:sz w:val="28"/>
            <w:szCs w:val="28"/>
            <w:u w:val="single"/>
            <w:rtl/>
          </w:rPr>
          <w:t>"</w:t>
        </w:r>
        <w:r w:rsidRPr="002D11B3">
          <w:rPr>
            <w:rFonts w:ascii="Calibri" w:hAnsi="Calibri" w:cs="FrankRuehl" w:hint="eastAsia"/>
            <w:color w:val="0000FF"/>
            <w:sz w:val="28"/>
            <w:szCs w:val="28"/>
            <w:u w:val="single"/>
            <w:rtl/>
          </w:rPr>
          <w:t>פ</w:t>
        </w:r>
        <w:r w:rsidRPr="002D11B3">
          <w:rPr>
            <w:rFonts w:ascii="Calibri" w:hAnsi="Calibri" w:cs="FrankRuehl"/>
            <w:color w:val="0000FF"/>
            <w:sz w:val="28"/>
            <w:szCs w:val="28"/>
            <w:u w:val="single"/>
            <w:rtl/>
          </w:rPr>
          <w:t xml:space="preserve"> 5643/14</w:t>
        </w:r>
      </w:hyperlink>
      <w:r>
        <w:rPr>
          <w:rFonts w:ascii="Calibri" w:hAnsi="Calibri" w:cs="FrankRuehl" w:hint="cs"/>
          <w:sz w:val="28"/>
          <w:szCs w:val="28"/>
          <w:rtl/>
        </w:rPr>
        <w:t xml:space="preserve"> </w:t>
      </w:r>
      <w:r>
        <w:rPr>
          <w:rFonts w:ascii="Calibri" w:hAnsi="Calibri" w:cs="Miriam" w:hint="cs"/>
          <w:rtl/>
        </w:rPr>
        <w:t>עיסא נ' מדינת ישראל</w:t>
      </w:r>
      <w:r>
        <w:rPr>
          <w:rFonts w:ascii="Calibri" w:hAnsi="Calibri" w:cs="FrankRuehl" w:hint="cs"/>
          <w:sz w:val="28"/>
          <w:szCs w:val="28"/>
          <w:rtl/>
        </w:rPr>
        <w:t xml:space="preserve"> (24.6.2015) מפי כב' השופט זילברטל; וכן: </w:t>
      </w:r>
      <w:hyperlink r:id="rId24" w:history="1">
        <w:r w:rsidRPr="002D11B3">
          <w:rPr>
            <w:rFonts w:ascii="Calibri" w:hAnsi="Calibri" w:cs="FrankRuehl" w:hint="eastAsia"/>
            <w:color w:val="0000FF"/>
            <w:sz w:val="28"/>
            <w:szCs w:val="28"/>
            <w:u w:val="single"/>
            <w:rtl/>
          </w:rPr>
          <w:t>ע</w:t>
        </w:r>
        <w:r w:rsidRPr="002D11B3">
          <w:rPr>
            <w:rFonts w:ascii="Calibri" w:hAnsi="Calibri" w:cs="FrankRuehl"/>
            <w:color w:val="0000FF"/>
            <w:sz w:val="28"/>
            <w:szCs w:val="28"/>
            <w:u w:val="single"/>
            <w:rtl/>
          </w:rPr>
          <w:t>"</w:t>
        </w:r>
        <w:r w:rsidRPr="002D11B3">
          <w:rPr>
            <w:rFonts w:ascii="Calibri" w:hAnsi="Calibri" w:cs="FrankRuehl" w:hint="eastAsia"/>
            <w:color w:val="0000FF"/>
            <w:sz w:val="28"/>
            <w:szCs w:val="28"/>
            <w:u w:val="single"/>
            <w:rtl/>
          </w:rPr>
          <w:t>פ</w:t>
        </w:r>
        <w:r w:rsidRPr="002D11B3">
          <w:rPr>
            <w:rFonts w:ascii="Calibri" w:hAnsi="Calibri" w:cs="FrankRuehl"/>
            <w:color w:val="0000FF"/>
            <w:sz w:val="28"/>
            <w:szCs w:val="28"/>
            <w:u w:val="single"/>
            <w:rtl/>
          </w:rPr>
          <w:t xml:space="preserve"> 6341/14</w:t>
        </w:r>
      </w:hyperlink>
      <w:r>
        <w:rPr>
          <w:rFonts w:ascii="Calibri" w:hAnsi="Calibri" w:cs="FrankRuehl" w:hint="cs"/>
          <w:sz w:val="28"/>
          <w:szCs w:val="28"/>
          <w:rtl/>
        </w:rPr>
        <w:t xml:space="preserve"> </w:t>
      </w:r>
      <w:r>
        <w:rPr>
          <w:rFonts w:ascii="Calibri" w:hAnsi="Calibri" w:cs="Miriam" w:hint="cs"/>
          <w:rtl/>
        </w:rPr>
        <w:t>בן אישטי נ' מדינת ישראל</w:t>
      </w:r>
      <w:r>
        <w:rPr>
          <w:rFonts w:ascii="Calibri" w:hAnsi="Calibri" w:cs="FrankRuehl" w:hint="cs"/>
          <w:sz w:val="28"/>
          <w:szCs w:val="28"/>
          <w:rtl/>
        </w:rPr>
        <w:t>, פסקה 15 (8.7.2015) מפי כב' השופט ג'ובראן).</w:t>
      </w:r>
    </w:p>
    <w:p w14:paraId="38D803CE" w14:textId="77777777" w:rsidR="00A745C5" w:rsidRDefault="00A745C5">
      <w:pPr>
        <w:spacing w:after="120" w:line="360" w:lineRule="auto"/>
        <w:ind w:firstLine="720"/>
        <w:jc w:val="both"/>
        <w:rPr>
          <w:rFonts w:ascii="Calibri" w:hAnsi="Calibri" w:cs="FrankRuehl"/>
          <w:sz w:val="28"/>
          <w:szCs w:val="28"/>
          <w:rtl/>
        </w:rPr>
      </w:pPr>
    </w:p>
    <w:p w14:paraId="5216D8D1" w14:textId="77777777" w:rsidR="00A745C5" w:rsidRDefault="002D11B3">
      <w:pPr>
        <w:spacing w:after="120" w:line="360" w:lineRule="auto"/>
        <w:ind w:firstLine="720"/>
        <w:jc w:val="both"/>
        <w:rPr>
          <w:rFonts w:ascii="Calibri" w:hAnsi="Calibri" w:cs="FrankRuehl"/>
          <w:sz w:val="28"/>
          <w:szCs w:val="28"/>
          <w:rtl/>
        </w:rPr>
      </w:pPr>
      <w:r>
        <w:rPr>
          <w:rFonts w:ascii="Calibri" w:hAnsi="Calibri" w:cs="Miriam" w:hint="cs"/>
          <w:rtl/>
        </w:rPr>
        <w:t>מאידך גיסא</w:t>
      </w:r>
      <w:r>
        <w:rPr>
          <w:rFonts w:ascii="Calibri" w:hAnsi="Calibri" w:cs="FrankRuehl" w:hint="cs"/>
          <w:sz w:val="28"/>
          <w:szCs w:val="28"/>
          <w:rtl/>
        </w:rPr>
        <w:t>, שלוש עבירות הסחר בסמים</w:t>
      </w:r>
      <w:r>
        <w:rPr>
          <w:rFonts w:cs="FrankRuehl" w:hint="cs"/>
          <w:sz w:val="28"/>
          <w:szCs w:val="28"/>
          <w:rtl/>
        </w:rPr>
        <w:t xml:space="preserve"> בוצעו בזמנים שונים, בהפרש של כשבוע האחת מרעותה. עסקאות הסם ניתנות להפרדה מבחינה מהותית וכרונולוגית, באופן שאינו מלאכותי.</w:t>
      </w:r>
      <w:r>
        <w:rPr>
          <w:rFonts w:ascii="Calibri" w:hAnsi="Calibri" w:cs="FrankRuehl" w:hint="cs"/>
          <w:sz w:val="28"/>
          <w:szCs w:val="28"/>
          <w:rtl/>
        </w:rPr>
        <w:t xml:space="preserve"> בהתאם למבחן "הצורני-העובדתי", ניתן לטעון כי ראוי לקבוע מתחמים נפרדים בגין כל אחת מעבירות הסחר בסם מסוכן בהן הורשע הנאשם (ראו והשוו: גישת כב' השופט דנציגר בע"פ 4913/10 </w:t>
      </w:r>
      <w:r>
        <w:rPr>
          <w:rFonts w:ascii="Calibri" w:hAnsi="Calibri" w:cs="Miriam" w:hint="cs"/>
          <w:rtl/>
        </w:rPr>
        <w:t>ג'אבר</w:t>
      </w:r>
      <w:r>
        <w:rPr>
          <w:rFonts w:ascii="Calibri" w:hAnsi="Calibri" w:cs="FrankRuehl" w:hint="cs"/>
          <w:sz w:val="28"/>
          <w:szCs w:val="28"/>
          <w:rtl/>
        </w:rPr>
        <w:t xml:space="preserve"> הנ"ל, פיסקאות 24, 29 עד 31 לפסק-דינו; וכן גישתו של כב' השופט ג'ובראן ב</w:t>
      </w:r>
      <w:hyperlink r:id="rId25" w:history="1">
        <w:r w:rsidRPr="002D11B3">
          <w:rPr>
            <w:rFonts w:ascii="Calibri" w:hAnsi="Calibri" w:cs="FrankRuehl" w:hint="eastAsia"/>
            <w:color w:val="0000FF"/>
            <w:sz w:val="28"/>
            <w:szCs w:val="28"/>
            <w:u w:val="single"/>
            <w:rtl/>
          </w:rPr>
          <w:t>ע</w:t>
        </w:r>
        <w:r w:rsidRPr="002D11B3">
          <w:rPr>
            <w:rFonts w:ascii="Calibri" w:hAnsi="Calibri" w:cs="FrankRuehl"/>
            <w:color w:val="0000FF"/>
            <w:sz w:val="28"/>
            <w:szCs w:val="28"/>
            <w:u w:val="single"/>
            <w:rtl/>
          </w:rPr>
          <w:t>"</w:t>
        </w:r>
        <w:r w:rsidRPr="002D11B3">
          <w:rPr>
            <w:rFonts w:ascii="Calibri" w:hAnsi="Calibri" w:cs="FrankRuehl" w:hint="eastAsia"/>
            <w:color w:val="0000FF"/>
            <w:sz w:val="28"/>
            <w:szCs w:val="28"/>
            <w:u w:val="single"/>
            <w:rtl/>
          </w:rPr>
          <w:t>פ</w:t>
        </w:r>
        <w:r w:rsidRPr="002D11B3">
          <w:rPr>
            <w:rFonts w:ascii="Calibri" w:hAnsi="Calibri" w:cs="FrankRuehl"/>
            <w:color w:val="0000FF"/>
            <w:sz w:val="28"/>
            <w:szCs w:val="28"/>
            <w:u w:val="single"/>
            <w:rtl/>
          </w:rPr>
          <w:t xml:space="preserve"> 1605/13</w:t>
        </w:r>
      </w:hyperlink>
      <w:r>
        <w:rPr>
          <w:rFonts w:ascii="Calibri" w:hAnsi="Calibri" w:cs="FrankRuehl" w:hint="cs"/>
          <w:sz w:val="28"/>
          <w:szCs w:val="28"/>
          <w:rtl/>
        </w:rPr>
        <w:t xml:space="preserve"> </w:t>
      </w:r>
      <w:r>
        <w:rPr>
          <w:rFonts w:ascii="Calibri" w:hAnsi="Calibri" w:cs="Miriam" w:hint="cs"/>
          <w:rtl/>
        </w:rPr>
        <w:t>פלוני נ' מדינת ישראל</w:t>
      </w:r>
      <w:r>
        <w:rPr>
          <w:rFonts w:ascii="Calibri" w:hAnsi="Calibri" w:cs="FrankRuehl" w:hint="cs"/>
          <w:sz w:val="28"/>
          <w:szCs w:val="28"/>
          <w:rtl/>
        </w:rPr>
        <w:t>, פיסקה 15 (27.8.2014); עוד השוו: פסיקתו של בית-המשפט המחוזי בבאר-שבע</w:t>
      </w:r>
      <w:r>
        <w:rPr>
          <w:rFonts w:cs="FrankRuehl" w:hint="cs"/>
          <w:sz w:val="28"/>
          <w:szCs w:val="28"/>
          <w:rtl/>
        </w:rPr>
        <w:t xml:space="preserve"> ב</w:t>
      </w:r>
      <w:hyperlink r:id="rId26" w:history="1">
        <w:r w:rsidRPr="002D11B3">
          <w:rPr>
            <w:rFonts w:cs="FrankRuehl"/>
            <w:color w:val="0000FF"/>
            <w:sz w:val="28"/>
            <w:szCs w:val="28"/>
            <w:u w:val="single"/>
            <w:rtl/>
          </w:rPr>
          <w:t>עפ"ג 39844-08-13</w:t>
        </w:r>
      </w:hyperlink>
      <w:r>
        <w:rPr>
          <w:rFonts w:cs="Miriam" w:hint="cs"/>
          <w:rtl/>
        </w:rPr>
        <w:t xml:space="preserve"> מדינת ישראל נ' אבו רקייק</w:t>
      </w:r>
      <w:r>
        <w:rPr>
          <w:rFonts w:cs="FrankRuehl" w:hint="cs"/>
          <w:sz w:val="28"/>
          <w:szCs w:val="28"/>
          <w:rtl/>
        </w:rPr>
        <w:t xml:space="preserve"> (26.12.2013)).</w:t>
      </w:r>
      <w:r>
        <w:rPr>
          <w:rFonts w:ascii="Calibri" w:hAnsi="Calibri" w:cs="FrankRuehl" w:hint="cs"/>
          <w:sz w:val="28"/>
          <w:szCs w:val="28"/>
          <w:rtl/>
        </w:rPr>
        <w:t xml:space="preserve"> בהמשך לדברים האמורים, אני רואה לציין כי אף לפי הגישה האחרונה שמצדדת בקביעת מתחמי ענישה הולמת נפרדים בגין כל אישום, לא ניתן להתעלם מן הזיקה הממשית בין שלושת האישומים, באופן המצדד בגזירת עונש כולל בעטים, כאמור </w:t>
      </w:r>
      <w:hyperlink r:id="rId27" w:history="1">
        <w:r w:rsidR="00C43EA0" w:rsidRPr="00C43EA0">
          <w:rPr>
            <w:rFonts w:ascii="Calibri" w:hAnsi="Calibri" w:cs="FrankRuehl" w:hint="eastAsia"/>
            <w:color w:val="0000FF"/>
            <w:sz w:val="28"/>
            <w:szCs w:val="28"/>
            <w:u w:val="single"/>
            <w:rtl/>
          </w:rPr>
          <w:t>בסעיף</w:t>
        </w:r>
        <w:r w:rsidR="00C43EA0" w:rsidRPr="00C43EA0">
          <w:rPr>
            <w:rFonts w:ascii="Calibri" w:hAnsi="Calibri" w:cs="FrankRuehl"/>
            <w:color w:val="0000FF"/>
            <w:sz w:val="28"/>
            <w:szCs w:val="28"/>
            <w:u w:val="single"/>
            <w:rtl/>
          </w:rPr>
          <w:t xml:space="preserve"> 40</w:t>
        </w:r>
        <w:r w:rsidR="00C43EA0" w:rsidRPr="00C43EA0">
          <w:rPr>
            <w:rFonts w:ascii="Calibri" w:hAnsi="Calibri" w:cs="FrankRuehl" w:hint="eastAsia"/>
            <w:color w:val="0000FF"/>
            <w:sz w:val="28"/>
            <w:szCs w:val="28"/>
            <w:u w:val="single"/>
            <w:rtl/>
          </w:rPr>
          <w:t>יג</w:t>
        </w:r>
        <w:r w:rsidR="00C43EA0" w:rsidRPr="00C43EA0">
          <w:rPr>
            <w:rFonts w:ascii="Calibri" w:hAnsi="Calibri" w:cs="FrankRuehl"/>
            <w:color w:val="0000FF"/>
            <w:sz w:val="28"/>
            <w:szCs w:val="28"/>
            <w:u w:val="single"/>
            <w:rtl/>
          </w:rPr>
          <w:t>(</w:t>
        </w:r>
        <w:r w:rsidR="00C43EA0" w:rsidRPr="00C43EA0">
          <w:rPr>
            <w:rFonts w:ascii="Calibri" w:hAnsi="Calibri" w:cs="FrankRuehl" w:hint="eastAsia"/>
            <w:color w:val="0000FF"/>
            <w:sz w:val="28"/>
            <w:szCs w:val="28"/>
            <w:u w:val="single"/>
            <w:rtl/>
          </w:rPr>
          <w:t>ב</w:t>
        </w:r>
        <w:r w:rsidR="00C43EA0" w:rsidRPr="00C43EA0">
          <w:rPr>
            <w:rFonts w:ascii="Calibri" w:hAnsi="Calibri" w:cs="FrankRuehl"/>
            <w:color w:val="0000FF"/>
            <w:sz w:val="28"/>
            <w:szCs w:val="28"/>
            <w:u w:val="single"/>
            <w:rtl/>
          </w:rPr>
          <w:t>)</w:t>
        </w:r>
      </w:hyperlink>
      <w:r>
        <w:rPr>
          <w:rFonts w:ascii="Calibri" w:hAnsi="Calibri" w:cs="FrankRuehl" w:hint="cs"/>
          <w:sz w:val="28"/>
          <w:szCs w:val="28"/>
          <w:rtl/>
        </w:rPr>
        <w:t xml:space="preserve"> ל</w:t>
      </w:r>
      <w:hyperlink r:id="rId28" w:history="1">
        <w:r w:rsidRPr="002D11B3">
          <w:rPr>
            <w:rFonts w:ascii="Calibri" w:hAnsi="Calibri" w:cs="FrankRuehl" w:hint="eastAsia"/>
            <w:color w:val="0000FF"/>
            <w:sz w:val="28"/>
            <w:szCs w:val="28"/>
            <w:u w:val="single"/>
            <w:rtl/>
          </w:rPr>
          <w:t>חוק</w:t>
        </w:r>
        <w:r w:rsidRPr="002D11B3">
          <w:rPr>
            <w:rFonts w:ascii="Calibri" w:hAnsi="Calibri" w:cs="FrankRuehl"/>
            <w:color w:val="0000FF"/>
            <w:sz w:val="28"/>
            <w:szCs w:val="28"/>
            <w:u w:val="single"/>
            <w:rtl/>
          </w:rPr>
          <w:t xml:space="preserve"> </w:t>
        </w:r>
        <w:r w:rsidRPr="002D11B3">
          <w:rPr>
            <w:rFonts w:ascii="Calibri" w:hAnsi="Calibri" w:cs="FrankRuehl" w:hint="eastAsia"/>
            <w:color w:val="0000FF"/>
            <w:sz w:val="28"/>
            <w:szCs w:val="28"/>
            <w:u w:val="single"/>
            <w:rtl/>
          </w:rPr>
          <w:t>העונשין</w:t>
        </w:r>
      </w:hyperlink>
      <w:r>
        <w:rPr>
          <w:rFonts w:ascii="Calibri" w:hAnsi="Calibri" w:cs="FrankRuehl" w:hint="cs"/>
          <w:sz w:val="28"/>
          <w:szCs w:val="28"/>
          <w:rtl/>
        </w:rPr>
        <w:t xml:space="preserve">. </w:t>
      </w:r>
    </w:p>
    <w:p w14:paraId="5188A1BE" w14:textId="77777777" w:rsidR="00A745C5" w:rsidRDefault="00A745C5">
      <w:pPr>
        <w:spacing w:after="120" w:line="360" w:lineRule="auto"/>
        <w:jc w:val="both"/>
        <w:rPr>
          <w:rFonts w:cs="FrankRuehl"/>
          <w:sz w:val="28"/>
          <w:szCs w:val="28"/>
          <w:rtl/>
        </w:rPr>
      </w:pPr>
    </w:p>
    <w:p w14:paraId="01B1CB5F" w14:textId="77777777" w:rsidR="00A745C5" w:rsidRDefault="002D11B3">
      <w:pPr>
        <w:spacing w:after="120" w:line="360" w:lineRule="auto"/>
        <w:jc w:val="both"/>
        <w:rPr>
          <w:rFonts w:ascii="Calibri" w:hAnsi="Calibri" w:cs="FrankRuehl"/>
          <w:sz w:val="28"/>
          <w:szCs w:val="28"/>
          <w:rtl/>
        </w:rPr>
      </w:pPr>
      <w:r>
        <w:rPr>
          <w:rFonts w:cs="FrankRuehl" w:hint="cs"/>
          <w:sz w:val="28"/>
          <w:szCs w:val="28"/>
          <w:rtl/>
        </w:rPr>
        <w:t>7.</w:t>
      </w:r>
      <w:r>
        <w:rPr>
          <w:rFonts w:cs="FrankRuehl" w:hint="cs"/>
          <w:sz w:val="28"/>
          <w:szCs w:val="28"/>
          <w:rtl/>
        </w:rPr>
        <w:tab/>
      </w:r>
      <w:r>
        <w:rPr>
          <w:rFonts w:ascii="Calibri" w:hAnsi="Calibri" w:cs="FrankRuehl" w:hint="cs"/>
          <w:sz w:val="28"/>
          <w:szCs w:val="28"/>
          <w:rtl/>
        </w:rPr>
        <w:t>בנסיבות העניין, לא ראיתי להכריע בין שתי הגישות הפרשניות למונח "אירוע" כפי שפורטו לעיל. תחת זאת, אקבע מתחמים נפרדים לכל אחד מהאישומים נשוּא כתב-האישום המתוקן (בהתאם למבחן "הצורני-העובדתי"), ולצדם אקבע מתחם כולל המתייחס לשלושת האישומים בגינם הורשע הנאשם (בהתאם למבחן "הקשר ההדוק"). לאחר מכן, אגזור את העונש המתאים בגדרי המתחמים שייקבעו.</w:t>
      </w:r>
    </w:p>
    <w:p w14:paraId="1CD3AAB8" w14:textId="77777777" w:rsidR="00A745C5" w:rsidRDefault="00A745C5">
      <w:pPr>
        <w:spacing w:after="120" w:line="360" w:lineRule="auto"/>
        <w:jc w:val="both"/>
        <w:rPr>
          <w:rFonts w:cs="FrankRuehl"/>
          <w:sz w:val="28"/>
          <w:szCs w:val="28"/>
          <w:u w:val="single"/>
          <w:rtl/>
        </w:rPr>
      </w:pPr>
    </w:p>
    <w:p w14:paraId="7F4918F4" w14:textId="77777777" w:rsidR="00A745C5" w:rsidRDefault="002D11B3">
      <w:pPr>
        <w:spacing w:after="120" w:line="360" w:lineRule="auto"/>
        <w:jc w:val="both"/>
        <w:rPr>
          <w:rFonts w:cs="FrankRuehl"/>
          <w:sz w:val="28"/>
          <w:szCs w:val="28"/>
          <w:u w:val="single"/>
          <w:rtl/>
        </w:rPr>
      </w:pPr>
      <w:r>
        <w:rPr>
          <w:rFonts w:cs="FrankRuehl" w:hint="cs"/>
          <w:sz w:val="28"/>
          <w:szCs w:val="28"/>
          <w:u w:val="single"/>
          <w:rtl/>
        </w:rPr>
        <w:t>מתחמי הענישה ההולמת</w:t>
      </w:r>
    </w:p>
    <w:p w14:paraId="324F3DC1" w14:textId="77777777" w:rsidR="00A745C5" w:rsidRDefault="002D11B3">
      <w:pPr>
        <w:spacing w:after="120" w:line="360" w:lineRule="auto"/>
        <w:jc w:val="both"/>
        <w:rPr>
          <w:rFonts w:ascii="Calibri" w:hAnsi="Calibri" w:cs="FrankRuehl"/>
          <w:sz w:val="28"/>
          <w:szCs w:val="28"/>
          <w:u w:val="single"/>
          <w:rtl/>
        </w:rPr>
      </w:pPr>
      <w:r>
        <w:rPr>
          <w:rFonts w:cs="FrankRuehl" w:hint="cs"/>
          <w:sz w:val="28"/>
          <w:szCs w:val="28"/>
          <w:rtl/>
        </w:rPr>
        <w:t>8.</w:t>
      </w:r>
      <w:r>
        <w:rPr>
          <w:rFonts w:cs="FrankRuehl" w:hint="cs"/>
          <w:sz w:val="28"/>
          <w:szCs w:val="28"/>
          <w:rtl/>
        </w:rPr>
        <w:tab/>
        <w:t xml:space="preserve">בהתאם </w:t>
      </w:r>
      <w:hyperlink r:id="rId29" w:history="1">
        <w:r w:rsidR="00C43EA0" w:rsidRPr="00C43EA0">
          <w:rPr>
            <w:rFonts w:cs="FrankRuehl"/>
            <w:color w:val="0000FF"/>
            <w:sz w:val="28"/>
            <w:szCs w:val="28"/>
            <w:u w:val="single"/>
            <w:rtl/>
          </w:rPr>
          <w:t>לסעיף 40ג(א)</w:t>
        </w:r>
      </w:hyperlink>
      <w:r>
        <w:rPr>
          <w:rFonts w:cs="FrankRuehl" w:hint="cs"/>
          <w:sz w:val="28"/>
          <w:szCs w:val="28"/>
          <w:rtl/>
        </w:rPr>
        <w:t xml:space="preserve"> ל</w:t>
      </w:r>
      <w:hyperlink r:id="rId30" w:history="1">
        <w:r w:rsidRPr="002D11B3">
          <w:rPr>
            <w:rFonts w:cs="FrankRuehl"/>
            <w:color w:val="0000FF"/>
            <w:sz w:val="28"/>
            <w:szCs w:val="28"/>
            <w:u w:val="single"/>
            <w:rtl/>
          </w:rPr>
          <w:t>חוק העונשין</w:t>
        </w:r>
      </w:hyperlink>
      <w:r>
        <w:rPr>
          <w:rFonts w:cs="FrankRuehl" w:hint="cs"/>
          <w:sz w:val="28"/>
          <w:szCs w:val="28"/>
          <w:rtl/>
        </w:rPr>
        <w:t>, יש לקבוע את מתחמי הענישה ההולמת בהתאם לעקרון ההלימה, תוך התחשבות בערך החברתי שנפגע, במידת הפגיעה בו, בנסיבות הקשורות בביצוע העבירות ובמדיניות הענישה הנהוגה.</w:t>
      </w:r>
    </w:p>
    <w:p w14:paraId="2500EB5C" w14:textId="77777777" w:rsidR="00A745C5" w:rsidRDefault="00A745C5">
      <w:pPr>
        <w:spacing w:after="120" w:line="360" w:lineRule="auto"/>
        <w:jc w:val="both"/>
        <w:rPr>
          <w:rFonts w:ascii="David" w:hAnsi="David" w:cs="FrankRuehl"/>
          <w:sz w:val="28"/>
          <w:szCs w:val="28"/>
          <w:rtl/>
        </w:rPr>
      </w:pPr>
    </w:p>
    <w:p w14:paraId="2F51DE85" w14:textId="77777777" w:rsidR="00A745C5" w:rsidRDefault="002D11B3">
      <w:pPr>
        <w:spacing w:after="120" w:line="360" w:lineRule="auto"/>
        <w:jc w:val="both"/>
        <w:rPr>
          <w:rFonts w:cs="FrankRuehl"/>
          <w:sz w:val="28"/>
          <w:szCs w:val="28"/>
          <w:rtl/>
        </w:rPr>
      </w:pPr>
      <w:r>
        <w:rPr>
          <w:rFonts w:cs="FrankRuehl" w:hint="cs"/>
          <w:sz w:val="28"/>
          <w:szCs w:val="28"/>
          <w:rtl/>
        </w:rPr>
        <w:t>9.</w:t>
      </w:r>
      <w:r>
        <w:rPr>
          <w:rFonts w:cs="FrankRuehl" w:hint="cs"/>
          <w:sz w:val="28"/>
          <w:szCs w:val="28"/>
          <w:rtl/>
        </w:rPr>
        <w:tab/>
      </w:r>
      <w:r>
        <w:rPr>
          <w:rFonts w:cs="FrankRuehl" w:hint="cs"/>
          <w:b/>
          <w:bCs/>
          <w:sz w:val="28"/>
          <w:szCs w:val="28"/>
          <w:rtl/>
        </w:rPr>
        <w:t>הערכים החברתיים</w:t>
      </w:r>
      <w:r>
        <w:rPr>
          <w:rFonts w:cs="FrankRuehl" w:hint="cs"/>
          <w:sz w:val="28"/>
          <w:szCs w:val="28"/>
          <w:rtl/>
        </w:rPr>
        <w:t xml:space="preserve"> המונחים בבסיס עבירת הסחר בסמים עניינם בהגנה על חוסנה של החברה מפני פגיעות הנגרמות עקב שימוש בסמים, הן לאוכלוסיית המשתמשים עצמם והן לציבור בכללותו. בתי-המשפט חזרו שוב ושוב בפסיקותיהם על ההכרח לעצור את התפשטות נגע הסמים בחברה, וזאת בין היתר על-ידי השתת ענישה מחמירה על הנוטלים חלק במערך הפצת הסמים למען רווח כספי, תוך העדפת האינטרס הציבורי על-פני שיקולים אינדיבידואליים. </w:t>
      </w:r>
    </w:p>
    <w:p w14:paraId="72D273B3" w14:textId="77777777" w:rsidR="00A745C5" w:rsidRDefault="00A745C5">
      <w:pPr>
        <w:spacing w:after="120" w:line="360" w:lineRule="auto"/>
        <w:ind w:firstLine="720"/>
        <w:jc w:val="both"/>
        <w:rPr>
          <w:rFonts w:cs="FrankRuehl"/>
          <w:sz w:val="28"/>
          <w:szCs w:val="28"/>
          <w:rtl/>
        </w:rPr>
      </w:pPr>
    </w:p>
    <w:p w14:paraId="0EAD7CA3" w14:textId="77777777" w:rsidR="00A745C5" w:rsidRDefault="002D11B3">
      <w:pPr>
        <w:spacing w:after="120" w:line="360" w:lineRule="auto"/>
        <w:jc w:val="both"/>
        <w:rPr>
          <w:rFonts w:ascii="Calibri" w:hAnsi="Calibri" w:cs="FrankRuehl"/>
          <w:sz w:val="28"/>
          <w:szCs w:val="28"/>
          <w:rtl/>
        </w:rPr>
      </w:pPr>
      <w:r>
        <w:rPr>
          <w:rFonts w:ascii="FrankRuehl" w:hAnsi="FrankRuehl" w:cs="FrankRuehl" w:hint="cs"/>
          <w:color w:val="000000"/>
          <w:sz w:val="28"/>
          <w:szCs w:val="28"/>
          <w:rtl/>
        </w:rPr>
        <w:t>10.</w:t>
      </w:r>
      <w:r>
        <w:rPr>
          <w:rFonts w:ascii="FrankRuehl" w:hAnsi="FrankRuehl" w:cs="FrankRuehl" w:hint="cs"/>
          <w:color w:val="000000"/>
          <w:sz w:val="28"/>
          <w:szCs w:val="28"/>
          <w:rtl/>
        </w:rPr>
        <w:tab/>
        <w:t xml:space="preserve">אשר </w:t>
      </w:r>
      <w:r>
        <w:rPr>
          <w:rFonts w:ascii="FrankRuehl" w:hAnsi="FrankRuehl" w:cs="FrankRuehl" w:hint="cs"/>
          <w:b/>
          <w:bCs/>
          <w:color w:val="000000"/>
          <w:sz w:val="28"/>
          <w:szCs w:val="28"/>
          <w:rtl/>
        </w:rPr>
        <w:t xml:space="preserve">לנסיבות ביצוע העבירות </w:t>
      </w:r>
      <w:r>
        <w:rPr>
          <w:rFonts w:ascii="FrankRuehl" w:hAnsi="FrankRuehl" w:cs="FrankRuehl" w:hint="cs"/>
          <w:color w:val="000000"/>
          <w:sz w:val="28"/>
          <w:szCs w:val="28"/>
          <w:rtl/>
        </w:rPr>
        <w:t xml:space="preserve">- בפסיקתם של בתי-המשפט נקבע לא אחת כי כאשר עסקינן בעבירות של סחר בסמים </w:t>
      </w:r>
      <w:r>
        <w:rPr>
          <w:rFonts w:ascii="Calibri" w:hAnsi="Calibri" w:cs="FrankRuehl" w:hint="cs"/>
          <w:sz w:val="28"/>
          <w:szCs w:val="28"/>
          <w:rtl/>
        </w:rPr>
        <w:t xml:space="preserve">יש לתת את הדעת, בין היתר, לסוג הסם; כמותו והתמורה הכספית שניתנה בעדו; מספר העסקאות בהן מדובר; התכנון שקדם להן; חלקו של הנאשם בביצוע העסקה; זהות הקונה ונסיבות הרכישה; וכן הנזק שנגרם ו/או צפוי היה להיגרם בגין העבירות הנדונות. </w:t>
      </w:r>
    </w:p>
    <w:p w14:paraId="30932E31" w14:textId="77777777" w:rsidR="00A745C5" w:rsidRDefault="00A745C5">
      <w:pPr>
        <w:spacing w:after="120" w:line="360" w:lineRule="auto"/>
        <w:ind w:firstLine="720"/>
        <w:jc w:val="both"/>
        <w:rPr>
          <w:rFonts w:cs="FrankRuehl"/>
          <w:sz w:val="28"/>
          <w:szCs w:val="28"/>
          <w:rtl/>
        </w:rPr>
      </w:pPr>
    </w:p>
    <w:p w14:paraId="195FD164" w14:textId="77777777" w:rsidR="00A745C5" w:rsidRDefault="002D11B3">
      <w:pPr>
        <w:spacing w:after="120" w:line="360" w:lineRule="auto"/>
        <w:ind w:firstLine="720"/>
        <w:jc w:val="both"/>
        <w:rPr>
          <w:rFonts w:cs="FrankRuehl"/>
          <w:sz w:val="28"/>
          <w:szCs w:val="28"/>
          <w:rtl/>
        </w:rPr>
      </w:pPr>
      <w:r>
        <w:rPr>
          <w:rFonts w:cs="FrankRuehl" w:hint="cs"/>
          <w:sz w:val="28"/>
          <w:szCs w:val="28"/>
          <w:rtl/>
        </w:rPr>
        <w:t>במקרה דנן, הנאשם מכר הרואין הנחשב לסם "קשה". המכירה בוצעה מול סוכן משטרתי בשלוש הזדמנויות שונות, בהן נמכר ההרואין במשקל של כ- 0.4 נטו תמורת 120 ₪ בכל מקרה. הנאשם היה</w:t>
      </w:r>
      <w:r>
        <w:rPr>
          <w:rFonts w:ascii="Calibri" w:hAnsi="Calibri" w:cs="FrankRuehl" w:hint="cs"/>
          <w:sz w:val="28"/>
          <w:szCs w:val="28"/>
          <w:rtl/>
        </w:rPr>
        <w:t xml:space="preserve"> נכון לספק לסוכן המשטרתי את הסם באופן מיידי, מיד לאחר שהסוכן הגיע לנאשם וביקש לבצע את הרכישה, וזאת בדרך של הוצאת הסם מתוך פיו של הנאשם בכל עסקה ועסקה. בשלושת המקרים, הנאשם קיבל את התמורה הכספית לידיו.</w:t>
      </w:r>
    </w:p>
    <w:p w14:paraId="0BF096AA" w14:textId="77777777" w:rsidR="00A745C5" w:rsidRDefault="00A745C5">
      <w:pPr>
        <w:spacing w:after="120" w:line="360" w:lineRule="auto"/>
        <w:ind w:firstLine="720"/>
        <w:jc w:val="both"/>
        <w:rPr>
          <w:rFonts w:cs="FrankRuehl"/>
          <w:sz w:val="28"/>
          <w:szCs w:val="28"/>
          <w:rtl/>
        </w:rPr>
      </w:pPr>
    </w:p>
    <w:p w14:paraId="27D0A71D" w14:textId="77777777" w:rsidR="00A745C5" w:rsidRDefault="002D11B3">
      <w:pPr>
        <w:spacing w:after="120" w:line="360" w:lineRule="auto"/>
        <w:ind w:firstLine="720"/>
        <w:jc w:val="both"/>
        <w:rPr>
          <w:rFonts w:cs="FrankRuehl"/>
          <w:sz w:val="28"/>
          <w:szCs w:val="28"/>
          <w:rtl/>
        </w:rPr>
      </w:pPr>
      <w:r>
        <w:rPr>
          <w:rFonts w:cs="FrankRuehl" w:hint="cs"/>
          <w:sz w:val="28"/>
          <w:szCs w:val="28"/>
          <w:rtl/>
        </w:rPr>
        <w:t>מטיעוני הסנגור לפניי עלה כי הסיבה לביצוע העבירות נעוצה בהתמכרותו של הנאשם לסמים. אמנם, בעת ביצוע העבירות היה הנאשם אמור להיות מטופל במרכז למתדון בעקבות תהליך שיקומי בו שולב בתיקים קודמים (ראו: פסקה 3 לעיל). עם זאת, לטענת הסנגור מרשו חווה משבר אישי ומשפחתי בעקבות ריב עם אחיו. עקב כך, חזר הנאשם להשתמש בסמי-רחוב ועל רקע זה ביצע את העבירות בהן הורשע לפניי כדי לממן סמים להם הוא מכור. הנאשם ובא-כוחו הוסיפו וטענו לפניי כי מדובר היה בסחר נרקומנים מול סוכן משטרתי, שלפי הנטען עשה בעצמו שימוש בסמים. בהתייחס לטענה זו, אני רואה להעיר כי אופן ביצוע העסקאות על-ידי הנאשם כמתואר בכתב-האישום המתוקן, מעלה תמונה של מי שסחר בסמים באופן תדיר. עם זאת, ראוי לציין כי מדובר בכמויות לא גדולות של סם, שנסחר תמורת סכומי כסף לא גבוהים בכל פעם, כשהיוזמה לעסקאות הייתה של הסוכן המשטרתי. ניתן להניח כי הרווח שהפיק הנאשם לא היה גדול ונועד בין היתר לצורך מימון סמים לשימושו-שלו.</w:t>
      </w:r>
    </w:p>
    <w:p w14:paraId="0AA7D596" w14:textId="77777777" w:rsidR="00A745C5" w:rsidRDefault="00A745C5">
      <w:pPr>
        <w:spacing w:after="120" w:line="360" w:lineRule="auto"/>
        <w:jc w:val="both"/>
        <w:rPr>
          <w:rFonts w:cs="FrankRuehl"/>
          <w:sz w:val="28"/>
          <w:szCs w:val="28"/>
          <w:rtl/>
        </w:rPr>
      </w:pPr>
    </w:p>
    <w:p w14:paraId="63B98AFF" w14:textId="77777777" w:rsidR="00A745C5" w:rsidRDefault="002D11B3">
      <w:pPr>
        <w:spacing w:after="120" w:line="360" w:lineRule="auto"/>
        <w:jc w:val="both"/>
        <w:rPr>
          <w:rFonts w:ascii="Calibri" w:hAnsi="Calibri" w:cs="FrankRuehl"/>
          <w:sz w:val="28"/>
          <w:szCs w:val="28"/>
          <w:rtl/>
        </w:rPr>
      </w:pPr>
      <w:r>
        <w:rPr>
          <w:rFonts w:cs="FrankRuehl" w:hint="cs"/>
          <w:sz w:val="28"/>
          <w:szCs w:val="28"/>
          <w:rtl/>
        </w:rPr>
        <w:t>11.</w:t>
      </w:r>
      <w:r>
        <w:rPr>
          <w:rFonts w:cs="FrankRuehl" w:hint="cs"/>
          <w:sz w:val="28"/>
          <w:szCs w:val="28"/>
          <w:rtl/>
        </w:rPr>
        <w:tab/>
        <w:t xml:space="preserve">בחינת </w:t>
      </w:r>
      <w:r>
        <w:rPr>
          <w:rFonts w:cs="FrankRuehl" w:hint="cs"/>
          <w:b/>
          <w:bCs/>
          <w:sz w:val="28"/>
          <w:szCs w:val="28"/>
          <w:rtl/>
        </w:rPr>
        <w:t>הענישה הנוהגת</w:t>
      </w:r>
      <w:r>
        <w:rPr>
          <w:rFonts w:cs="FrankRuehl" w:hint="cs"/>
          <w:sz w:val="28"/>
          <w:szCs w:val="28"/>
          <w:rtl/>
        </w:rPr>
        <w:t xml:space="preserve"> מעלה כי בתי-המשפט רואים בהרואין סם "קשה" אשר בגין סחר בו בכמויות דומות לאלה בהן סחר הנאשם שלפניי, </w:t>
      </w:r>
      <w:r>
        <w:rPr>
          <w:rFonts w:ascii="Calibri" w:hAnsi="Calibri" w:cs="FrankRuehl" w:hint="cs"/>
          <w:sz w:val="28"/>
          <w:szCs w:val="28"/>
          <w:rtl/>
        </w:rPr>
        <w:t xml:space="preserve">נוהגים בתי המשפט להטיל עונשי מאסר בפועל משמעותיים לריצוי מאחורי סורג ובריח, שמשכם מבוסס על מספר דו-ספרתי של חודשי מאסר בפועל; הכל, בהתחשב בנסיבותיו של המעשה ובנסיבותיו של העושה (ראו והשוו בפסיקתו של בית-המשפט העליון: </w:t>
      </w:r>
      <w:hyperlink r:id="rId31" w:history="1">
        <w:r w:rsidRPr="002D11B3">
          <w:rPr>
            <w:rFonts w:ascii="Calibri" w:hAnsi="Calibri" w:cs="FrankRuehl" w:hint="eastAsia"/>
            <w:color w:val="0000FF"/>
            <w:sz w:val="28"/>
            <w:szCs w:val="28"/>
            <w:u w:val="single"/>
            <w:rtl/>
          </w:rPr>
          <w:t>רע</w:t>
        </w:r>
        <w:r w:rsidRPr="002D11B3">
          <w:rPr>
            <w:rFonts w:ascii="Calibri" w:hAnsi="Calibri" w:cs="FrankRuehl"/>
            <w:color w:val="0000FF"/>
            <w:sz w:val="28"/>
            <w:szCs w:val="28"/>
            <w:u w:val="single"/>
            <w:rtl/>
          </w:rPr>
          <w:t>"</w:t>
        </w:r>
        <w:r w:rsidRPr="002D11B3">
          <w:rPr>
            <w:rFonts w:ascii="Calibri" w:hAnsi="Calibri" w:cs="FrankRuehl" w:hint="eastAsia"/>
            <w:color w:val="0000FF"/>
            <w:sz w:val="28"/>
            <w:szCs w:val="28"/>
            <w:u w:val="single"/>
            <w:rtl/>
          </w:rPr>
          <w:t>פ</w:t>
        </w:r>
        <w:r w:rsidRPr="002D11B3">
          <w:rPr>
            <w:rFonts w:ascii="Calibri" w:hAnsi="Calibri" w:cs="FrankRuehl"/>
            <w:color w:val="0000FF"/>
            <w:sz w:val="28"/>
            <w:szCs w:val="28"/>
            <w:u w:val="single"/>
            <w:rtl/>
          </w:rPr>
          <w:t xml:space="preserve"> 5996/09</w:t>
        </w:r>
      </w:hyperlink>
      <w:r>
        <w:rPr>
          <w:rFonts w:ascii="Calibri" w:hAnsi="Calibri" w:cs="FrankRuehl" w:hint="cs"/>
          <w:sz w:val="28"/>
          <w:szCs w:val="28"/>
          <w:rtl/>
        </w:rPr>
        <w:t xml:space="preserve"> </w:t>
      </w:r>
      <w:r>
        <w:rPr>
          <w:rFonts w:ascii="Calibri" w:hAnsi="Calibri" w:cs="Miriam" w:hint="cs"/>
          <w:rtl/>
        </w:rPr>
        <w:t>עכילה נ' מדינת ישראל</w:t>
      </w:r>
      <w:r>
        <w:rPr>
          <w:rFonts w:ascii="Calibri" w:hAnsi="Calibri" w:cs="FrankRuehl" w:hint="cs"/>
          <w:sz w:val="28"/>
          <w:szCs w:val="28"/>
          <w:rtl/>
        </w:rPr>
        <w:t xml:space="preserve"> (26.7.2009); </w:t>
      </w:r>
      <w:hyperlink r:id="rId32" w:history="1">
        <w:r w:rsidRPr="002D11B3">
          <w:rPr>
            <w:rFonts w:ascii="Calibri" w:hAnsi="Calibri" w:cs="FrankRuehl" w:hint="eastAsia"/>
            <w:color w:val="0000FF"/>
            <w:sz w:val="28"/>
            <w:szCs w:val="28"/>
            <w:u w:val="single"/>
            <w:rtl/>
          </w:rPr>
          <w:t>רע</w:t>
        </w:r>
        <w:r w:rsidRPr="002D11B3">
          <w:rPr>
            <w:rFonts w:ascii="Calibri" w:hAnsi="Calibri" w:cs="FrankRuehl"/>
            <w:color w:val="0000FF"/>
            <w:sz w:val="28"/>
            <w:szCs w:val="28"/>
            <w:u w:val="single"/>
            <w:rtl/>
          </w:rPr>
          <w:t>"</w:t>
        </w:r>
        <w:r w:rsidRPr="002D11B3">
          <w:rPr>
            <w:rFonts w:ascii="Calibri" w:hAnsi="Calibri" w:cs="FrankRuehl" w:hint="eastAsia"/>
            <w:color w:val="0000FF"/>
            <w:sz w:val="28"/>
            <w:szCs w:val="28"/>
            <w:u w:val="single"/>
            <w:rtl/>
          </w:rPr>
          <w:t>פ</w:t>
        </w:r>
        <w:r w:rsidRPr="002D11B3">
          <w:rPr>
            <w:rFonts w:ascii="Calibri" w:hAnsi="Calibri" w:cs="FrankRuehl"/>
            <w:color w:val="0000FF"/>
            <w:sz w:val="28"/>
            <w:szCs w:val="28"/>
            <w:u w:val="single"/>
            <w:rtl/>
          </w:rPr>
          <w:t xml:space="preserve"> 7681/13</w:t>
        </w:r>
      </w:hyperlink>
      <w:r>
        <w:rPr>
          <w:rFonts w:ascii="Calibri" w:hAnsi="Calibri" w:cs="FrankRuehl" w:hint="cs"/>
          <w:sz w:val="28"/>
          <w:szCs w:val="28"/>
          <w:rtl/>
        </w:rPr>
        <w:t xml:space="preserve"> </w:t>
      </w:r>
      <w:r>
        <w:rPr>
          <w:rFonts w:ascii="Calibri" w:hAnsi="Calibri" w:cs="Miriam" w:hint="cs"/>
          <w:rtl/>
        </w:rPr>
        <w:t>דקה נ' מדינת ישראל</w:t>
      </w:r>
      <w:r>
        <w:rPr>
          <w:rFonts w:ascii="Calibri" w:hAnsi="Calibri" w:cs="FrankRuehl" w:hint="cs"/>
          <w:sz w:val="28"/>
          <w:szCs w:val="28"/>
          <w:rtl/>
        </w:rPr>
        <w:t xml:space="preserve"> (21.1.2014); </w:t>
      </w:r>
      <w:hyperlink r:id="rId33" w:history="1">
        <w:r w:rsidRPr="002D11B3">
          <w:rPr>
            <w:rFonts w:ascii="Calibri" w:hAnsi="Calibri" w:cs="FrankRuehl" w:hint="eastAsia"/>
            <w:color w:val="0000FF"/>
            <w:sz w:val="28"/>
            <w:szCs w:val="28"/>
            <w:u w:val="single"/>
            <w:rtl/>
          </w:rPr>
          <w:t>רע</w:t>
        </w:r>
        <w:r w:rsidRPr="002D11B3">
          <w:rPr>
            <w:rFonts w:ascii="Calibri" w:hAnsi="Calibri" w:cs="FrankRuehl"/>
            <w:color w:val="0000FF"/>
            <w:sz w:val="28"/>
            <w:szCs w:val="28"/>
            <w:u w:val="single"/>
            <w:rtl/>
          </w:rPr>
          <w:t>"</w:t>
        </w:r>
        <w:r w:rsidRPr="002D11B3">
          <w:rPr>
            <w:rFonts w:ascii="Calibri" w:hAnsi="Calibri" w:cs="FrankRuehl" w:hint="eastAsia"/>
            <w:color w:val="0000FF"/>
            <w:sz w:val="28"/>
            <w:szCs w:val="28"/>
            <w:u w:val="single"/>
            <w:rtl/>
          </w:rPr>
          <w:t>פ</w:t>
        </w:r>
        <w:r w:rsidRPr="002D11B3">
          <w:rPr>
            <w:rFonts w:ascii="Calibri" w:hAnsi="Calibri" w:cs="FrankRuehl"/>
            <w:color w:val="0000FF"/>
            <w:sz w:val="28"/>
            <w:szCs w:val="28"/>
            <w:u w:val="single"/>
            <w:rtl/>
          </w:rPr>
          <w:t xml:space="preserve"> 126/15</w:t>
        </w:r>
      </w:hyperlink>
      <w:r>
        <w:rPr>
          <w:rFonts w:ascii="Calibri" w:hAnsi="Calibri" w:cs="FrankRuehl" w:hint="cs"/>
          <w:sz w:val="28"/>
          <w:szCs w:val="28"/>
          <w:rtl/>
        </w:rPr>
        <w:t xml:space="preserve"> </w:t>
      </w:r>
      <w:r>
        <w:rPr>
          <w:rFonts w:ascii="Calibri" w:hAnsi="Calibri" w:cs="Miriam" w:hint="cs"/>
          <w:rtl/>
        </w:rPr>
        <w:t>חביף נ' מדינת ישראל</w:t>
      </w:r>
      <w:r>
        <w:rPr>
          <w:rFonts w:ascii="Calibri" w:hAnsi="Calibri" w:cs="FrankRuehl" w:hint="cs"/>
          <w:sz w:val="28"/>
          <w:szCs w:val="28"/>
          <w:rtl/>
        </w:rPr>
        <w:t xml:space="preserve"> (13.1.2015); עוד ראו והשוו בפסיקתם של בתי-המשפט המחוזיים: </w:t>
      </w:r>
      <w:hyperlink r:id="rId34" w:history="1">
        <w:r w:rsidRPr="002D11B3">
          <w:rPr>
            <w:rFonts w:ascii="Calibri" w:hAnsi="Calibri" w:cs="FrankRuehl" w:hint="eastAsia"/>
            <w:color w:val="0000FF"/>
            <w:sz w:val="28"/>
            <w:szCs w:val="28"/>
            <w:u w:val="single"/>
            <w:rtl/>
          </w:rPr>
          <w:t>ע</w:t>
        </w:r>
        <w:r w:rsidRPr="002D11B3">
          <w:rPr>
            <w:rFonts w:ascii="Calibri" w:hAnsi="Calibri" w:cs="FrankRuehl"/>
            <w:color w:val="0000FF"/>
            <w:sz w:val="28"/>
            <w:szCs w:val="28"/>
            <w:u w:val="single"/>
            <w:rtl/>
          </w:rPr>
          <w:t>"</w:t>
        </w:r>
        <w:r w:rsidRPr="002D11B3">
          <w:rPr>
            <w:rFonts w:ascii="Calibri" w:hAnsi="Calibri" w:cs="FrankRuehl" w:hint="eastAsia"/>
            <w:color w:val="0000FF"/>
            <w:sz w:val="28"/>
            <w:szCs w:val="28"/>
            <w:u w:val="single"/>
            <w:rtl/>
          </w:rPr>
          <w:t>פ</w:t>
        </w:r>
        <w:r w:rsidRPr="002D11B3">
          <w:rPr>
            <w:rFonts w:ascii="Calibri" w:hAnsi="Calibri" w:cs="FrankRuehl"/>
            <w:color w:val="0000FF"/>
            <w:sz w:val="28"/>
            <w:szCs w:val="28"/>
            <w:u w:val="single"/>
            <w:rtl/>
          </w:rPr>
          <w:t xml:space="preserve"> (</w:t>
        </w:r>
        <w:r w:rsidRPr="002D11B3">
          <w:rPr>
            <w:rFonts w:ascii="Calibri" w:hAnsi="Calibri" w:cs="FrankRuehl" w:hint="eastAsia"/>
            <w:color w:val="0000FF"/>
            <w:sz w:val="28"/>
            <w:szCs w:val="28"/>
            <w:u w:val="single"/>
            <w:rtl/>
          </w:rPr>
          <w:t>מחוזי</w:t>
        </w:r>
        <w:r w:rsidRPr="002D11B3">
          <w:rPr>
            <w:rFonts w:ascii="Calibri" w:hAnsi="Calibri" w:cs="FrankRuehl"/>
            <w:color w:val="0000FF"/>
            <w:sz w:val="28"/>
            <w:szCs w:val="28"/>
            <w:u w:val="single"/>
            <w:rtl/>
          </w:rPr>
          <w:t xml:space="preserve"> </w:t>
        </w:r>
        <w:r w:rsidRPr="002D11B3">
          <w:rPr>
            <w:rFonts w:ascii="Calibri" w:hAnsi="Calibri" w:cs="FrankRuehl" w:hint="eastAsia"/>
            <w:color w:val="0000FF"/>
            <w:sz w:val="28"/>
            <w:szCs w:val="28"/>
            <w:u w:val="single"/>
            <w:rtl/>
          </w:rPr>
          <w:t>חי</w:t>
        </w:r>
        <w:r w:rsidRPr="002D11B3">
          <w:rPr>
            <w:rFonts w:ascii="Calibri" w:hAnsi="Calibri" w:cs="FrankRuehl"/>
            <w:color w:val="0000FF"/>
            <w:sz w:val="28"/>
            <w:szCs w:val="28"/>
            <w:u w:val="single"/>
            <w:rtl/>
          </w:rPr>
          <w:t>') 19167-12-11</w:t>
        </w:r>
      </w:hyperlink>
      <w:r>
        <w:rPr>
          <w:rFonts w:ascii="Calibri" w:hAnsi="Calibri" w:cs="FrankRuehl" w:hint="cs"/>
          <w:sz w:val="28"/>
          <w:szCs w:val="28"/>
          <w:rtl/>
        </w:rPr>
        <w:t xml:space="preserve"> </w:t>
      </w:r>
      <w:r>
        <w:rPr>
          <w:rFonts w:ascii="Calibri" w:hAnsi="Calibri" w:cs="Miriam" w:hint="cs"/>
          <w:rtl/>
        </w:rPr>
        <w:t>מדינת ישראל נ' מחאג'נה</w:t>
      </w:r>
      <w:r>
        <w:rPr>
          <w:rFonts w:ascii="Calibri" w:hAnsi="Calibri" w:cs="FrankRuehl" w:hint="cs"/>
          <w:sz w:val="28"/>
          <w:szCs w:val="28"/>
          <w:rtl/>
        </w:rPr>
        <w:t xml:space="preserve"> (9.2.2012); ע"פ (מחוזי חי') 20945-12-12 </w:t>
      </w:r>
      <w:r>
        <w:rPr>
          <w:rFonts w:ascii="Calibri" w:hAnsi="Calibri" w:cs="Miriam" w:hint="cs"/>
          <w:rtl/>
        </w:rPr>
        <w:t>מדינת ישראל נ' מחאמיד</w:t>
      </w:r>
      <w:r>
        <w:rPr>
          <w:rFonts w:ascii="Calibri" w:hAnsi="Calibri" w:cs="FrankRuehl" w:hint="cs"/>
          <w:sz w:val="28"/>
          <w:szCs w:val="28"/>
          <w:rtl/>
        </w:rPr>
        <w:t xml:space="preserve"> (9.2.2012); </w:t>
      </w:r>
      <w:hyperlink r:id="rId35" w:history="1">
        <w:r w:rsidRPr="002D11B3">
          <w:rPr>
            <w:rFonts w:ascii="Calibri" w:hAnsi="Calibri" w:cs="FrankRuehl" w:hint="eastAsia"/>
            <w:color w:val="0000FF"/>
            <w:sz w:val="28"/>
            <w:szCs w:val="28"/>
            <w:u w:val="single"/>
            <w:rtl/>
          </w:rPr>
          <w:t>עפ</w:t>
        </w:r>
        <w:r w:rsidRPr="002D11B3">
          <w:rPr>
            <w:rFonts w:ascii="Calibri" w:hAnsi="Calibri" w:cs="FrankRuehl"/>
            <w:color w:val="0000FF"/>
            <w:sz w:val="28"/>
            <w:szCs w:val="28"/>
            <w:u w:val="single"/>
            <w:rtl/>
          </w:rPr>
          <w:t>"</w:t>
        </w:r>
        <w:r w:rsidRPr="002D11B3">
          <w:rPr>
            <w:rFonts w:ascii="Calibri" w:hAnsi="Calibri" w:cs="FrankRuehl" w:hint="eastAsia"/>
            <w:color w:val="0000FF"/>
            <w:sz w:val="28"/>
            <w:szCs w:val="28"/>
            <w:u w:val="single"/>
            <w:rtl/>
          </w:rPr>
          <w:t>ג</w:t>
        </w:r>
        <w:r w:rsidRPr="002D11B3">
          <w:rPr>
            <w:rFonts w:ascii="Calibri" w:hAnsi="Calibri" w:cs="FrankRuehl"/>
            <w:color w:val="0000FF"/>
            <w:sz w:val="28"/>
            <w:szCs w:val="28"/>
            <w:u w:val="single"/>
            <w:rtl/>
          </w:rPr>
          <w:t xml:space="preserve"> (</w:t>
        </w:r>
        <w:r w:rsidRPr="002D11B3">
          <w:rPr>
            <w:rFonts w:ascii="Calibri" w:hAnsi="Calibri" w:cs="FrankRuehl" w:hint="eastAsia"/>
            <w:color w:val="0000FF"/>
            <w:sz w:val="28"/>
            <w:szCs w:val="28"/>
            <w:u w:val="single"/>
            <w:rtl/>
          </w:rPr>
          <w:t>מחוזי</w:t>
        </w:r>
        <w:r w:rsidRPr="002D11B3">
          <w:rPr>
            <w:rFonts w:ascii="Calibri" w:hAnsi="Calibri" w:cs="FrankRuehl"/>
            <w:color w:val="0000FF"/>
            <w:sz w:val="28"/>
            <w:szCs w:val="28"/>
            <w:u w:val="single"/>
            <w:rtl/>
          </w:rPr>
          <w:t xml:space="preserve"> </w:t>
        </w:r>
        <w:r w:rsidRPr="002D11B3">
          <w:rPr>
            <w:rFonts w:ascii="Calibri" w:hAnsi="Calibri" w:cs="FrankRuehl" w:hint="eastAsia"/>
            <w:color w:val="0000FF"/>
            <w:sz w:val="28"/>
            <w:szCs w:val="28"/>
            <w:u w:val="single"/>
            <w:rtl/>
          </w:rPr>
          <w:t>ב</w:t>
        </w:r>
        <w:r w:rsidRPr="002D11B3">
          <w:rPr>
            <w:rFonts w:ascii="Calibri" w:hAnsi="Calibri" w:cs="FrankRuehl"/>
            <w:color w:val="0000FF"/>
            <w:sz w:val="28"/>
            <w:szCs w:val="28"/>
            <w:u w:val="single"/>
            <w:rtl/>
          </w:rPr>
          <w:t>"</w:t>
        </w:r>
        <w:r w:rsidRPr="002D11B3">
          <w:rPr>
            <w:rFonts w:ascii="Calibri" w:hAnsi="Calibri" w:cs="FrankRuehl" w:hint="eastAsia"/>
            <w:color w:val="0000FF"/>
            <w:sz w:val="28"/>
            <w:szCs w:val="28"/>
            <w:u w:val="single"/>
            <w:rtl/>
          </w:rPr>
          <w:t>ש</w:t>
        </w:r>
        <w:r w:rsidRPr="002D11B3">
          <w:rPr>
            <w:rFonts w:ascii="Calibri" w:hAnsi="Calibri" w:cs="FrankRuehl"/>
            <w:color w:val="0000FF"/>
            <w:sz w:val="28"/>
            <w:szCs w:val="28"/>
            <w:u w:val="single"/>
            <w:rtl/>
          </w:rPr>
          <w:t>) 25753-01-14</w:t>
        </w:r>
      </w:hyperlink>
      <w:r>
        <w:rPr>
          <w:rFonts w:ascii="Calibri" w:hAnsi="Calibri" w:cs="FrankRuehl" w:hint="cs"/>
          <w:sz w:val="28"/>
          <w:szCs w:val="28"/>
          <w:rtl/>
        </w:rPr>
        <w:t xml:space="preserve"> </w:t>
      </w:r>
      <w:r>
        <w:rPr>
          <w:rFonts w:ascii="Calibri" w:hAnsi="Calibri" w:cs="Miriam" w:hint="cs"/>
          <w:rtl/>
        </w:rPr>
        <w:t>דזורייב נ' מדינת ישראל</w:t>
      </w:r>
      <w:r>
        <w:rPr>
          <w:rFonts w:ascii="Calibri" w:hAnsi="Calibri" w:cs="FrankRuehl" w:hint="cs"/>
          <w:sz w:val="28"/>
          <w:szCs w:val="28"/>
          <w:rtl/>
        </w:rPr>
        <w:t xml:space="preserve"> (9.4.2014); כן ראו והשוו בפסיקתם של בתי-משפט השלום: ת"פ (שלום ב"ש) </w:t>
      </w:r>
      <w:r>
        <w:rPr>
          <w:rFonts w:ascii="Calibri" w:hAnsi="Calibri" w:cs="Miriam" w:hint="cs"/>
          <w:rtl/>
        </w:rPr>
        <w:t>מדינת ישראל נ' כהן</w:t>
      </w:r>
      <w:r>
        <w:rPr>
          <w:rFonts w:ascii="Calibri" w:hAnsi="Calibri" w:cs="FrankRuehl" w:hint="cs"/>
          <w:sz w:val="28"/>
          <w:szCs w:val="28"/>
          <w:rtl/>
        </w:rPr>
        <w:t xml:space="preserve"> (18.7.2010); </w:t>
      </w:r>
      <w:hyperlink r:id="rId36" w:history="1">
        <w:r w:rsidRPr="002D11B3">
          <w:rPr>
            <w:rFonts w:ascii="Calibri" w:hAnsi="Calibri" w:cs="FrankRuehl" w:hint="eastAsia"/>
            <w:color w:val="0000FF"/>
            <w:sz w:val="28"/>
            <w:szCs w:val="28"/>
            <w:u w:val="single"/>
            <w:rtl/>
          </w:rPr>
          <w:t>ת</w:t>
        </w:r>
        <w:r w:rsidRPr="002D11B3">
          <w:rPr>
            <w:rFonts w:ascii="Calibri" w:hAnsi="Calibri" w:cs="FrankRuehl"/>
            <w:color w:val="0000FF"/>
            <w:sz w:val="28"/>
            <w:szCs w:val="28"/>
            <w:u w:val="single"/>
            <w:rtl/>
          </w:rPr>
          <w:t>"</w:t>
        </w:r>
        <w:r w:rsidRPr="002D11B3">
          <w:rPr>
            <w:rFonts w:ascii="Calibri" w:hAnsi="Calibri" w:cs="FrankRuehl" w:hint="eastAsia"/>
            <w:color w:val="0000FF"/>
            <w:sz w:val="28"/>
            <w:szCs w:val="28"/>
            <w:u w:val="single"/>
            <w:rtl/>
          </w:rPr>
          <w:t>פ</w:t>
        </w:r>
        <w:r w:rsidRPr="002D11B3">
          <w:rPr>
            <w:rFonts w:ascii="Calibri" w:hAnsi="Calibri" w:cs="FrankRuehl"/>
            <w:color w:val="0000FF"/>
            <w:sz w:val="28"/>
            <w:szCs w:val="28"/>
            <w:u w:val="single"/>
            <w:rtl/>
          </w:rPr>
          <w:t xml:space="preserve"> (</w:t>
        </w:r>
        <w:r w:rsidRPr="002D11B3">
          <w:rPr>
            <w:rFonts w:ascii="Calibri" w:hAnsi="Calibri" w:cs="FrankRuehl" w:hint="eastAsia"/>
            <w:color w:val="0000FF"/>
            <w:sz w:val="28"/>
            <w:szCs w:val="28"/>
            <w:u w:val="single"/>
            <w:rtl/>
          </w:rPr>
          <w:t>שלום</w:t>
        </w:r>
        <w:r w:rsidRPr="002D11B3">
          <w:rPr>
            <w:rFonts w:ascii="Calibri" w:hAnsi="Calibri" w:cs="FrankRuehl"/>
            <w:color w:val="0000FF"/>
            <w:sz w:val="28"/>
            <w:szCs w:val="28"/>
            <w:u w:val="single"/>
            <w:rtl/>
          </w:rPr>
          <w:t xml:space="preserve"> </w:t>
        </w:r>
        <w:r w:rsidRPr="002D11B3">
          <w:rPr>
            <w:rFonts w:ascii="Calibri" w:hAnsi="Calibri" w:cs="FrankRuehl" w:hint="eastAsia"/>
            <w:color w:val="0000FF"/>
            <w:sz w:val="28"/>
            <w:szCs w:val="28"/>
            <w:u w:val="single"/>
            <w:rtl/>
          </w:rPr>
          <w:t>רמ</w:t>
        </w:r>
        <w:r w:rsidRPr="002D11B3">
          <w:rPr>
            <w:rFonts w:ascii="Calibri" w:hAnsi="Calibri" w:cs="FrankRuehl"/>
            <w:color w:val="0000FF"/>
            <w:sz w:val="28"/>
            <w:szCs w:val="28"/>
            <w:u w:val="single"/>
            <w:rtl/>
          </w:rPr>
          <w:t>') 31598-03-11</w:t>
        </w:r>
      </w:hyperlink>
      <w:r>
        <w:rPr>
          <w:rFonts w:ascii="Calibri" w:hAnsi="Calibri" w:cs="FrankRuehl" w:hint="cs"/>
          <w:sz w:val="28"/>
          <w:szCs w:val="28"/>
          <w:rtl/>
        </w:rPr>
        <w:t xml:space="preserve"> </w:t>
      </w:r>
      <w:r>
        <w:rPr>
          <w:rFonts w:ascii="Calibri" w:hAnsi="Calibri" w:cs="Miriam" w:hint="cs"/>
          <w:rtl/>
        </w:rPr>
        <w:t>מדינת ישראל נ' דהן</w:t>
      </w:r>
      <w:r>
        <w:rPr>
          <w:rFonts w:ascii="Calibri" w:hAnsi="Calibri" w:cs="FrankRuehl" w:hint="cs"/>
          <w:sz w:val="28"/>
          <w:szCs w:val="28"/>
          <w:rtl/>
        </w:rPr>
        <w:t xml:space="preserve"> (4.12.2012); </w:t>
      </w:r>
      <w:hyperlink r:id="rId37" w:history="1">
        <w:r w:rsidRPr="002D11B3">
          <w:rPr>
            <w:rFonts w:ascii="Calibri" w:hAnsi="Calibri" w:cs="FrankRuehl" w:hint="eastAsia"/>
            <w:color w:val="0000FF"/>
            <w:sz w:val="28"/>
            <w:szCs w:val="28"/>
            <w:u w:val="single"/>
            <w:rtl/>
          </w:rPr>
          <w:t>ת</w:t>
        </w:r>
        <w:r w:rsidRPr="002D11B3">
          <w:rPr>
            <w:rFonts w:ascii="Calibri" w:hAnsi="Calibri" w:cs="FrankRuehl"/>
            <w:color w:val="0000FF"/>
            <w:sz w:val="28"/>
            <w:szCs w:val="28"/>
            <w:u w:val="single"/>
            <w:rtl/>
          </w:rPr>
          <w:t>"</w:t>
        </w:r>
        <w:r w:rsidRPr="002D11B3">
          <w:rPr>
            <w:rFonts w:ascii="Calibri" w:hAnsi="Calibri" w:cs="FrankRuehl" w:hint="eastAsia"/>
            <w:color w:val="0000FF"/>
            <w:sz w:val="28"/>
            <w:szCs w:val="28"/>
            <w:u w:val="single"/>
            <w:rtl/>
          </w:rPr>
          <w:t>פ</w:t>
        </w:r>
        <w:r w:rsidRPr="002D11B3">
          <w:rPr>
            <w:rFonts w:ascii="Calibri" w:hAnsi="Calibri" w:cs="FrankRuehl"/>
            <w:color w:val="0000FF"/>
            <w:sz w:val="28"/>
            <w:szCs w:val="28"/>
            <w:u w:val="single"/>
            <w:rtl/>
          </w:rPr>
          <w:t xml:space="preserve"> (</w:t>
        </w:r>
        <w:r w:rsidRPr="002D11B3">
          <w:rPr>
            <w:rFonts w:ascii="Calibri" w:hAnsi="Calibri" w:cs="FrankRuehl" w:hint="eastAsia"/>
            <w:color w:val="0000FF"/>
            <w:sz w:val="28"/>
            <w:szCs w:val="28"/>
            <w:u w:val="single"/>
            <w:rtl/>
          </w:rPr>
          <w:t>שלום</w:t>
        </w:r>
        <w:r w:rsidRPr="002D11B3">
          <w:rPr>
            <w:rFonts w:ascii="Calibri" w:hAnsi="Calibri" w:cs="FrankRuehl"/>
            <w:color w:val="0000FF"/>
            <w:sz w:val="28"/>
            <w:szCs w:val="28"/>
            <w:u w:val="single"/>
            <w:rtl/>
          </w:rPr>
          <w:t xml:space="preserve"> </w:t>
        </w:r>
        <w:r w:rsidRPr="002D11B3">
          <w:rPr>
            <w:rFonts w:ascii="Calibri" w:hAnsi="Calibri" w:cs="FrankRuehl" w:hint="eastAsia"/>
            <w:color w:val="0000FF"/>
            <w:sz w:val="28"/>
            <w:szCs w:val="28"/>
            <w:u w:val="single"/>
            <w:rtl/>
          </w:rPr>
          <w:t>י</w:t>
        </w:r>
        <w:r w:rsidRPr="002D11B3">
          <w:rPr>
            <w:rFonts w:ascii="Calibri" w:hAnsi="Calibri" w:cs="FrankRuehl"/>
            <w:color w:val="0000FF"/>
            <w:sz w:val="28"/>
            <w:szCs w:val="28"/>
            <w:u w:val="single"/>
            <w:rtl/>
          </w:rPr>
          <w:t>-</w:t>
        </w:r>
        <w:r w:rsidRPr="002D11B3">
          <w:rPr>
            <w:rFonts w:ascii="Calibri" w:hAnsi="Calibri" w:cs="FrankRuehl" w:hint="eastAsia"/>
            <w:color w:val="0000FF"/>
            <w:sz w:val="28"/>
            <w:szCs w:val="28"/>
            <w:u w:val="single"/>
            <w:rtl/>
          </w:rPr>
          <w:t>ם</w:t>
        </w:r>
        <w:r w:rsidRPr="002D11B3">
          <w:rPr>
            <w:rFonts w:ascii="Calibri" w:hAnsi="Calibri" w:cs="FrankRuehl"/>
            <w:color w:val="0000FF"/>
            <w:sz w:val="28"/>
            <w:szCs w:val="28"/>
            <w:u w:val="single"/>
            <w:rtl/>
          </w:rPr>
          <w:t>) 4956-02-14</w:t>
        </w:r>
      </w:hyperlink>
      <w:r>
        <w:rPr>
          <w:rFonts w:ascii="Calibri" w:hAnsi="Calibri" w:cs="FrankRuehl" w:hint="cs"/>
          <w:sz w:val="28"/>
          <w:szCs w:val="28"/>
          <w:rtl/>
        </w:rPr>
        <w:t xml:space="preserve"> </w:t>
      </w:r>
      <w:r>
        <w:rPr>
          <w:rFonts w:ascii="Calibri" w:hAnsi="Calibri" w:cs="Miriam" w:hint="cs"/>
          <w:rtl/>
        </w:rPr>
        <w:t>מדינת ישראל נ' גולאני</w:t>
      </w:r>
      <w:r>
        <w:rPr>
          <w:rFonts w:ascii="Calibri" w:hAnsi="Calibri" w:cs="FrankRuehl" w:hint="cs"/>
          <w:sz w:val="28"/>
          <w:szCs w:val="28"/>
          <w:rtl/>
        </w:rPr>
        <w:t xml:space="preserve"> (27.10.2014)). </w:t>
      </w:r>
    </w:p>
    <w:p w14:paraId="6016389E" w14:textId="77777777" w:rsidR="00A745C5" w:rsidRDefault="00A745C5">
      <w:pPr>
        <w:spacing w:after="120" w:line="360" w:lineRule="auto"/>
        <w:jc w:val="both"/>
        <w:rPr>
          <w:rFonts w:cs="FrankRuehl"/>
          <w:sz w:val="28"/>
          <w:szCs w:val="28"/>
          <w:rtl/>
        </w:rPr>
      </w:pPr>
    </w:p>
    <w:p w14:paraId="4F86F963" w14:textId="77777777" w:rsidR="00A745C5" w:rsidRDefault="002D11B3">
      <w:pPr>
        <w:spacing w:after="120" w:line="360" w:lineRule="auto"/>
        <w:jc w:val="both"/>
        <w:rPr>
          <w:rFonts w:cs="FrankRuehl"/>
          <w:sz w:val="28"/>
          <w:szCs w:val="28"/>
          <w:rtl/>
        </w:rPr>
      </w:pPr>
      <w:r>
        <w:rPr>
          <w:rFonts w:cs="FrankRuehl" w:hint="cs"/>
          <w:sz w:val="28"/>
          <w:szCs w:val="28"/>
          <w:rtl/>
        </w:rPr>
        <w:t>12.</w:t>
      </w:r>
      <w:r>
        <w:rPr>
          <w:rFonts w:cs="FrankRuehl" w:hint="cs"/>
          <w:sz w:val="28"/>
          <w:szCs w:val="28"/>
          <w:rtl/>
        </w:rPr>
        <w:tab/>
        <w:t>בהתחשב בעקרון המנחה של ההלימה; בשים לב לפגיעה בערכים המוגנים ולעוצמתה; בהתחשב בחומרת המעשים ונסיבות ביצועם; ובהתחשב במדיניות הענישה הנוהגת; אני סבורה כי מתחמי הענישה ההולמת במקרה שלפניי הינם כדלקמן:</w:t>
      </w:r>
    </w:p>
    <w:p w14:paraId="081A2BB3" w14:textId="77777777" w:rsidR="00A745C5" w:rsidRDefault="00A745C5">
      <w:pPr>
        <w:spacing w:after="120" w:line="360" w:lineRule="auto"/>
        <w:ind w:firstLine="720"/>
        <w:jc w:val="both"/>
        <w:rPr>
          <w:rFonts w:cs="FrankRuehl"/>
          <w:b/>
          <w:bCs/>
          <w:sz w:val="28"/>
          <w:szCs w:val="28"/>
          <w:rtl/>
        </w:rPr>
      </w:pPr>
    </w:p>
    <w:p w14:paraId="6F0B389B" w14:textId="77777777" w:rsidR="00A745C5" w:rsidRDefault="002D11B3">
      <w:pPr>
        <w:spacing w:after="120" w:line="360" w:lineRule="auto"/>
        <w:ind w:firstLine="720"/>
        <w:jc w:val="both"/>
        <w:rPr>
          <w:rFonts w:cs="FrankRuehl"/>
          <w:sz w:val="28"/>
          <w:szCs w:val="28"/>
          <w:rtl/>
        </w:rPr>
      </w:pPr>
      <w:r>
        <w:rPr>
          <w:rFonts w:cs="FrankRuehl" w:hint="cs"/>
          <w:b/>
          <w:bCs/>
          <w:sz w:val="28"/>
          <w:szCs w:val="28"/>
          <w:rtl/>
        </w:rPr>
        <w:t>בהתאם ל"מבחן הצורני-עובדתי" (לפיו עסקינן ב"מספר אירועים")</w:t>
      </w:r>
      <w:r>
        <w:rPr>
          <w:rFonts w:cs="FrankRuehl" w:hint="cs"/>
          <w:sz w:val="28"/>
          <w:szCs w:val="28"/>
          <w:rtl/>
        </w:rPr>
        <w:t>:</w:t>
      </w:r>
    </w:p>
    <w:p w14:paraId="1C87968F" w14:textId="77777777" w:rsidR="00A745C5" w:rsidRDefault="002D11B3">
      <w:pPr>
        <w:spacing w:after="120" w:line="360" w:lineRule="auto"/>
        <w:ind w:firstLine="720"/>
        <w:jc w:val="both"/>
        <w:rPr>
          <w:rFonts w:cs="FrankRuehl"/>
          <w:sz w:val="28"/>
          <w:szCs w:val="28"/>
          <w:u w:val="single"/>
          <w:rtl/>
        </w:rPr>
      </w:pPr>
      <w:r>
        <w:rPr>
          <w:rFonts w:cs="FrankRuehl" w:hint="cs"/>
          <w:sz w:val="28"/>
          <w:szCs w:val="28"/>
          <w:rtl/>
        </w:rPr>
        <w:t xml:space="preserve">מתחם העונש ההולם בגין </w:t>
      </w:r>
      <w:r>
        <w:rPr>
          <w:rFonts w:cs="FrankRuehl" w:hint="cs"/>
          <w:sz w:val="28"/>
          <w:szCs w:val="28"/>
          <w:u w:val="single"/>
          <w:rtl/>
        </w:rPr>
        <w:t>כל עבירה</w:t>
      </w:r>
      <w:r>
        <w:rPr>
          <w:rFonts w:cs="FrankRuehl" w:hint="cs"/>
          <w:sz w:val="28"/>
          <w:szCs w:val="28"/>
          <w:rtl/>
        </w:rPr>
        <w:t xml:space="preserve"> של סחר בסם מסוכן (הרואין במשקל של כ- </w:t>
      </w:r>
      <w:smartTag w:uri="urn:schemas-microsoft-com:office:smarttags" w:element="metricconverter">
        <w:smartTagPr>
          <w:attr w:name="ProductID" w:val="0.4 גרם"/>
        </w:smartTagPr>
        <w:r>
          <w:rPr>
            <w:rFonts w:cs="FrankRuehl" w:hint="cs"/>
            <w:sz w:val="28"/>
            <w:szCs w:val="28"/>
            <w:rtl/>
          </w:rPr>
          <w:t>0.4 גרם</w:t>
        </w:r>
      </w:smartTag>
      <w:r>
        <w:rPr>
          <w:rFonts w:cs="FrankRuehl" w:hint="cs"/>
          <w:sz w:val="28"/>
          <w:szCs w:val="28"/>
          <w:rtl/>
        </w:rPr>
        <w:t xml:space="preserve"> נטו תמורת 120 ₪ בכל עסקה מול סוכן משטרתי), נע ממספר בודד של חודשי מאסר בפועל ועד 15 חודשי מאסר בפועל לכל אירוע.</w:t>
      </w:r>
    </w:p>
    <w:p w14:paraId="18A7B65B" w14:textId="77777777" w:rsidR="00A745C5" w:rsidRDefault="00A745C5">
      <w:pPr>
        <w:spacing w:after="120" w:line="360" w:lineRule="auto"/>
        <w:jc w:val="both"/>
        <w:rPr>
          <w:rFonts w:cs="FrankRuehl"/>
          <w:sz w:val="28"/>
          <w:szCs w:val="28"/>
          <w:rtl/>
        </w:rPr>
      </w:pPr>
    </w:p>
    <w:p w14:paraId="750B82B1" w14:textId="77777777" w:rsidR="00A745C5" w:rsidRDefault="002D11B3">
      <w:pPr>
        <w:spacing w:after="120" w:line="360" w:lineRule="auto"/>
        <w:ind w:firstLine="720"/>
        <w:jc w:val="both"/>
        <w:rPr>
          <w:rFonts w:cs="FrankRuehl"/>
          <w:sz w:val="28"/>
          <w:szCs w:val="28"/>
          <w:rtl/>
        </w:rPr>
      </w:pPr>
      <w:r>
        <w:rPr>
          <w:rFonts w:cs="FrankRuehl" w:hint="cs"/>
          <w:b/>
          <w:bCs/>
          <w:sz w:val="28"/>
          <w:szCs w:val="28"/>
          <w:rtl/>
        </w:rPr>
        <w:t>בהתאם ל"מבחן הקשר ההדוק" (לפיו עסקינן ב"אירוע אחד" הכולל "מספר מעשים")</w:t>
      </w:r>
      <w:r>
        <w:rPr>
          <w:rFonts w:cs="FrankRuehl" w:hint="cs"/>
          <w:sz w:val="28"/>
          <w:szCs w:val="28"/>
          <w:rtl/>
        </w:rPr>
        <w:t>:</w:t>
      </w:r>
    </w:p>
    <w:p w14:paraId="55A1C4FF" w14:textId="77777777" w:rsidR="00A745C5" w:rsidRDefault="002D11B3">
      <w:pPr>
        <w:spacing w:after="120" w:line="360" w:lineRule="auto"/>
        <w:ind w:firstLine="720"/>
        <w:jc w:val="both"/>
        <w:rPr>
          <w:rFonts w:cs="FrankRuehl"/>
          <w:sz w:val="28"/>
          <w:szCs w:val="28"/>
          <w:rtl/>
        </w:rPr>
      </w:pPr>
      <w:r>
        <w:rPr>
          <w:rFonts w:cs="FrankRuehl" w:hint="cs"/>
          <w:sz w:val="28"/>
          <w:szCs w:val="28"/>
          <w:rtl/>
        </w:rPr>
        <w:t xml:space="preserve">מתחם העונש ההולם בגין </w:t>
      </w:r>
      <w:r>
        <w:rPr>
          <w:rFonts w:cs="FrankRuehl" w:hint="cs"/>
          <w:sz w:val="28"/>
          <w:szCs w:val="28"/>
          <w:u w:val="single"/>
          <w:rtl/>
        </w:rPr>
        <w:t>שלוש העבירות</w:t>
      </w:r>
      <w:r>
        <w:rPr>
          <w:rFonts w:cs="FrankRuehl" w:hint="cs"/>
          <w:sz w:val="28"/>
          <w:szCs w:val="28"/>
          <w:rtl/>
        </w:rPr>
        <w:t xml:space="preserve"> של סחר בסם מסוכן, נע מ- 10 ועד 33 חודשי מאסר בפועל.</w:t>
      </w:r>
    </w:p>
    <w:p w14:paraId="3A0F5EDA" w14:textId="77777777" w:rsidR="00A745C5" w:rsidRDefault="00A745C5">
      <w:pPr>
        <w:spacing w:after="120" w:line="360" w:lineRule="auto"/>
        <w:jc w:val="both"/>
        <w:rPr>
          <w:rFonts w:cs="FrankRuehl"/>
          <w:sz w:val="28"/>
          <w:szCs w:val="28"/>
          <w:rtl/>
        </w:rPr>
      </w:pPr>
    </w:p>
    <w:p w14:paraId="7AB6A077" w14:textId="77777777" w:rsidR="00A745C5" w:rsidRDefault="002D11B3">
      <w:pPr>
        <w:spacing w:after="120" w:line="360" w:lineRule="auto"/>
        <w:jc w:val="both"/>
        <w:rPr>
          <w:rFonts w:cs="FrankRuehl"/>
          <w:sz w:val="28"/>
          <w:szCs w:val="28"/>
          <w:rtl/>
        </w:rPr>
      </w:pPr>
      <w:r>
        <w:rPr>
          <w:rFonts w:cs="FrankRuehl" w:hint="cs"/>
          <w:sz w:val="28"/>
          <w:szCs w:val="28"/>
          <w:rtl/>
        </w:rPr>
        <w:tab/>
        <w:t>בנסיבות המקרה, לא ראיתי לסטות ממתחמי הענישה ההולמת לקולא או לחומרה.</w:t>
      </w:r>
    </w:p>
    <w:p w14:paraId="4B36FC2D" w14:textId="77777777" w:rsidR="00A745C5" w:rsidRDefault="00A745C5">
      <w:pPr>
        <w:spacing w:after="120" w:line="360" w:lineRule="auto"/>
        <w:jc w:val="both"/>
        <w:rPr>
          <w:rFonts w:cs="FrankRuehl"/>
          <w:sz w:val="28"/>
          <w:szCs w:val="28"/>
          <w:rtl/>
        </w:rPr>
      </w:pPr>
    </w:p>
    <w:p w14:paraId="1775296F" w14:textId="77777777" w:rsidR="00A745C5" w:rsidRDefault="002D11B3">
      <w:pPr>
        <w:spacing w:after="120" w:line="360" w:lineRule="auto"/>
        <w:jc w:val="both"/>
        <w:rPr>
          <w:rFonts w:ascii="Calibri" w:hAnsi="Calibri" w:cs="FrankRuehl"/>
          <w:sz w:val="28"/>
          <w:szCs w:val="28"/>
          <w:u w:val="single"/>
          <w:rtl/>
        </w:rPr>
      </w:pPr>
      <w:r>
        <w:rPr>
          <w:rFonts w:cs="FrankRuehl" w:hint="cs"/>
          <w:sz w:val="28"/>
          <w:szCs w:val="28"/>
          <w:u w:val="single"/>
          <w:rtl/>
        </w:rPr>
        <w:t>גזירת העונש המתאים</w:t>
      </w:r>
    </w:p>
    <w:p w14:paraId="04C34E0F" w14:textId="77777777" w:rsidR="00A745C5" w:rsidRDefault="002D11B3">
      <w:pPr>
        <w:spacing w:after="120" w:line="360" w:lineRule="auto"/>
        <w:jc w:val="both"/>
        <w:rPr>
          <w:rFonts w:cs="FrankRuehl"/>
          <w:b/>
          <w:bCs/>
          <w:sz w:val="28"/>
          <w:szCs w:val="28"/>
          <w:rtl/>
        </w:rPr>
      </w:pPr>
      <w:r>
        <w:rPr>
          <w:rFonts w:cs="FrankRuehl" w:hint="cs"/>
          <w:sz w:val="28"/>
          <w:szCs w:val="28"/>
          <w:rtl/>
        </w:rPr>
        <w:t>13.</w:t>
      </w:r>
      <w:r>
        <w:rPr>
          <w:rFonts w:cs="FrankRuehl" w:hint="cs"/>
          <w:sz w:val="28"/>
          <w:szCs w:val="28"/>
          <w:rtl/>
        </w:rPr>
        <w:tab/>
        <w:t xml:space="preserve">בהתאם </w:t>
      </w:r>
      <w:hyperlink r:id="rId38" w:history="1">
        <w:r w:rsidR="00C43EA0" w:rsidRPr="00C43EA0">
          <w:rPr>
            <w:rFonts w:cs="FrankRuehl"/>
            <w:color w:val="0000FF"/>
            <w:sz w:val="28"/>
            <w:szCs w:val="28"/>
            <w:u w:val="single"/>
            <w:rtl/>
          </w:rPr>
          <w:t>לסעיף 40יא</w:t>
        </w:r>
      </w:hyperlink>
      <w:r>
        <w:rPr>
          <w:rFonts w:cs="FrankRuehl" w:hint="cs"/>
          <w:sz w:val="28"/>
          <w:szCs w:val="28"/>
          <w:rtl/>
        </w:rPr>
        <w:t xml:space="preserve"> ל</w:t>
      </w:r>
      <w:hyperlink r:id="rId39" w:history="1">
        <w:r w:rsidRPr="002D11B3">
          <w:rPr>
            <w:rFonts w:cs="FrankRuehl"/>
            <w:color w:val="0000FF"/>
            <w:sz w:val="28"/>
            <w:szCs w:val="28"/>
            <w:u w:val="single"/>
            <w:rtl/>
          </w:rPr>
          <w:t>חוק העונשין</w:t>
        </w:r>
      </w:hyperlink>
      <w:r>
        <w:rPr>
          <w:rFonts w:cs="FrankRuehl" w:hint="cs"/>
          <w:sz w:val="28"/>
          <w:szCs w:val="28"/>
          <w:rtl/>
        </w:rPr>
        <w:t>, יש לשקול את הנסיבות שאינן קשורות בביצוע העבירות:</w:t>
      </w:r>
    </w:p>
    <w:p w14:paraId="53965AE8" w14:textId="77777777" w:rsidR="00A745C5" w:rsidRDefault="00A745C5">
      <w:pPr>
        <w:spacing w:after="120" w:line="360" w:lineRule="auto"/>
        <w:jc w:val="both"/>
        <w:rPr>
          <w:rFonts w:cs="FrankRuehl"/>
          <w:b/>
          <w:bCs/>
          <w:sz w:val="28"/>
          <w:szCs w:val="28"/>
          <w:rtl/>
        </w:rPr>
      </w:pPr>
    </w:p>
    <w:p w14:paraId="4A2A5EBB" w14:textId="77777777" w:rsidR="00A745C5" w:rsidRDefault="002D11B3">
      <w:pPr>
        <w:spacing w:after="120" w:line="360" w:lineRule="auto"/>
        <w:ind w:firstLine="720"/>
        <w:jc w:val="both"/>
        <w:rPr>
          <w:rFonts w:cs="FrankRuehl"/>
          <w:sz w:val="28"/>
          <w:szCs w:val="28"/>
          <w:rtl/>
        </w:rPr>
      </w:pPr>
      <w:r>
        <w:rPr>
          <w:rFonts w:cs="FrankRuehl" w:hint="cs"/>
          <w:b/>
          <w:bCs/>
          <w:sz w:val="28"/>
          <w:szCs w:val="28"/>
          <w:rtl/>
        </w:rPr>
        <w:t>לקולא</w:t>
      </w:r>
      <w:r>
        <w:rPr>
          <w:rFonts w:cs="FrankRuehl" w:hint="cs"/>
          <w:sz w:val="28"/>
          <w:szCs w:val="28"/>
          <w:rtl/>
        </w:rPr>
        <w:t xml:space="preserve">, התחשבתי בהודאת הנאשם, בנטילת האחריות הנלוות לכך וכן בחרטה שהנאשם הביע לפניי. עוד התחשבתי בנסיבותיו האישיות של הנאשם כפי שעלו מטיעוניו של הסנגור לפניי, לרבות היותו של הנאשם אב לשתי בנות, והפגיעה האפשרית בבני-המשפחה כתוצאה ממאסרו. מטיעוני הסנגור לפניי עלה כי ילדותו של הנאשם הייתה קשה, הוא היה מכור במשך שנים ארוכות לסמים קשים, ובתקופה האחרונה ניסה להשתלב בטיפול במרכז למתדון (אף כי למרבה הצער הדבר לא מנע את ביצוע העבירות נשוא התיק הנוכחי). </w:t>
      </w:r>
    </w:p>
    <w:p w14:paraId="56810DB7" w14:textId="77777777" w:rsidR="00A745C5" w:rsidRDefault="00A745C5">
      <w:pPr>
        <w:spacing w:after="120" w:line="360" w:lineRule="auto"/>
        <w:jc w:val="both"/>
        <w:rPr>
          <w:rFonts w:cs="FrankRuehl"/>
          <w:sz w:val="28"/>
          <w:szCs w:val="28"/>
          <w:rtl/>
        </w:rPr>
      </w:pPr>
    </w:p>
    <w:p w14:paraId="2FF800E5" w14:textId="77777777" w:rsidR="00A745C5" w:rsidRDefault="002D11B3">
      <w:pPr>
        <w:spacing w:after="120" w:line="360" w:lineRule="auto"/>
        <w:ind w:firstLine="720"/>
        <w:jc w:val="both"/>
        <w:rPr>
          <w:rFonts w:cs="FrankRuehl"/>
          <w:sz w:val="28"/>
          <w:szCs w:val="28"/>
          <w:rtl/>
        </w:rPr>
      </w:pPr>
      <w:r>
        <w:rPr>
          <w:rFonts w:cs="FrankRuehl" w:hint="cs"/>
          <w:b/>
          <w:bCs/>
          <w:sz w:val="28"/>
          <w:szCs w:val="28"/>
          <w:rtl/>
        </w:rPr>
        <w:t>לחומרה</w:t>
      </w:r>
      <w:r>
        <w:rPr>
          <w:rFonts w:cs="FrankRuehl" w:hint="cs"/>
          <w:sz w:val="28"/>
          <w:szCs w:val="28"/>
          <w:rtl/>
        </w:rPr>
        <w:t xml:space="preserve">, שקלתי את עברו הפלילי המכביד של הנאשם, הכולל מספר רב של הרשעות קודמות בעבירות סמים ורכוש, בגינן ריצה הנאשם עונשי מאסר בפועל מאחורי סורג ובריח. הרשעתו הקודמת של הנאשם </w:t>
      </w:r>
      <w:r>
        <w:rPr>
          <w:rFonts w:cs="Miriam" w:hint="cs"/>
          <w:u w:val="single"/>
          <w:rtl/>
        </w:rPr>
        <w:t>בעבירות סמים</w:t>
      </w:r>
      <w:r>
        <w:rPr>
          <w:rFonts w:cs="FrankRuehl" w:hint="cs"/>
          <w:sz w:val="28"/>
          <w:szCs w:val="28"/>
          <w:rtl/>
        </w:rPr>
        <w:t xml:space="preserve"> היא משנת 2007 ובגינה נגזרו על הנאשם בשעתו 18 חודשי מאסר בפועל, וכן הפעלה במצטבר של 6 חודשי מאסר על-תנאי, ובסך-הכל 24 חודשי מאסר בפועל. הרשעתו האחרונה של הנאשם </w:t>
      </w:r>
      <w:r>
        <w:rPr>
          <w:rFonts w:cs="Miriam" w:hint="cs"/>
          <w:u w:val="single"/>
          <w:rtl/>
        </w:rPr>
        <w:t>בעבירות רכוש</w:t>
      </w:r>
      <w:r>
        <w:rPr>
          <w:rFonts w:cs="FrankRuehl" w:hint="cs"/>
          <w:sz w:val="28"/>
          <w:szCs w:val="28"/>
          <w:rtl/>
        </w:rPr>
        <w:t xml:space="preserve"> היא משנת 2014, אז הוטל על הנאשם עונש שנשא אופי שיקומי על-מנת שיתרחק מסמי-רחוב ויתמיד בטיפול במרכז המתדון (ראו: פסקה 3 לעיל). למרבה הצער, כל אלה לא מנעו מהנאשם לשוב ולבצע את עבירות הסחר בסמים בגינן הורשע בתיק זה, תוך הפרת צו מבחן שהוטל עליו בהליכים קודמים ותוך מעילה באמון שניתן בו  במסלול הטיפולי-שיקומי. התנהלות זו של הנאשם מעידה על חוסר הפנמה של חומרת מצבו ועל העדר מורא, באופן המצדד במסר עונשי מרתיע ומציב גבולות. </w:t>
      </w:r>
    </w:p>
    <w:p w14:paraId="58471BBE" w14:textId="77777777" w:rsidR="00A745C5" w:rsidRDefault="00A745C5">
      <w:pPr>
        <w:spacing w:after="120" w:line="360" w:lineRule="auto"/>
        <w:jc w:val="both"/>
        <w:rPr>
          <w:rFonts w:cs="FrankRuehl"/>
          <w:sz w:val="28"/>
          <w:szCs w:val="28"/>
          <w:rtl/>
        </w:rPr>
      </w:pPr>
    </w:p>
    <w:p w14:paraId="3B003DF6" w14:textId="77777777" w:rsidR="00A745C5" w:rsidRDefault="002D11B3">
      <w:pPr>
        <w:spacing w:after="120" w:line="360" w:lineRule="auto"/>
        <w:jc w:val="both"/>
        <w:rPr>
          <w:rFonts w:cs="FrankRuehl"/>
          <w:sz w:val="28"/>
          <w:szCs w:val="28"/>
          <w:rtl/>
        </w:rPr>
      </w:pPr>
      <w:r>
        <w:rPr>
          <w:rFonts w:cs="FrankRuehl" w:hint="cs"/>
          <w:sz w:val="28"/>
          <w:szCs w:val="28"/>
          <w:rtl/>
        </w:rPr>
        <w:t>14.</w:t>
      </w:r>
      <w:r>
        <w:rPr>
          <w:rFonts w:cs="FrankRuehl" w:hint="cs"/>
          <w:sz w:val="28"/>
          <w:szCs w:val="28"/>
          <w:rtl/>
        </w:rPr>
        <w:tab/>
        <w:t>באיזון בין מכלול השיקולים לקולא ולחומרה, אני סבורה כי ראוי להעמיד את עונשו של הנאשם בטווח הבינוני של המתחמים שקבעתי. אעיר כי בנסיבות העניין, לא ראיתי להוסיף עונשי פסילה.</w:t>
      </w:r>
    </w:p>
    <w:p w14:paraId="1355DC76" w14:textId="77777777" w:rsidR="00A745C5" w:rsidRDefault="00A745C5">
      <w:pPr>
        <w:spacing w:after="120" w:line="360" w:lineRule="auto"/>
        <w:jc w:val="both"/>
        <w:rPr>
          <w:rFonts w:cs="FrankRuehl"/>
          <w:sz w:val="28"/>
          <w:szCs w:val="28"/>
          <w:rtl/>
        </w:rPr>
      </w:pPr>
    </w:p>
    <w:p w14:paraId="5FF76964" w14:textId="77777777" w:rsidR="00A745C5" w:rsidRDefault="002D11B3">
      <w:pPr>
        <w:spacing w:after="120" w:line="360" w:lineRule="auto"/>
        <w:jc w:val="both"/>
        <w:rPr>
          <w:rFonts w:cs="FrankRuehl"/>
          <w:sz w:val="28"/>
          <w:szCs w:val="28"/>
          <w:u w:val="single"/>
          <w:rtl/>
        </w:rPr>
      </w:pPr>
      <w:r>
        <w:rPr>
          <w:rFonts w:cs="FrankRuehl" w:hint="cs"/>
          <w:sz w:val="28"/>
          <w:szCs w:val="28"/>
          <w:u w:val="single"/>
          <w:rtl/>
        </w:rPr>
        <w:t>סוף דבר</w:t>
      </w:r>
    </w:p>
    <w:p w14:paraId="319308F5" w14:textId="77777777" w:rsidR="00A745C5" w:rsidRDefault="002D11B3">
      <w:pPr>
        <w:spacing w:after="120" w:line="360" w:lineRule="auto"/>
        <w:jc w:val="both"/>
        <w:rPr>
          <w:rFonts w:cs="FrankRuehl"/>
          <w:sz w:val="28"/>
          <w:szCs w:val="28"/>
          <w:rtl/>
        </w:rPr>
      </w:pPr>
      <w:r>
        <w:rPr>
          <w:rFonts w:cs="FrankRuehl" w:hint="cs"/>
          <w:sz w:val="28"/>
          <w:szCs w:val="28"/>
          <w:rtl/>
        </w:rPr>
        <w:t>15.</w:t>
      </w:r>
      <w:r>
        <w:rPr>
          <w:rFonts w:cs="FrankRuehl" w:hint="cs"/>
          <w:sz w:val="28"/>
          <w:szCs w:val="28"/>
          <w:rtl/>
        </w:rPr>
        <w:tab/>
        <w:t>נוכח מכלול הטעמים האמורים, אני גוזרת על הנאשם כדלקמן:</w:t>
      </w:r>
    </w:p>
    <w:p w14:paraId="70CB5A7F" w14:textId="77777777" w:rsidR="00A745C5" w:rsidRDefault="002D11B3">
      <w:pPr>
        <w:spacing w:after="120" w:line="360" w:lineRule="auto"/>
        <w:jc w:val="both"/>
        <w:rPr>
          <w:rFonts w:cs="FrankRuehl"/>
          <w:sz w:val="28"/>
          <w:szCs w:val="28"/>
          <w:rtl/>
        </w:rPr>
      </w:pPr>
      <w:r>
        <w:rPr>
          <w:rFonts w:cs="FrankRuehl" w:hint="cs"/>
          <w:sz w:val="28"/>
          <w:szCs w:val="28"/>
          <w:rtl/>
        </w:rPr>
        <w:t>א.</w:t>
      </w:r>
      <w:r>
        <w:rPr>
          <w:rFonts w:cs="FrankRuehl" w:hint="cs"/>
          <w:sz w:val="28"/>
          <w:szCs w:val="28"/>
          <w:rtl/>
        </w:rPr>
        <w:tab/>
        <w:t xml:space="preserve">21 חודשי מאסר בפועל, החל מיום מעצרו, אך זאת </w:t>
      </w:r>
      <w:r>
        <w:rPr>
          <w:rFonts w:cs="FrankRuehl" w:hint="cs"/>
          <w:sz w:val="28"/>
          <w:szCs w:val="28"/>
          <w:u w:val="single"/>
          <w:rtl/>
        </w:rPr>
        <w:t>במצטבר</w:t>
      </w:r>
      <w:r>
        <w:rPr>
          <w:rFonts w:cs="FrankRuehl" w:hint="cs"/>
          <w:sz w:val="28"/>
          <w:szCs w:val="28"/>
          <w:rtl/>
        </w:rPr>
        <w:t xml:space="preserve"> ל- 32 ימי מאסר בפועל שנגזרו על הנאשם ביום 2.7.2015 ב</w:t>
      </w:r>
      <w:hyperlink r:id="rId40" w:history="1">
        <w:r w:rsidRPr="002D11B3">
          <w:rPr>
            <w:rFonts w:cs="FrankRuehl"/>
            <w:color w:val="0000FF"/>
            <w:sz w:val="28"/>
            <w:szCs w:val="28"/>
            <w:u w:val="single"/>
            <w:rtl/>
          </w:rPr>
          <w:t>ת"פ (י-ם) 31282-02-13</w:t>
        </w:r>
      </w:hyperlink>
      <w:r>
        <w:rPr>
          <w:rFonts w:cs="FrankRuehl" w:hint="cs"/>
          <w:sz w:val="28"/>
          <w:szCs w:val="28"/>
          <w:rtl/>
        </w:rPr>
        <w:t xml:space="preserve"> ובת"פ (י-ם) 34785-03-12. </w:t>
      </w:r>
    </w:p>
    <w:p w14:paraId="445B9C85" w14:textId="77777777" w:rsidR="00A745C5" w:rsidRDefault="002D11B3">
      <w:pPr>
        <w:spacing w:after="120" w:line="360" w:lineRule="auto"/>
        <w:jc w:val="both"/>
        <w:rPr>
          <w:rFonts w:cs="FrankRuehl"/>
          <w:sz w:val="28"/>
          <w:szCs w:val="28"/>
          <w:rtl/>
        </w:rPr>
      </w:pPr>
      <w:r>
        <w:rPr>
          <w:rFonts w:cs="FrankRuehl" w:hint="cs"/>
          <w:sz w:val="28"/>
          <w:szCs w:val="28"/>
          <w:rtl/>
        </w:rPr>
        <w:t xml:space="preserve">העונש הנ"ל יצטבר לכל עונש מאסר אחר, אם וככל שהנאשם מרצה. </w:t>
      </w:r>
    </w:p>
    <w:p w14:paraId="099060D4" w14:textId="77777777" w:rsidR="00A745C5" w:rsidRDefault="00A745C5">
      <w:pPr>
        <w:spacing w:after="120" w:line="360" w:lineRule="auto"/>
        <w:jc w:val="both"/>
        <w:rPr>
          <w:rFonts w:cs="FrankRuehl"/>
          <w:sz w:val="28"/>
          <w:szCs w:val="28"/>
          <w:rtl/>
        </w:rPr>
      </w:pPr>
    </w:p>
    <w:p w14:paraId="02DF5593" w14:textId="77777777" w:rsidR="00A745C5" w:rsidRDefault="002D11B3">
      <w:pPr>
        <w:spacing w:after="120" w:line="360" w:lineRule="auto"/>
        <w:jc w:val="both"/>
        <w:rPr>
          <w:rFonts w:cs="FrankRuehl"/>
          <w:b/>
          <w:bCs/>
          <w:sz w:val="28"/>
          <w:szCs w:val="28"/>
          <w:rtl/>
        </w:rPr>
      </w:pPr>
      <w:r>
        <w:rPr>
          <w:rFonts w:cs="FrankRuehl" w:hint="cs"/>
          <w:sz w:val="28"/>
          <w:szCs w:val="28"/>
          <w:rtl/>
        </w:rPr>
        <w:t>ב.</w:t>
      </w:r>
      <w:r>
        <w:rPr>
          <w:rFonts w:cs="FrankRuehl" w:hint="cs"/>
          <w:sz w:val="28"/>
          <w:szCs w:val="28"/>
          <w:rtl/>
        </w:rPr>
        <w:tab/>
        <w:t>מאסר על-תנאי לתקופה של 7 חודשים למשך שלוש שנים מיום השחרור ממאסר. התנאי הוא שהנאשם לא יעבור עבירת סמים מסוג פשע.</w:t>
      </w:r>
    </w:p>
    <w:p w14:paraId="4CE2907D" w14:textId="77777777" w:rsidR="00A745C5" w:rsidRDefault="00A745C5">
      <w:pPr>
        <w:spacing w:after="120" w:line="360" w:lineRule="auto"/>
        <w:jc w:val="both"/>
        <w:rPr>
          <w:rFonts w:cs="FrankRuehl"/>
          <w:b/>
          <w:bCs/>
          <w:sz w:val="28"/>
          <w:szCs w:val="28"/>
          <w:rtl/>
        </w:rPr>
      </w:pPr>
    </w:p>
    <w:p w14:paraId="2ACDEC12" w14:textId="77777777" w:rsidR="00A745C5" w:rsidRDefault="002D11B3">
      <w:pPr>
        <w:spacing w:after="120" w:line="360" w:lineRule="auto"/>
        <w:jc w:val="both"/>
        <w:rPr>
          <w:rtl/>
        </w:rPr>
      </w:pPr>
      <w:r>
        <w:rPr>
          <w:rFonts w:cs="FrankRuehl" w:hint="cs"/>
          <w:sz w:val="28"/>
          <w:szCs w:val="28"/>
          <w:rtl/>
        </w:rPr>
        <w:t>ג.</w:t>
      </w:r>
      <w:r>
        <w:rPr>
          <w:rFonts w:cs="FrankRuehl" w:hint="cs"/>
          <w:sz w:val="28"/>
          <w:szCs w:val="28"/>
          <w:rtl/>
        </w:rPr>
        <w:tab/>
        <w:t xml:space="preserve">מאסר על-תנאי לתקופה של 3 חודשים למשך שלוש שנים מיום השחרור ממאסר. התנאי הוא שהנאשם לא יעבור עבירת סמים מסוג עוון. </w:t>
      </w:r>
    </w:p>
    <w:p w14:paraId="38E64528" w14:textId="77777777" w:rsidR="00A745C5" w:rsidRDefault="00A745C5">
      <w:pPr>
        <w:spacing w:after="120" w:line="360" w:lineRule="auto"/>
        <w:jc w:val="both"/>
        <w:rPr>
          <w:rtl/>
        </w:rPr>
      </w:pPr>
    </w:p>
    <w:p w14:paraId="74F7E878" w14:textId="77777777" w:rsidR="00A745C5" w:rsidRDefault="002D11B3">
      <w:pPr>
        <w:spacing w:after="120" w:line="360" w:lineRule="auto"/>
        <w:jc w:val="both"/>
        <w:rPr>
          <w:rtl/>
        </w:rPr>
      </w:pPr>
      <w:r>
        <w:rPr>
          <w:rFonts w:cs="FrankRuehl" w:hint="cs"/>
          <w:sz w:val="28"/>
          <w:szCs w:val="28"/>
          <w:rtl/>
        </w:rPr>
        <w:t>ד.</w:t>
      </w:r>
      <w:r>
        <w:rPr>
          <w:rFonts w:cs="FrankRuehl" w:hint="cs"/>
          <w:sz w:val="28"/>
          <w:szCs w:val="28"/>
          <w:rtl/>
        </w:rPr>
        <w:tab/>
        <w:t>ככל שנתפסו סמים, יש להשמידם.</w:t>
      </w:r>
    </w:p>
    <w:p w14:paraId="659E34BC" w14:textId="77777777" w:rsidR="00A745C5" w:rsidRPr="002D11B3" w:rsidRDefault="002D11B3">
      <w:pPr>
        <w:spacing w:after="200" w:line="360" w:lineRule="auto"/>
        <w:ind w:firstLine="720"/>
        <w:jc w:val="both"/>
        <w:rPr>
          <w:rFonts w:cs="FrankRuehl"/>
          <w:b/>
          <w:bCs/>
          <w:color w:val="FFFFFF"/>
          <w:sz w:val="2"/>
          <w:szCs w:val="2"/>
          <w:rtl/>
        </w:rPr>
      </w:pPr>
      <w:r w:rsidRPr="002D11B3">
        <w:rPr>
          <w:rFonts w:cs="FrankRuehl"/>
          <w:b/>
          <w:bCs/>
          <w:color w:val="FFFFFF"/>
          <w:sz w:val="2"/>
          <w:szCs w:val="2"/>
          <w:rtl/>
        </w:rPr>
        <w:t>5129371</w:t>
      </w:r>
    </w:p>
    <w:p w14:paraId="0159F4EE" w14:textId="77777777" w:rsidR="00A745C5" w:rsidRDefault="002D11B3">
      <w:pPr>
        <w:spacing w:after="200" w:line="360" w:lineRule="auto"/>
        <w:ind w:firstLine="720"/>
        <w:jc w:val="both"/>
        <w:rPr>
          <w:rFonts w:ascii="Calibri" w:hAnsi="Calibri" w:cs="FrankRuehl"/>
          <w:b/>
          <w:bCs/>
          <w:sz w:val="28"/>
          <w:szCs w:val="28"/>
          <w:rtl/>
        </w:rPr>
      </w:pPr>
      <w:r w:rsidRPr="002D11B3">
        <w:rPr>
          <w:rFonts w:cs="FrankRuehl"/>
          <w:b/>
          <w:bCs/>
          <w:color w:val="FFFFFF"/>
          <w:sz w:val="2"/>
          <w:szCs w:val="2"/>
          <w:rtl/>
        </w:rPr>
        <w:t>54678313</w:t>
      </w:r>
      <w:r>
        <w:rPr>
          <w:rFonts w:cs="FrankRuehl" w:hint="cs"/>
          <w:b/>
          <w:bCs/>
          <w:sz w:val="28"/>
          <w:szCs w:val="28"/>
          <w:rtl/>
        </w:rPr>
        <w:t>זכות ערעור לבית המשפט המחוזי תוך 45 ימים מהיום.</w:t>
      </w:r>
    </w:p>
    <w:p w14:paraId="7315FFC3" w14:textId="77777777" w:rsidR="00A745C5" w:rsidRDefault="00A745C5">
      <w:pPr>
        <w:spacing w:line="480" w:lineRule="auto"/>
        <w:rPr>
          <w:rFonts w:cs="FrankRuehl"/>
          <w:sz w:val="28"/>
          <w:szCs w:val="28"/>
          <w:rtl/>
        </w:rPr>
      </w:pPr>
    </w:p>
    <w:p w14:paraId="2E01C99D" w14:textId="77777777" w:rsidR="00A745C5" w:rsidRDefault="002D11B3">
      <w:pPr>
        <w:rPr>
          <w:rFonts w:cs="FrankRuehl"/>
          <w:sz w:val="28"/>
          <w:szCs w:val="28"/>
          <w:rtl/>
        </w:rPr>
      </w:pPr>
      <w:r>
        <w:rPr>
          <w:rFonts w:ascii="Arial" w:hAnsi="Arial" w:cs="FrankRuehl"/>
          <w:sz w:val="28"/>
          <w:szCs w:val="28"/>
          <w:rtl/>
        </w:rPr>
        <w:t xml:space="preserve">ניתן היום, ג' אב תשע"ה, 19 יולי 2015, במעמד הצדדים. </w:t>
      </w:r>
    </w:p>
    <w:p w14:paraId="15A04F19" w14:textId="77777777" w:rsidR="00A745C5" w:rsidRDefault="00A745C5">
      <w:pPr>
        <w:jc w:val="right"/>
      </w:pPr>
    </w:p>
    <w:p w14:paraId="42073B5D" w14:textId="77777777" w:rsidR="00A745C5" w:rsidRDefault="00A745C5">
      <w:pPr>
        <w:jc w:val="right"/>
        <w:rPr>
          <w:rFonts w:ascii="Arial" w:hAnsi="Arial" w:cs="FrankRuehl"/>
          <w:sz w:val="28"/>
          <w:szCs w:val="28"/>
          <w:rtl/>
        </w:rPr>
      </w:pPr>
    </w:p>
    <w:p w14:paraId="2A7D2AFD" w14:textId="77777777" w:rsidR="002D11B3" w:rsidRPr="002D11B3" w:rsidRDefault="002D11B3" w:rsidP="002D11B3">
      <w:pPr>
        <w:keepNext/>
        <w:rPr>
          <w:rFonts w:ascii="David" w:hAnsi="David"/>
          <w:color w:val="000000"/>
          <w:sz w:val="22"/>
          <w:szCs w:val="22"/>
          <w:rtl/>
        </w:rPr>
      </w:pPr>
    </w:p>
    <w:p w14:paraId="1EE6FB56" w14:textId="77777777" w:rsidR="002D11B3" w:rsidRPr="002D11B3" w:rsidRDefault="002D11B3" w:rsidP="002D11B3">
      <w:pPr>
        <w:keepNext/>
        <w:rPr>
          <w:rFonts w:ascii="David" w:hAnsi="David"/>
          <w:color w:val="000000"/>
          <w:sz w:val="22"/>
          <w:szCs w:val="22"/>
          <w:rtl/>
        </w:rPr>
      </w:pPr>
      <w:r w:rsidRPr="002D11B3">
        <w:rPr>
          <w:rFonts w:ascii="David" w:hAnsi="David"/>
          <w:color w:val="000000"/>
          <w:sz w:val="22"/>
          <w:szCs w:val="22"/>
          <w:rtl/>
        </w:rPr>
        <w:t>דנה כהן לקח 54678313</w:t>
      </w:r>
    </w:p>
    <w:p w14:paraId="1E44DA67" w14:textId="77777777" w:rsidR="002D11B3" w:rsidRDefault="002D11B3" w:rsidP="002D11B3">
      <w:r w:rsidRPr="002D11B3">
        <w:rPr>
          <w:color w:val="000000"/>
          <w:rtl/>
        </w:rPr>
        <w:t>נוסח מסמך זה כפוף לשינויי ניסוח ועריכה</w:t>
      </w:r>
    </w:p>
    <w:p w14:paraId="527B51D2" w14:textId="77777777" w:rsidR="002D11B3" w:rsidRDefault="002D11B3" w:rsidP="002D11B3">
      <w:pPr>
        <w:rPr>
          <w:rtl/>
        </w:rPr>
      </w:pPr>
    </w:p>
    <w:p w14:paraId="5FFECC2A" w14:textId="77777777" w:rsidR="002D11B3" w:rsidRDefault="002D11B3" w:rsidP="002D11B3">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4CEB5028" w14:textId="77777777" w:rsidR="00A745C5" w:rsidRPr="002D11B3" w:rsidRDefault="00A745C5" w:rsidP="002D11B3">
      <w:pPr>
        <w:jc w:val="center"/>
        <w:rPr>
          <w:color w:val="0000FF"/>
          <w:u w:val="single"/>
        </w:rPr>
      </w:pPr>
    </w:p>
    <w:sectPr w:rsidR="00A745C5" w:rsidRPr="002D11B3" w:rsidSect="002D11B3">
      <w:headerReference w:type="even" r:id="rId42"/>
      <w:headerReference w:type="default" r:id="rId43"/>
      <w:footerReference w:type="even" r:id="rId44"/>
      <w:footerReference w:type="default" r:id="rId45"/>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13324" w14:textId="77777777" w:rsidR="00EA0290" w:rsidRDefault="00EA0290">
      <w:r>
        <w:separator/>
      </w:r>
    </w:p>
  </w:endnote>
  <w:endnote w:type="continuationSeparator" w:id="0">
    <w:p w14:paraId="2759C053" w14:textId="77777777" w:rsidR="00EA0290" w:rsidRDefault="00EA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2FD72" w14:textId="77777777" w:rsidR="00EA0290" w:rsidRDefault="00EA0290" w:rsidP="002D11B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011D10F" w14:textId="77777777" w:rsidR="00EA0290" w:rsidRPr="002D11B3" w:rsidRDefault="00EA0290" w:rsidP="002D11B3">
    <w:pPr>
      <w:pStyle w:val="a4"/>
      <w:pBdr>
        <w:top w:val="single" w:sz="4" w:space="1" w:color="auto"/>
        <w:between w:val="single" w:sz="4" w:space="0" w:color="auto"/>
      </w:pBdr>
      <w:spacing w:after="60"/>
      <w:jc w:val="center"/>
      <w:rPr>
        <w:rFonts w:ascii="FrankRuehl" w:hAnsi="FrankRuehl" w:cs="FrankRuehl"/>
        <w:color w:val="000000"/>
      </w:rPr>
    </w:pPr>
    <w:r w:rsidRPr="002D11B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69F69" w14:textId="77777777" w:rsidR="00EA0290" w:rsidRDefault="00EA0290" w:rsidP="002D11B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A7D20">
      <w:rPr>
        <w:rFonts w:ascii="FrankRuehl" w:hAnsi="FrankRuehl" w:cs="FrankRuehl"/>
        <w:noProof/>
        <w:rtl/>
      </w:rPr>
      <w:t>1</w:t>
    </w:r>
    <w:r>
      <w:rPr>
        <w:rFonts w:ascii="FrankRuehl" w:hAnsi="FrankRuehl" w:cs="FrankRuehl"/>
        <w:rtl/>
      </w:rPr>
      <w:fldChar w:fldCharType="end"/>
    </w:r>
  </w:p>
  <w:p w14:paraId="146E2968" w14:textId="77777777" w:rsidR="00EA0290" w:rsidRPr="002D11B3" w:rsidRDefault="00EA0290" w:rsidP="002D11B3">
    <w:pPr>
      <w:pStyle w:val="a4"/>
      <w:pBdr>
        <w:top w:val="single" w:sz="4" w:space="1" w:color="auto"/>
        <w:between w:val="single" w:sz="4" w:space="0" w:color="auto"/>
      </w:pBdr>
      <w:spacing w:after="60"/>
      <w:jc w:val="center"/>
      <w:rPr>
        <w:rFonts w:ascii="FrankRuehl" w:hAnsi="FrankRuehl" w:cs="FrankRuehl"/>
        <w:color w:val="000000"/>
      </w:rPr>
    </w:pPr>
    <w:r w:rsidRPr="002D11B3">
      <w:rPr>
        <w:rFonts w:ascii="FrankRuehl" w:hAnsi="FrankRuehl" w:cs="FrankRuehl"/>
        <w:color w:val="000000"/>
      </w:rPr>
      <w:pict w14:anchorId="6B42E7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A4288" w14:textId="77777777" w:rsidR="00EA0290" w:rsidRDefault="00EA0290">
      <w:r>
        <w:separator/>
      </w:r>
    </w:p>
  </w:footnote>
  <w:footnote w:type="continuationSeparator" w:id="0">
    <w:p w14:paraId="4F845C04" w14:textId="77777777" w:rsidR="00EA0290" w:rsidRDefault="00EA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3F52C" w14:textId="77777777" w:rsidR="00EA0290" w:rsidRPr="002D11B3" w:rsidRDefault="00EA0290" w:rsidP="002D11B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28420-12-14</w:t>
    </w:r>
    <w:r>
      <w:rPr>
        <w:rFonts w:ascii="David" w:hAnsi="David"/>
        <w:color w:val="000000"/>
        <w:sz w:val="22"/>
        <w:szCs w:val="22"/>
        <w:rtl/>
      </w:rPr>
      <w:tab/>
      <w:t xml:space="preserve"> מדינת ישראל נ' גאזי אבו סאלח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F6741" w14:textId="77777777" w:rsidR="00EA0290" w:rsidRPr="002D11B3" w:rsidRDefault="00EA0290" w:rsidP="002D11B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28420-12-14</w:t>
    </w:r>
    <w:r>
      <w:rPr>
        <w:rFonts w:ascii="David" w:hAnsi="David"/>
        <w:color w:val="000000"/>
        <w:sz w:val="22"/>
        <w:szCs w:val="22"/>
        <w:rtl/>
      </w:rPr>
      <w:tab/>
      <w:t xml:space="preserve"> מדינת ישראל נ' גאזי אבו סאלח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745C5"/>
    <w:rsid w:val="00221FFD"/>
    <w:rsid w:val="002D11B3"/>
    <w:rsid w:val="003850C8"/>
    <w:rsid w:val="00694CCE"/>
    <w:rsid w:val="00A745C5"/>
    <w:rsid w:val="00BA7D20"/>
    <w:rsid w:val="00C4073F"/>
    <w:rsid w:val="00C43EA0"/>
    <w:rsid w:val="00EA02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27D70B6"/>
  <w15:chartTrackingRefBased/>
  <w15:docId w15:val="{A46B5FED-3BB3-4CEF-992E-A94B0C7B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745C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745C5"/>
    <w:pPr>
      <w:tabs>
        <w:tab w:val="center" w:pos="4153"/>
        <w:tab w:val="right" w:pos="8306"/>
      </w:tabs>
    </w:pPr>
  </w:style>
  <w:style w:type="paragraph" w:styleId="a4">
    <w:name w:val="footer"/>
    <w:basedOn w:val="a"/>
    <w:rsid w:val="00A745C5"/>
    <w:pPr>
      <w:tabs>
        <w:tab w:val="center" w:pos="4153"/>
        <w:tab w:val="right" w:pos="8306"/>
      </w:tabs>
    </w:pPr>
  </w:style>
  <w:style w:type="character" w:styleId="a5">
    <w:name w:val="page number"/>
    <w:basedOn w:val="a0"/>
    <w:rsid w:val="00A745C5"/>
  </w:style>
  <w:style w:type="character" w:styleId="Hyperlink">
    <w:name w:val="Hyperlink"/>
    <w:basedOn w:val="a0"/>
    <w:rsid w:val="002D11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03" TargetMode="External"/><Relationship Id="rId18" Type="http://schemas.openxmlformats.org/officeDocument/2006/relationships/hyperlink" Target="http://www.nevo.co.il/law/70301/40jc" TargetMode="External"/><Relationship Id="rId26" Type="http://schemas.openxmlformats.org/officeDocument/2006/relationships/hyperlink" Target="http://www.nevo.co.il/case/7971983"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4903" TargetMode="External"/><Relationship Id="rId34" Type="http://schemas.openxmlformats.org/officeDocument/2006/relationships/hyperlink" Target="http://www.nevo.co.il/case/3606610"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13"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9" Type="http://schemas.openxmlformats.org/officeDocument/2006/relationships/hyperlink" Target="http://www.nevo.co.il/law/70301/40c.a"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jc" TargetMode="External"/><Relationship Id="rId24" Type="http://schemas.openxmlformats.org/officeDocument/2006/relationships/hyperlink" Target="http://www.nevo.co.il/case/18058872" TargetMode="External"/><Relationship Id="rId32" Type="http://schemas.openxmlformats.org/officeDocument/2006/relationships/hyperlink" Target="http://www.nevo.co.il/case/10459115" TargetMode="External"/><Relationship Id="rId37" Type="http://schemas.openxmlformats.org/officeDocument/2006/relationships/hyperlink" Target="http://www.nevo.co.il/case/11291319" TargetMode="External"/><Relationship Id="rId40" Type="http://schemas.openxmlformats.org/officeDocument/2006/relationships/hyperlink" Target="http://www.nevo.co.il/case/6427919"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case/17954235"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611971" TargetMode="External"/><Relationship Id="rId10" Type="http://schemas.openxmlformats.org/officeDocument/2006/relationships/hyperlink" Target="http://www.nevo.co.il/law/70301/40j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6043717"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40c.a" TargetMode="External"/><Relationship Id="rId14" Type="http://schemas.openxmlformats.org/officeDocument/2006/relationships/hyperlink" Target="http://www.nevo.co.il/law/74903/186"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law/70301/40jc.b"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11245637" TargetMode="External"/><Relationship Id="rId43" Type="http://schemas.openxmlformats.org/officeDocument/2006/relationships/header" Target="header2.xml"/><Relationship Id="rId8"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law/70301/40jc.b" TargetMode="External"/><Relationship Id="rId17" Type="http://schemas.openxmlformats.org/officeDocument/2006/relationships/hyperlink" Target="http://www.nevo.co.il/case/6427919" TargetMode="External"/><Relationship Id="rId25" Type="http://schemas.openxmlformats.org/officeDocument/2006/relationships/hyperlink" Target="http://www.nevo.co.il/case/6708658" TargetMode="External"/><Relationship Id="rId33" Type="http://schemas.openxmlformats.org/officeDocument/2006/relationships/hyperlink" Target="http://www.nevo.co.il/case/18793360" TargetMode="External"/><Relationship Id="rId38" Type="http://schemas.openxmlformats.org/officeDocument/2006/relationships/hyperlink" Target="http://www.nevo.co.il/law/70301/40ja" TargetMode="External"/><Relationship Id="rId46" Type="http://schemas.openxmlformats.org/officeDocument/2006/relationships/fontTable" Target="fontTable.xml"/><Relationship Id="rId20" Type="http://schemas.openxmlformats.org/officeDocument/2006/relationships/hyperlink" Target="http://www.nevo.co.il/law/74903/186"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2366</Words>
  <Characters>11832</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14170</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3407990</vt:i4>
      </vt:variant>
      <vt:variant>
        <vt:i4>102</vt:i4>
      </vt:variant>
      <vt:variant>
        <vt:i4>0</vt:i4>
      </vt:variant>
      <vt:variant>
        <vt:i4>5</vt:i4>
      </vt:variant>
      <vt:variant>
        <vt:lpwstr>http://www.nevo.co.il/case/6427919</vt:lpwstr>
      </vt:variant>
      <vt:variant>
        <vt:lpwstr/>
      </vt:variant>
      <vt:variant>
        <vt:i4>7995492</vt:i4>
      </vt:variant>
      <vt:variant>
        <vt:i4>99</vt:i4>
      </vt:variant>
      <vt:variant>
        <vt:i4>0</vt:i4>
      </vt:variant>
      <vt:variant>
        <vt:i4>5</vt:i4>
      </vt:variant>
      <vt:variant>
        <vt:lpwstr>http://www.nevo.co.il/law/70301</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3342463</vt:i4>
      </vt:variant>
      <vt:variant>
        <vt:i4>93</vt:i4>
      </vt:variant>
      <vt:variant>
        <vt:i4>0</vt:i4>
      </vt:variant>
      <vt:variant>
        <vt:i4>5</vt:i4>
      </vt:variant>
      <vt:variant>
        <vt:lpwstr>http://www.nevo.co.il/case/11291319</vt:lpwstr>
      </vt:variant>
      <vt:variant>
        <vt:lpwstr/>
      </vt:variant>
      <vt:variant>
        <vt:i4>3866740</vt:i4>
      </vt:variant>
      <vt:variant>
        <vt:i4>90</vt:i4>
      </vt:variant>
      <vt:variant>
        <vt:i4>0</vt:i4>
      </vt:variant>
      <vt:variant>
        <vt:i4>5</vt:i4>
      </vt:variant>
      <vt:variant>
        <vt:lpwstr>http://www.nevo.co.il/case/2611971</vt:lpwstr>
      </vt:variant>
      <vt:variant>
        <vt:lpwstr/>
      </vt:variant>
      <vt:variant>
        <vt:i4>3473527</vt:i4>
      </vt:variant>
      <vt:variant>
        <vt:i4>87</vt:i4>
      </vt:variant>
      <vt:variant>
        <vt:i4>0</vt:i4>
      </vt:variant>
      <vt:variant>
        <vt:i4>5</vt:i4>
      </vt:variant>
      <vt:variant>
        <vt:lpwstr>http://www.nevo.co.il/case/11245637</vt:lpwstr>
      </vt:variant>
      <vt:variant>
        <vt:lpwstr/>
      </vt:variant>
      <vt:variant>
        <vt:i4>3473525</vt:i4>
      </vt:variant>
      <vt:variant>
        <vt:i4>84</vt:i4>
      </vt:variant>
      <vt:variant>
        <vt:i4>0</vt:i4>
      </vt:variant>
      <vt:variant>
        <vt:i4>5</vt:i4>
      </vt:variant>
      <vt:variant>
        <vt:lpwstr>http://www.nevo.co.il/case/3606610</vt:lpwstr>
      </vt:variant>
      <vt:variant>
        <vt:lpwstr/>
      </vt:variant>
      <vt:variant>
        <vt:i4>3342454</vt:i4>
      </vt:variant>
      <vt:variant>
        <vt:i4>81</vt:i4>
      </vt:variant>
      <vt:variant>
        <vt:i4>0</vt:i4>
      </vt:variant>
      <vt:variant>
        <vt:i4>5</vt:i4>
      </vt:variant>
      <vt:variant>
        <vt:lpwstr>http://www.nevo.co.il/case/18793360</vt:lpwstr>
      </vt:variant>
      <vt:variant>
        <vt:lpwstr/>
      </vt:variant>
      <vt:variant>
        <vt:i4>3997808</vt:i4>
      </vt:variant>
      <vt:variant>
        <vt:i4>78</vt:i4>
      </vt:variant>
      <vt:variant>
        <vt:i4>0</vt:i4>
      </vt:variant>
      <vt:variant>
        <vt:i4>5</vt:i4>
      </vt:variant>
      <vt:variant>
        <vt:lpwstr>http://www.nevo.co.il/case/10459115</vt:lpwstr>
      </vt:variant>
      <vt:variant>
        <vt:lpwstr/>
      </vt:variant>
      <vt:variant>
        <vt:i4>3276918</vt:i4>
      </vt:variant>
      <vt:variant>
        <vt:i4>75</vt:i4>
      </vt:variant>
      <vt:variant>
        <vt:i4>0</vt:i4>
      </vt:variant>
      <vt:variant>
        <vt:i4>5</vt:i4>
      </vt:variant>
      <vt:variant>
        <vt:lpwstr>http://www.nevo.co.il/case/6043717</vt:lpwstr>
      </vt:variant>
      <vt:variant>
        <vt:lpwstr/>
      </vt:variant>
      <vt:variant>
        <vt:i4>7995492</vt:i4>
      </vt:variant>
      <vt:variant>
        <vt:i4>72</vt:i4>
      </vt:variant>
      <vt:variant>
        <vt:i4>0</vt:i4>
      </vt:variant>
      <vt:variant>
        <vt:i4>5</vt:i4>
      </vt:variant>
      <vt:variant>
        <vt:lpwstr>http://www.nevo.co.il/law/70301</vt:lpwstr>
      </vt:variant>
      <vt:variant>
        <vt:lpwstr/>
      </vt:variant>
      <vt:variant>
        <vt:i4>4915202</vt:i4>
      </vt:variant>
      <vt:variant>
        <vt:i4>69</vt:i4>
      </vt:variant>
      <vt:variant>
        <vt:i4>0</vt:i4>
      </vt:variant>
      <vt:variant>
        <vt:i4>5</vt:i4>
      </vt:variant>
      <vt:variant>
        <vt:lpwstr>http://www.nevo.co.il/law/70301/40c.a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6553637</vt:i4>
      </vt:variant>
      <vt:variant>
        <vt:i4>63</vt:i4>
      </vt:variant>
      <vt:variant>
        <vt:i4>0</vt:i4>
      </vt:variant>
      <vt:variant>
        <vt:i4>5</vt:i4>
      </vt:variant>
      <vt:variant>
        <vt:lpwstr>http://www.nevo.co.il/law/70301/40jc.b</vt:lpwstr>
      </vt:variant>
      <vt:variant>
        <vt:lpwstr/>
      </vt:variant>
      <vt:variant>
        <vt:i4>3801204</vt:i4>
      </vt:variant>
      <vt:variant>
        <vt:i4>60</vt:i4>
      </vt:variant>
      <vt:variant>
        <vt:i4>0</vt:i4>
      </vt:variant>
      <vt:variant>
        <vt:i4>5</vt:i4>
      </vt:variant>
      <vt:variant>
        <vt:lpwstr>http://www.nevo.co.il/case/7971983</vt:lpwstr>
      </vt:variant>
      <vt:variant>
        <vt:lpwstr/>
      </vt:variant>
      <vt:variant>
        <vt:i4>3670142</vt:i4>
      </vt:variant>
      <vt:variant>
        <vt:i4>57</vt:i4>
      </vt:variant>
      <vt:variant>
        <vt:i4>0</vt:i4>
      </vt:variant>
      <vt:variant>
        <vt:i4>5</vt:i4>
      </vt:variant>
      <vt:variant>
        <vt:lpwstr>http://www.nevo.co.il/case/6708658</vt:lpwstr>
      </vt:variant>
      <vt:variant>
        <vt:lpwstr/>
      </vt:variant>
      <vt:variant>
        <vt:i4>4063345</vt:i4>
      </vt:variant>
      <vt:variant>
        <vt:i4>54</vt:i4>
      </vt:variant>
      <vt:variant>
        <vt:i4>0</vt:i4>
      </vt:variant>
      <vt:variant>
        <vt:i4>5</vt:i4>
      </vt:variant>
      <vt:variant>
        <vt:lpwstr>http://www.nevo.co.il/case/18058872</vt:lpwstr>
      </vt:variant>
      <vt:variant>
        <vt:lpwstr/>
      </vt:variant>
      <vt:variant>
        <vt:i4>4128884</vt:i4>
      </vt:variant>
      <vt:variant>
        <vt:i4>51</vt:i4>
      </vt:variant>
      <vt:variant>
        <vt:i4>0</vt:i4>
      </vt:variant>
      <vt:variant>
        <vt:i4>5</vt:i4>
      </vt:variant>
      <vt:variant>
        <vt:lpwstr>http://www.nevo.co.il/case/17954235</vt:lpwstr>
      </vt:variant>
      <vt:variant>
        <vt:lpwstr/>
      </vt:variant>
      <vt:variant>
        <vt:i4>3145849</vt:i4>
      </vt:variant>
      <vt:variant>
        <vt:i4>48</vt:i4>
      </vt:variant>
      <vt:variant>
        <vt:i4>0</vt:i4>
      </vt:variant>
      <vt:variant>
        <vt:i4>5</vt:i4>
      </vt:variant>
      <vt:variant>
        <vt:lpwstr>http://www.nevo.co.il/case/13093721</vt:lpwstr>
      </vt:variant>
      <vt:variant>
        <vt:lpwstr/>
      </vt:variant>
      <vt:variant>
        <vt:i4>8257646</vt:i4>
      </vt:variant>
      <vt:variant>
        <vt:i4>45</vt:i4>
      </vt:variant>
      <vt:variant>
        <vt:i4>0</vt:i4>
      </vt:variant>
      <vt:variant>
        <vt:i4>5</vt:i4>
      </vt:variant>
      <vt:variant>
        <vt:lpwstr>http://www.nevo.co.il/law/74903</vt:lpwstr>
      </vt:variant>
      <vt:variant>
        <vt:lpwstr/>
      </vt:variant>
      <vt:variant>
        <vt:i4>6881388</vt:i4>
      </vt:variant>
      <vt:variant>
        <vt:i4>42</vt:i4>
      </vt:variant>
      <vt:variant>
        <vt:i4>0</vt:i4>
      </vt:variant>
      <vt:variant>
        <vt:i4>5</vt:i4>
      </vt:variant>
      <vt:variant>
        <vt:lpwstr>http://www.nevo.co.il/law/74903/186</vt:lpwstr>
      </vt:variant>
      <vt:variant>
        <vt:lpwstr/>
      </vt:variant>
      <vt:variant>
        <vt:i4>7995492</vt:i4>
      </vt:variant>
      <vt:variant>
        <vt:i4>39</vt:i4>
      </vt:variant>
      <vt:variant>
        <vt:i4>0</vt:i4>
      </vt:variant>
      <vt:variant>
        <vt:i4>5</vt:i4>
      </vt:variant>
      <vt:variant>
        <vt:lpwstr>http://www.nevo.co.il/law/70301</vt:lpwstr>
      </vt:variant>
      <vt:variant>
        <vt:lpwstr/>
      </vt:variant>
      <vt:variant>
        <vt:i4>393227</vt:i4>
      </vt:variant>
      <vt:variant>
        <vt:i4>36</vt:i4>
      </vt:variant>
      <vt:variant>
        <vt:i4>0</vt:i4>
      </vt:variant>
      <vt:variant>
        <vt:i4>5</vt:i4>
      </vt:variant>
      <vt:variant>
        <vt:lpwstr>http://www.nevo.co.il/law/70301/40jc</vt:lpwstr>
      </vt:variant>
      <vt:variant>
        <vt:lpwstr/>
      </vt:variant>
      <vt:variant>
        <vt:i4>3407990</vt:i4>
      </vt:variant>
      <vt:variant>
        <vt:i4>33</vt:i4>
      </vt:variant>
      <vt:variant>
        <vt:i4>0</vt:i4>
      </vt:variant>
      <vt:variant>
        <vt:i4>5</vt:i4>
      </vt:variant>
      <vt:variant>
        <vt:lpwstr>http://www.nevo.co.il/case/6427919</vt:lpwstr>
      </vt:variant>
      <vt:variant>
        <vt:lpwstr/>
      </vt:variant>
      <vt:variant>
        <vt:i4>8257637</vt:i4>
      </vt:variant>
      <vt:variant>
        <vt:i4>30</vt:i4>
      </vt:variant>
      <vt:variant>
        <vt:i4>0</vt:i4>
      </vt:variant>
      <vt:variant>
        <vt:i4>5</vt:i4>
      </vt:variant>
      <vt:variant>
        <vt:lpwstr>http://www.nevo.co.il/law/4216</vt:lpwstr>
      </vt:variant>
      <vt:variant>
        <vt:lpwstr/>
      </vt:variant>
      <vt:variant>
        <vt:i4>5177418</vt:i4>
      </vt:variant>
      <vt:variant>
        <vt:i4>27</vt:i4>
      </vt:variant>
      <vt:variant>
        <vt:i4>0</vt:i4>
      </vt:variant>
      <vt:variant>
        <vt:i4>5</vt:i4>
      </vt:variant>
      <vt:variant>
        <vt:lpwstr>http://www.nevo.co.il/law/4216/13</vt:lpwstr>
      </vt:variant>
      <vt:variant>
        <vt:lpwstr/>
      </vt:variant>
      <vt:variant>
        <vt:i4>6881388</vt:i4>
      </vt:variant>
      <vt:variant>
        <vt:i4>24</vt:i4>
      </vt:variant>
      <vt:variant>
        <vt:i4>0</vt:i4>
      </vt:variant>
      <vt:variant>
        <vt:i4>5</vt:i4>
      </vt:variant>
      <vt:variant>
        <vt:lpwstr>http://www.nevo.co.il/law/74903/186</vt:lpwstr>
      </vt:variant>
      <vt:variant>
        <vt:lpwstr/>
      </vt:variant>
      <vt:variant>
        <vt:i4>8257646</vt:i4>
      </vt:variant>
      <vt:variant>
        <vt:i4>21</vt:i4>
      </vt:variant>
      <vt:variant>
        <vt:i4>0</vt:i4>
      </vt:variant>
      <vt:variant>
        <vt:i4>5</vt:i4>
      </vt:variant>
      <vt:variant>
        <vt:lpwstr>http://www.nevo.co.il/law/74903</vt:lpwstr>
      </vt:variant>
      <vt:variant>
        <vt:lpwstr/>
      </vt:variant>
      <vt:variant>
        <vt:i4>6553637</vt:i4>
      </vt:variant>
      <vt:variant>
        <vt:i4>18</vt:i4>
      </vt:variant>
      <vt:variant>
        <vt:i4>0</vt:i4>
      </vt:variant>
      <vt:variant>
        <vt:i4>5</vt:i4>
      </vt:variant>
      <vt:variant>
        <vt:lpwstr>http://www.nevo.co.il/law/70301/40jc.b</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2025-04-22T22:30:00Z</dcterms:created>
  <dcterms:modified xsi:type="dcterms:W3CDTF">2025-04-22T22:30:00Z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28420</vt:lpwstr>
  </property>
  <property fmtid="{D5CDD505-2E9C-101B-9397-08002B2CF9AE}" pid="6" name="NEWPARTB">
    <vt:lpwstr>12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גאזי אבו סאלח</vt:lpwstr>
  </property>
  <property fmtid="{D5CDD505-2E9C-101B-9397-08002B2CF9AE}" pid="10" name="JUDGE">
    <vt:lpwstr>דנה כהן לקח</vt:lpwstr>
  </property>
  <property fmtid="{D5CDD505-2E9C-101B-9397-08002B2CF9AE}" pid="11" name="CITY">
    <vt:lpwstr>י-ם</vt:lpwstr>
  </property>
  <property fmtid="{D5CDD505-2E9C-101B-9397-08002B2CF9AE}" pid="12" name="DATE">
    <vt:lpwstr>20150719</vt:lpwstr>
  </property>
  <property fmtid="{D5CDD505-2E9C-101B-9397-08002B2CF9AE}" pid="13" name="TYPE_N_DATE">
    <vt:lpwstr>38020150719</vt:lpwstr>
  </property>
  <property fmtid="{D5CDD505-2E9C-101B-9397-08002B2CF9AE}" pid="14" name="CASESLISTTMP1">
    <vt:lpwstr>6427919:2;13093721;17954235;18058872;6708658;7971983;6043717;10459115;18793360;3606610;11245637;2611971;11291319</vt:lpwstr>
  </property>
  <property fmtid="{D5CDD505-2E9C-101B-9397-08002B2CF9AE}" pid="15" name="CASENOTES1">
    <vt:lpwstr>ProcID=174;133;209&amp;PartA=4660&amp;PartC=14</vt:lpwstr>
  </property>
  <property fmtid="{D5CDD505-2E9C-101B-9397-08002B2CF9AE}" pid="16" name="CASENOTES2">
    <vt:lpwstr>ProcID=133;209&amp;PartA=4913&amp;PartC=10</vt:lpwstr>
  </property>
  <property fmtid="{D5CDD505-2E9C-101B-9397-08002B2CF9AE}" pid="17" name="CASENOTES3">
    <vt:lpwstr>ProcID=133;209&amp;PartA=20945&amp;PartB=12&amp;PartC=12</vt:lpwstr>
  </property>
  <property fmtid="{D5CDD505-2E9C-101B-9397-08002B2CF9AE}" pid="18" name="CASENOTES4">
    <vt:lpwstr>ProcID=209&amp;PartA=34785&amp;PartB=03&amp;PartC=12</vt:lpwstr>
  </property>
  <property fmtid="{D5CDD505-2E9C-101B-9397-08002B2CF9AE}" pid="19" name="WORDNUMPAGES">
    <vt:lpwstr>8</vt:lpwstr>
  </property>
  <property fmtid="{D5CDD505-2E9C-101B-9397-08002B2CF9AE}" pid="20" name="TYPE_ABS_DATE">
    <vt:lpwstr>380020150719</vt:lpwstr>
  </property>
  <property fmtid="{D5CDD505-2E9C-101B-9397-08002B2CF9AE}" pid="21" name="ISABSTRACT">
    <vt:lpwstr>Y</vt:lpwstr>
  </property>
  <property fmtid="{D5CDD505-2E9C-101B-9397-08002B2CF9AE}" pid="22" name="LAWYER">
    <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y fmtid="{D5CDD505-2E9C-101B-9397-08002B2CF9AE}" pid="40" name="LAWLISTTMP1">
    <vt:lpwstr>4216/013</vt:lpwstr>
  </property>
  <property fmtid="{D5CDD505-2E9C-101B-9397-08002B2CF9AE}" pid="41" name="LAWLISTTMP2">
    <vt:lpwstr>70301/40jc;40jc.b;040c.a;40ja</vt:lpwstr>
  </property>
  <property fmtid="{D5CDD505-2E9C-101B-9397-08002B2CF9AE}" pid="42" name="LAWLISTTMP3">
    <vt:lpwstr>74903/186</vt:lpwstr>
  </property>
</Properties>
</file>