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669AA" w:rsidRPr="00FF3870" w14:paraId="592B4E28" w14:textId="77777777">
        <w:trPr>
          <w:trHeight w:hRule="exact" w:val="418"/>
          <w:jc w:val="center"/>
        </w:trPr>
        <w:tc>
          <w:tcPr>
            <w:tcW w:w="8721" w:type="dxa"/>
            <w:gridSpan w:val="2"/>
          </w:tcPr>
          <w:p w14:paraId="156B871E" w14:textId="77777777" w:rsidR="004669AA" w:rsidRPr="00FF3870" w:rsidRDefault="004669AA" w:rsidP="00FF3870">
            <w:pPr>
              <w:pStyle w:val="a3"/>
              <w:jc w:val="center"/>
              <w:rPr>
                <w:rFonts w:ascii="Tahoma" w:hAnsi="Tahoma" w:cs="Tahoma"/>
                <w:color w:val="000080"/>
                <w:rtl/>
              </w:rPr>
            </w:pPr>
            <w:bookmarkStart w:id="0" w:name="LastJudge"/>
            <w:r w:rsidRPr="00FF3870">
              <w:rPr>
                <w:rFonts w:ascii="Tahoma" w:hAnsi="Tahoma" w:cs="Tahoma"/>
                <w:b/>
                <w:bCs/>
                <w:color w:val="000080"/>
                <w:rtl/>
              </w:rPr>
              <w:t>בית משפט השלום בכפר סבא</w:t>
            </w:r>
          </w:p>
        </w:tc>
      </w:tr>
      <w:tr w:rsidR="004669AA" w:rsidRPr="00FF3870" w14:paraId="7B125CAC" w14:textId="77777777">
        <w:trPr>
          <w:trHeight w:val="337"/>
          <w:jc w:val="center"/>
        </w:trPr>
        <w:tc>
          <w:tcPr>
            <w:tcW w:w="5055" w:type="dxa"/>
          </w:tcPr>
          <w:p w14:paraId="6D624093" w14:textId="77777777" w:rsidR="004669AA" w:rsidRPr="00FF3870" w:rsidRDefault="004669AA" w:rsidP="00FF3870">
            <w:pPr>
              <w:rPr>
                <w:rFonts w:cs="FrankRuehl"/>
                <w:sz w:val="28"/>
                <w:szCs w:val="28"/>
                <w:rtl/>
              </w:rPr>
            </w:pPr>
            <w:r w:rsidRPr="00FF3870">
              <w:rPr>
                <w:rFonts w:cs="FrankRuehl"/>
                <w:sz w:val="28"/>
                <w:szCs w:val="28"/>
                <w:rtl/>
              </w:rPr>
              <w:t>ת"פ</w:t>
            </w:r>
            <w:r w:rsidRPr="00FF3870">
              <w:rPr>
                <w:rFonts w:cs="FrankRuehl" w:hint="cs"/>
                <w:sz w:val="28"/>
                <w:szCs w:val="28"/>
                <w:rtl/>
              </w:rPr>
              <w:t xml:space="preserve"> </w:t>
            </w:r>
            <w:r w:rsidRPr="00FF3870">
              <w:rPr>
                <w:rFonts w:cs="FrankRuehl"/>
                <w:sz w:val="28"/>
                <w:szCs w:val="28"/>
                <w:rtl/>
              </w:rPr>
              <w:t>32817-12-14</w:t>
            </w:r>
            <w:r w:rsidRPr="00FF3870">
              <w:rPr>
                <w:rFonts w:cs="FrankRuehl" w:hint="cs"/>
                <w:sz w:val="28"/>
                <w:szCs w:val="28"/>
                <w:rtl/>
              </w:rPr>
              <w:t xml:space="preserve"> </w:t>
            </w:r>
            <w:r w:rsidRPr="00FF3870">
              <w:rPr>
                <w:rFonts w:cs="FrankRuehl"/>
                <w:sz w:val="28"/>
                <w:szCs w:val="28"/>
                <w:rtl/>
              </w:rPr>
              <w:t>מדינת ישראל נ' אביטבול</w:t>
            </w:r>
          </w:p>
          <w:p w14:paraId="6D5444C1" w14:textId="77777777" w:rsidR="004669AA" w:rsidRPr="00FF3870" w:rsidRDefault="004669AA" w:rsidP="00FF3870">
            <w:pPr>
              <w:pStyle w:val="a3"/>
              <w:rPr>
                <w:rFonts w:cs="FrankRuehl"/>
                <w:sz w:val="28"/>
                <w:szCs w:val="28"/>
                <w:rtl/>
              </w:rPr>
            </w:pPr>
          </w:p>
        </w:tc>
        <w:tc>
          <w:tcPr>
            <w:tcW w:w="3666" w:type="dxa"/>
          </w:tcPr>
          <w:p w14:paraId="54DE9BF8" w14:textId="77777777" w:rsidR="004669AA" w:rsidRPr="00FF3870" w:rsidRDefault="004669AA" w:rsidP="00FF3870">
            <w:pPr>
              <w:pStyle w:val="a3"/>
              <w:jc w:val="right"/>
              <w:rPr>
                <w:rFonts w:cs="FrankRuehl"/>
                <w:sz w:val="28"/>
                <w:szCs w:val="28"/>
                <w:rtl/>
              </w:rPr>
            </w:pPr>
          </w:p>
        </w:tc>
      </w:tr>
    </w:tbl>
    <w:p w14:paraId="0A7A1BB0" w14:textId="77777777" w:rsidR="004669AA" w:rsidRPr="00FF3870" w:rsidRDefault="004669AA" w:rsidP="004669AA">
      <w:pPr>
        <w:pStyle w:val="a3"/>
        <w:rPr>
          <w:rtl/>
        </w:rPr>
      </w:pPr>
      <w:r w:rsidRPr="00FF3870">
        <w:rPr>
          <w:rFonts w:hint="cs"/>
          <w:rtl/>
        </w:rPr>
        <w:t xml:space="preserve"> </w:t>
      </w:r>
    </w:p>
    <w:p w14:paraId="0984E351" w14:textId="77777777" w:rsidR="004669AA" w:rsidRPr="00FF3870" w:rsidRDefault="004669AA" w:rsidP="004669A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669AA" w:rsidRPr="00FF3870" w14:paraId="767E8C03" w14:textId="77777777">
        <w:trPr>
          <w:trHeight w:val="295"/>
          <w:jc w:val="center"/>
        </w:trPr>
        <w:tc>
          <w:tcPr>
            <w:tcW w:w="923" w:type="dxa"/>
            <w:tcBorders>
              <w:top w:val="nil"/>
              <w:left w:val="nil"/>
              <w:bottom w:val="nil"/>
              <w:right w:val="nil"/>
            </w:tcBorders>
            <w:shd w:val="clear" w:color="auto" w:fill="auto"/>
          </w:tcPr>
          <w:p w14:paraId="4A114CA1" w14:textId="77777777" w:rsidR="004669AA" w:rsidRPr="00FF3870" w:rsidRDefault="004669AA" w:rsidP="00FF3870">
            <w:pPr>
              <w:jc w:val="both"/>
              <w:rPr>
                <w:rFonts w:ascii="Arial" w:hAnsi="Arial" w:cs="FrankRuehl"/>
                <w:sz w:val="28"/>
                <w:szCs w:val="28"/>
              </w:rPr>
            </w:pPr>
            <w:r w:rsidRPr="00FF3870">
              <w:rPr>
                <w:rFonts w:ascii="Arial" w:hAnsi="Arial" w:cs="FrankRuehl" w:hint="cs"/>
                <w:sz w:val="28"/>
                <w:szCs w:val="28"/>
                <w:rtl/>
              </w:rPr>
              <w:t>ב</w:t>
            </w:r>
            <w:r w:rsidRPr="00FF387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4B58ACB" w14:textId="77777777" w:rsidR="004669AA" w:rsidRPr="00FF3870" w:rsidRDefault="004669AA" w:rsidP="00FF3870">
            <w:pPr>
              <w:rPr>
                <w:rFonts w:ascii="Arial" w:hAnsi="Arial"/>
                <w:b/>
                <w:bCs/>
                <w:rtl/>
              </w:rPr>
            </w:pPr>
            <w:r w:rsidRPr="00FF3870">
              <w:rPr>
                <w:rFonts w:ascii="Arial" w:hAnsi="Arial" w:hint="cs"/>
                <w:b/>
                <w:bCs/>
                <w:rtl/>
              </w:rPr>
              <w:t>כבוד ה</w:t>
            </w:r>
            <w:r w:rsidRPr="00FF3870">
              <w:rPr>
                <w:rFonts w:hint="cs"/>
                <w:rtl/>
              </w:rPr>
              <w:t>שופטת</w:t>
            </w:r>
            <w:r w:rsidRPr="00FF3870">
              <w:rPr>
                <w:rFonts w:ascii="Arial" w:hAnsi="Arial" w:hint="cs"/>
                <w:b/>
                <w:bCs/>
                <w:rtl/>
              </w:rPr>
              <w:t xml:space="preserve">  </w:t>
            </w:r>
            <w:r w:rsidRPr="00FF3870">
              <w:rPr>
                <w:rFonts w:hint="cs"/>
                <w:rtl/>
              </w:rPr>
              <w:t>מרב גרינברג</w:t>
            </w:r>
          </w:p>
          <w:p w14:paraId="139A3A1B" w14:textId="77777777" w:rsidR="004669AA" w:rsidRPr="00FF3870" w:rsidRDefault="004669AA" w:rsidP="00FF3870">
            <w:pPr>
              <w:rPr>
                <w:rtl/>
              </w:rPr>
            </w:pPr>
          </w:p>
          <w:p w14:paraId="1EB3E5AB" w14:textId="77777777" w:rsidR="004669AA" w:rsidRPr="00FF3870" w:rsidRDefault="004669AA" w:rsidP="00FF3870">
            <w:pPr>
              <w:jc w:val="both"/>
              <w:rPr>
                <w:rFonts w:ascii="Arial" w:hAnsi="Arial" w:cs="FrankRuehl"/>
                <w:sz w:val="28"/>
                <w:szCs w:val="28"/>
              </w:rPr>
            </w:pPr>
          </w:p>
        </w:tc>
      </w:tr>
      <w:tr w:rsidR="004669AA" w:rsidRPr="00FF3870" w14:paraId="7B14B1E6" w14:textId="77777777">
        <w:trPr>
          <w:trHeight w:val="355"/>
          <w:jc w:val="center"/>
        </w:trPr>
        <w:tc>
          <w:tcPr>
            <w:tcW w:w="923" w:type="dxa"/>
            <w:tcBorders>
              <w:top w:val="nil"/>
              <w:left w:val="nil"/>
              <w:bottom w:val="nil"/>
              <w:right w:val="nil"/>
            </w:tcBorders>
            <w:shd w:val="clear" w:color="auto" w:fill="auto"/>
          </w:tcPr>
          <w:p w14:paraId="6FCE4673" w14:textId="77777777" w:rsidR="004669AA" w:rsidRPr="00FF3870" w:rsidRDefault="004669AA" w:rsidP="00FF3870">
            <w:pPr>
              <w:jc w:val="both"/>
              <w:rPr>
                <w:rFonts w:ascii="Arial" w:hAnsi="Arial" w:cs="FrankRuehl"/>
                <w:sz w:val="28"/>
                <w:szCs w:val="28"/>
              </w:rPr>
            </w:pPr>
            <w:bookmarkStart w:id="1" w:name="FirstAppellant"/>
            <w:r w:rsidRPr="00FF387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7719141" w14:textId="77777777" w:rsidR="004669AA" w:rsidRPr="00FF3870" w:rsidRDefault="004669AA" w:rsidP="00FF3870">
            <w:r w:rsidRPr="00FF3870">
              <w:rPr>
                <w:rFonts w:hint="cs"/>
                <w:rtl/>
              </w:rPr>
              <w:t>מדינת ישראל</w:t>
            </w:r>
          </w:p>
        </w:tc>
        <w:tc>
          <w:tcPr>
            <w:tcW w:w="3771" w:type="dxa"/>
            <w:tcBorders>
              <w:top w:val="nil"/>
              <w:left w:val="nil"/>
              <w:bottom w:val="nil"/>
              <w:right w:val="nil"/>
            </w:tcBorders>
            <w:shd w:val="clear" w:color="auto" w:fill="auto"/>
          </w:tcPr>
          <w:p w14:paraId="3ADE3E9C" w14:textId="77777777" w:rsidR="004669AA" w:rsidRPr="00FF3870" w:rsidRDefault="004669AA" w:rsidP="00FF3870">
            <w:pPr>
              <w:jc w:val="both"/>
              <w:rPr>
                <w:rFonts w:ascii="Arial" w:hAnsi="Arial" w:cs="FrankRuehl"/>
                <w:sz w:val="28"/>
                <w:szCs w:val="28"/>
              </w:rPr>
            </w:pPr>
          </w:p>
        </w:tc>
      </w:tr>
      <w:bookmarkEnd w:id="1"/>
      <w:tr w:rsidR="004669AA" w:rsidRPr="00FF3870" w14:paraId="715C8BBB" w14:textId="77777777">
        <w:trPr>
          <w:trHeight w:val="355"/>
          <w:jc w:val="center"/>
        </w:trPr>
        <w:tc>
          <w:tcPr>
            <w:tcW w:w="923" w:type="dxa"/>
            <w:tcBorders>
              <w:top w:val="nil"/>
              <w:left w:val="nil"/>
              <w:bottom w:val="nil"/>
              <w:right w:val="nil"/>
            </w:tcBorders>
            <w:shd w:val="clear" w:color="auto" w:fill="auto"/>
          </w:tcPr>
          <w:p w14:paraId="63F9AC7A" w14:textId="77777777" w:rsidR="004669AA" w:rsidRPr="00FF3870" w:rsidRDefault="004669AA" w:rsidP="00FF387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C5AC21F" w14:textId="77777777" w:rsidR="004669AA" w:rsidRPr="00FF3870" w:rsidRDefault="004669AA" w:rsidP="00FF3870">
            <w:pPr>
              <w:jc w:val="both"/>
              <w:rPr>
                <w:rtl/>
              </w:rPr>
            </w:pPr>
          </w:p>
        </w:tc>
        <w:tc>
          <w:tcPr>
            <w:tcW w:w="3771" w:type="dxa"/>
            <w:tcBorders>
              <w:top w:val="nil"/>
              <w:left w:val="nil"/>
              <w:bottom w:val="nil"/>
              <w:right w:val="nil"/>
            </w:tcBorders>
            <w:shd w:val="clear" w:color="auto" w:fill="auto"/>
          </w:tcPr>
          <w:p w14:paraId="40D61E7E" w14:textId="77777777" w:rsidR="004669AA" w:rsidRPr="00FF3870" w:rsidRDefault="004669AA" w:rsidP="00FF3870">
            <w:pPr>
              <w:jc w:val="right"/>
              <w:rPr>
                <w:rFonts w:ascii="Arial" w:hAnsi="Arial" w:cs="FrankRuehl"/>
                <w:sz w:val="28"/>
                <w:szCs w:val="28"/>
                <w:rtl/>
              </w:rPr>
            </w:pPr>
            <w:r w:rsidRPr="00FF3870">
              <w:rPr>
                <w:rFonts w:ascii="Arial" w:hAnsi="Arial" w:cs="FrankRuehl" w:hint="cs"/>
                <w:sz w:val="28"/>
                <w:szCs w:val="28"/>
                <w:rtl/>
              </w:rPr>
              <w:t>ה</w:t>
            </w:r>
            <w:r w:rsidRPr="00FF3870">
              <w:rPr>
                <w:rFonts w:hint="cs"/>
                <w:rtl/>
              </w:rPr>
              <w:t>מאשימה</w:t>
            </w:r>
          </w:p>
        </w:tc>
      </w:tr>
      <w:tr w:rsidR="004669AA" w:rsidRPr="00FF3870" w14:paraId="7E772F13" w14:textId="77777777">
        <w:trPr>
          <w:trHeight w:val="355"/>
          <w:jc w:val="center"/>
        </w:trPr>
        <w:tc>
          <w:tcPr>
            <w:tcW w:w="923" w:type="dxa"/>
            <w:tcBorders>
              <w:top w:val="nil"/>
              <w:left w:val="nil"/>
              <w:bottom w:val="nil"/>
              <w:right w:val="nil"/>
            </w:tcBorders>
            <w:shd w:val="clear" w:color="auto" w:fill="auto"/>
          </w:tcPr>
          <w:p w14:paraId="06697B79" w14:textId="77777777" w:rsidR="004669AA" w:rsidRPr="00FF3870" w:rsidRDefault="004669AA" w:rsidP="00FF387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7B29239" w14:textId="77777777" w:rsidR="004669AA" w:rsidRPr="00FF3870" w:rsidRDefault="004669AA" w:rsidP="00FF3870">
            <w:pPr>
              <w:jc w:val="center"/>
              <w:rPr>
                <w:rFonts w:ascii="Arial" w:hAnsi="Arial" w:cs="FrankRuehl"/>
                <w:b/>
                <w:bCs/>
                <w:sz w:val="28"/>
                <w:szCs w:val="28"/>
                <w:rtl/>
              </w:rPr>
            </w:pPr>
          </w:p>
          <w:p w14:paraId="38A05033" w14:textId="77777777" w:rsidR="004669AA" w:rsidRPr="00FF3870" w:rsidRDefault="004669AA" w:rsidP="00FF3870">
            <w:pPr>
              <w:jc w:val="center"/>
              <w:rPr>
                <w:rFonts w:ascii="Arial" w:hAnsi="Arial" w:cs="FrankRuehl"/>
                <w:b/>
                <w:bCs/>
                <w:sz w:val="28"/>
                <w:szCs w:val="28"/>
                <w:rtl/>
              </w:rPr>
            </w:pPr>
            <w:r w:rsidRPr="00FF3870">
              <w:rPr>
                <w:rFonts w:ascii="Arial" w:hAnsi="Arial" w:cs="FrankRuehl"/>
                <w:b/>
                <w:bCs/>
                <w:sz w:val="28"/>
                <w:szCs w:val="28"/>
                <w:rtl/>
              </w:rPr>
              <w:t>נגד</w:t>
            </w:r>
          </w:p>
          <w:p w14:paraId="793196E8" w14:textId="77777777" w:rsidR="004669AA" w:rsidRPr="00FF3870" w:rsidRDefault="004669AA" w:rsidP="00FF3870">
            <w:pPr>
              <w:jc w:val="both"/>
              <w:rPr>
                <w:rFonts w:ascii="Arial" w:hAnsi="Arial" w:cs="FrankRuehl"/>
                <w:sz w:val="28"/>
                <w:szCs w:val="28"/>
              </w:rPr>
            </w:pPr>
          </w:p>
        </w:tc>
      </w:tr>
      <w:tr w:rsidR="004669AA" w:rsidRPr="00FF3870" w14:paraId="427DFF41" w14:textId="77777777">
        <w:trPr>
          <w:trHeight w:val="355"/>
          <w:jc w:val="center"/>
        </w:trPr>
        <w:tc>
          <w:tcPr>
            <w:tcW w:w="923" w:type="dxa"/>
            <w:tcBorders>
              <w:top w:val="nil"/>
              <w:left w:val="nil"/>
              <w:bottom w:val="nil"/>
              <w:right w:val="nil"/>
            </w:tcBorders>
            <w:shd w:val="clear" w:color="auto" w:fill="auto"/>
          </w:tcPr>
          <w:p w14:paraId="3D55E237" w14:textId="77777777" w:rsidR="004669AA" w:rsidRPr="00FF3870" w:rsidRDefault="004669AA" w:rsidP="00FF3870">
            <w:pPr>
              <w:rPr>
                <w:rFonts w:ascii="Arial" w:hAnsi="Arial" w:cs="FrankRuehl"/>
                <w:sz w:val="28"/>
                <w:szCs w:val="28"/>
                <w:rtl/>
              </w:rPr>
            </w:pPr>
          </w:p>
        </w:tc>
        <w:tc>
          <w:tcPr>
            <w:tcW w:w="4126" w:type="dxa"/>
            <w:tcBorders>
              <w:top w:val="nil"/>
              <w:left w:val="nil"/>
              <w:bottom w:val="nil"/>
              <w:right w:val="nil"/>
            </w:tcBorders>
            <w:shd w:val="clear" w:color="auto" w:fill="auto"/>
          </w:tcPr>
          <w:p w14:paraId="22D42AA1" w14:textId="77777777" w:rsidR="004669AA" w:rsidRPr="00FF3870" w:rsidRDefault="004669AA" w:rsidP="00FF3870">
            <w:pPr>
              <w:rPr>
                <w:rtl/>
              </w:rPr>
            </w:pPr>
            <w:r w:rsidRPr="00FF3870">
              <w:rPr>
                <w:rFonts w:hint="cs"/>
                <w:rtl/>
              </w:rPr>
              <w:t>עופר אביטבול</w:t>
            </w:r>
          </w:p>
        </w:tc>
        <w:tc>
          <w:tcPr>
            <w:tcW w:w="3771" w:type="dxa"/>
            <w:tcBorders>
              <w:top w:val="nil"/>
              <w:left w:val="nil"/>
              <w:bottom w:val="nil"/>
              <w:right w:val="nil"/>
            </w:tcBorders>
            <w:shd w:val="clear" w:color="auto" w:fill="auto"/>
          </w:tcPr>
          <w:p w14:paraId="40742360" w14:textId="77777777" w:rsidR="004669AA" w:rsidRPr="00FF3870" w:rsidRDefault="004669AA" w:rsidP="00FF3870">
            <w:pPr>
              <w:jc w:val="right"/>
              <w:rPr>
                <w:rFonts w:ascii="Arial" w:hAnsi="Arial" w:cs="FrankRuehl"/>
                <w:sz w:val="28"/>
                <w:szCs w:val="28"/>
              </w:rPr>
            </w:pPr>
          </w:p>
        </w:tc>
      </w:tr>
      <w:tr w:rsidR="004669AA" w:rsidRPr="00FF3870" w14:paraId="0D5B56CD" w14:textId="77777777">
        <w:trPr>
          <w:trHeight w:val="355"/>
          <w:jc w:val="center"/>
        </w:trPr>
        <w:tc>
          <w:tcPr>
            <w:tcW w:w="923" w:type="dxa"/>
            <w:tcBorders>
              <w:top w:val="nil"/>
              <w:left w:val="nil"/>
              <w:bottom w:val="nil"/>
              <w:right w:val="nil"/>
            </w:tcBorders>
            <w:shd w:val="clear" w:color="auto" w:fill="auto"/>
          </w:tcPr>
          <w:p w14:paraId="76B6313C" w14:textId="77777777" w:rsidR="004669AA" w:rsidRPr="00FF3870" w:rsidRDefault="004669AA" w:rsidP="00FF387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68BB5B8" w14:textId="77777777" w:rsidR="004669AA" w:rsidRPr="00FF3870" w:rsidRDefault="004669AA" w:rsidP="00FF3870">
            <w:pPr>
              <w:jc w:val="both"/>
              <w:rPr>
                <w:rtl/>
              </w:rPr>
            </w:pPr>
          </w:p>
        </w:tc>
        <w:tc>
          <w:tcPr>
            <w:tcW w:w="3771" w:type="dxa"/>
            <w:tcBorders>
              <w:top w:val="nil"/>
              <w:left w:val="nil"/>
              <w:bottom w:val="nil"/>
              <w:right w:val="nil"/>
            </w:tcBorders>
            <w:shd w:val="clear" w:color="auto" w:fill="auto"/>
          </w:tcPr>
          <w:p w14:paraId="78C73579" w14:textId="77777777" w:rsidR="004669AA" w:rsidRPr="00FF3870" w:rsidRDefault="004669AA" w:rsidP="00FF3870">
            <w:pPr>
              <w:jc w:val="right"/>
              <w:rPr>
                <w:rFonts w:ascii="Arial" w:hAnsi="Arial" w:cs="FrankRuehl"/>
                <w:sz w:val="28"/>
                <w:szCs w:val="28"/>
              </w:rPr>
            </w:pPr>
            <w:r w:rsidRPr="00FF3870">
              <w:rPr>
                <w:rFonts w:ascii="Arial" w:hAnsi="Arial" w:cs="FrankRuehl" w:hint="cs"/>
                <w:sz w:val="28"/>
                <w:szCs w:val="28"/>
                <w:rtl/>
              </w:rPr>
              <w:t>ה</w:t>
            </w:r>
            <w:r w:rsidRPr="00FF3870">
              <w:rPr>
                <w:rFonts w:hint="cs"/>
                <w:rtl/>
              </w:rPr>
              <w:t>נאשם</w:t>
            </w:r>
          </w:p>
        </w:tc>
      </w:tr>
    </w:tbl>
    <w:p w14:paraId="041DA30F" w14:textId="77777777" w:rsidR="00CE6616" w:rsidRDefault="00CE6616" w:rsidP="004669AA">
      <w:pPr>
        <w:rPr>
          <w:rtl/>
        </w:rPr>
      </w:pPr>
      <w:bookmarkStart w:id="2" w:name="LawTable"/>
      <w:bookmarkEnd w:id="2"/>
    </w:p>
    <w:p w14:paraId="00052CDA" w14:textId="77777777" w:rsidR="00CE6616" w:rsidRPr="00CE6616" w:rsidRDefault="00CE6616" w:rsidP="00CE6616">
      <w:pPr>
        <w:spacing w:after="120" w:line="240" w:lineRule="exact"/>
        <w:ind w:left="283" w:hanging="283"/>
        <w:jc w:val="both"/>
        <w:rPr>
          <w:rFonts w:ascii="FrankRuehl" w:hAnsi="FrankRuehl" w:cs="FrankRuehl"/>
          <w:rtl/>
        </w:rPr>
      </w:pPr>
    </w:p>
    <w:p w14:paraId="619655B9" w14:textId="77777777" w:rsidR="00CE6616" w:rsidRPr="00CE6616" w:rsidRDefault="00CE6616" w:rsidP="00CE6616">
      <w:pPr>
        <w:spacing w:after="120" w:line="240" w:lineRule="exact"/>
        <w:ind w:left="283" w:hanging="283"/>
        <w:jc w:val="both"/>
        <w:rPr>
          <w:rFonts w:ascii="FrankRuehl" w:hAnsi="FrankRuehl" w:cs="FrankRuehl"/>
          <w:rtl/>
        </w:rPr>
      </w:pPr>
      <w:r w:rsidRPr="00CE6616">
        <w:rPr>
          <w:rFonts w:ascii="FrankRuehl" w:hAnsi="FrankRuehl" w:cs="FrankRuehl"/>
          <w:rtl/>
        </w:rPr>
        <w:t xml:space="preserve">חקיקה שאוזכרה: </w:t>
      </w:r>
    </w:p>
    <w:p w14:paraId="5F6392B1" w14:textId="77777777" w:rsidR="00CE6616" w:rsidRPr="00CE6616" w:rsidRDefault="00CE6616" w:rsidP="00CE6616">
      <w:pPr>
        <w:spacing w:after="120" w:line="240" w:lineRule="exact"/>
        <w:ind w:left="283" w:hanging="283"/>
        <w:jc w:val="both"/>
        <w:rPr>
          <w:rFonts w:ascii="FrankRuehl" w:hAnsi="FrankRuehl" w:cs="FrankRuehl"/>
          <w:rtl/>
        </w:rPr>
      </w:pPr>
      <w:hyperlink r:id="rId7" w:history="1">
        <w:r w:rsidRPr="00CE6616">
          <w:rPr>
            <w:rFonts w:ascii="FrankRuehl" w:hAnsi="FrankRuehl" w:cs="FrankRuehl"/>
            <w:color w:val="0000FF"/>
            <w:u w:val="single"/>
            <w:rtl/>
          </w:rPr>
          <w:t>פקודת הסמים המסוכנים [נוסח חדש], תשל"ג-1973</w:t>
        </w:r>
      </w:hyperlink>
      <w:r w:rsidRPr="00CE6616">
        <w:rPr>
          <w:rFonts w:ascii="FrankRuehl" w:hAnsi="FrankRuehl" w:cs="FrankRuehl"/>
          <w:rtl/>
        </w:rPr>
        <w:t xml:space="preserve">: סע'  </w:t>
      </w:r>
      <w:hyperlink r:id="rId8" w:history="1">
        <w:r w:rsidRPr="00CE6616">
          <w:rPr>
            <w:rFonts w:ascii="FrankRuehl" w:hAnsi="FrankRuehl" w:cs="FrankRuehl"/>
            <w:color w:val="0000FF"/>
            <w:u w:val="single"/>
            <w:rtl/>
          </w:rPr>
          <w:t>6</w:t>
        </w:r>
      </w:hyperlink>
      <w:r w:rsidRPr="00CE6616">
        <w:rPr>
          <w:rFonts w:ascii="FrankRuehl" w:hAnsi="FrankRuehl" w:cs="FrankRuehl"/>
          <w:rtl/>
        </w:rPr>
        <w:t xml:space="preserve">, </w:t>
      </w:r>
      <w:hyperlink r:id="rId9" w:history="1">
        <w:r w:rsidRPr="00CE6616">
          <w:rPr>
            <w:rFonts w:ascii="FrankRuehl" w:hAnsi="FrankRuehl" w:cs="FrankRuehl"/>
            <w:color w:val="0000FF"/>
            <w:u w:val="single"/>
            <w:rtl/>
          </w:rPr>
          <w:tab/>
          <w:t>10</w:t>
        </w:r>
      </w:hyperlink>
    </w:p>
    <w:p w14:paraId="09FF7B01" w14:textId="77777777" w:rsidR="00CE6616" w:rsidRPr="00CE6616" w:rsidRDefault="00CE6616" w:rsidP="00CE6616">
      <w:pPr>
        <w:spacing w:after="120" w:line="240" w:lineRule="exact"/>
        <w:ind w:left="283" w:hanging="283"/>
        <w:jc w:val="both"/>
        <w:rPr>
          <w:rFonts w:ascii="FrankRuehl" w:hAnsi="FrankRuehl" w:cs="FrankRuehl"/>
          <w:rtl/>
        </w:rPr>
      </w:pPr>
      <w:hyperlink r:id="rId10" w:history="1">
        <w:r w:rsidRPr="00CE6616">
          <w:rPr>
            <w:rFonts w:ascii="FrankRuehl" w:hAnsi="FrankRuehl" w:cs="FrankRuehl"/>
            <w:color w:val="0000FF"/>
            <w:u w:val="single"/>
            <w:rtl/>
          </w:rPr>
          <w:t>חוק העונשין, תשל"ז-1977</w:t>
        </w:r>
      </w:hyperlink>
      <w:r w:rsidRPr="00CE6616">
        <w:rPr>
          <w:rFonts w:ascii="FrankRuehl" w:hAnsi="FrankRuehl" w:cs="FrankRuehl"/>
          <w:rtl/>
        </w:rPr>
        <w:t xml:space="preserve">: סע'  </w:t>
      </w:r>
      <w:hyperlink r:id="rId11" w:history="1">
        <w:r w:rsidRPr="00CE6616">
          <w:rPr>
            <w:rFonts w:ascii="FrankRuehl" w:hAnsi="FrankRuehl" w:cs="FrankRuehl"/>
            <w:color w:val="0000FF"/>
            <w:u w:val="single"/>
            <w:rtl/>
          </w:rPr>
          <w:t>40ג(א)</w:t>
        </w:r>
      </w:hyperlink>
      <w:r w:rsidRPr="00CE6616">
        <w:rPr>
          <w:rFonts w:ascii="FrankRuehl" w:hAnsi="FrankRuehl" w:cs="FrankRuehl"/>
          <w:rtl/>
        </w:rPr>
        <w:t xml:space="preserve">, </w:t>
      </w:r>
      <w:hyperlink r:id="rId12" w:history="1">
        <w:r w:rsidRPr="00CE6616">
          <w:rPr>
            <w:rFonts w:ascii="FrankRuehl" w:hAnsi="FrankRuehl" w:cs="FrankRuehl"/>
            <w:color w:val="0000FF"/>
            <w:u w:val="single"/>
            <w:rtl/>
          </w:rPr>
          <w:t>40י'</w:t>
        </w:r>
      </w:hyperlink>
      <w:r w:rsidRPr="00CE6616">
        <w:rPr>
          <w:rFonts w:ascii="FrankRuehl" w:hAnsi="FrankRuehl" w:cs="FrankRuehl"/>
          <w:rtl/>
        </w:rPr>
        <w:t xml:space="preserve">, </w:t>
      </w:r>
      <w:hyperlink r:id="rId13" w:history="1">
        <w:r w:rsidRPr="00CE6616">
          <w:rPr>
            <w:rFonts w:ascii="FrankRuehl" w:hAnsi="FrankRuehl" w:cs="FrankRuehl"/>
            <w:color w:val="0000FF"/>
            <w:u w:val="single"/>
            <w:rtl/>
          </w:rPr>
          <w:t>40י (ג)</w:t>
        </w:r>
      </w:hyperlink>
      <w:r w:rsidRPr="00CE6616">
        <w:rPr>
          <w:rFonts w:ascii="FrankRuehl" w:hAnsi="FrankRuehl" w:cs="FrankRuehl"/>
          <w:rtl/>
        </w:rPr>
        <w:t xml:space="preserve">, </w:t>
      </w:r>
      <w:hyperlink r:id="rId14" w:history="1">
        <w:r w:rsidRPr="00CE6616">
          <w:rPr>
            <w:rFonts w:ascii="FrankRuehl" w:hAnsi="FrankRuehl" w:cs="FrankRuehl"/>
            <w:color w:val="0000FF"/>
            <w:u w:val="single"/>
            <w:rtl/>
          </w:rPr>
          <w:t>40יא</w:t>
        </w:r>
      </w:hyperlink>
    </w:p>
    <w:p w14:paraId="291E7BA7" w14:textId="77777777" w:rsidR="00CE6616" w:rsidRPr="00CE6616" w:rsidRDefault="00CE6616" w:rsidP="00CE661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69AA" w14:paraId="176BBC1E" w14:textId="77777777">
        <w:trPr>
          <w:trHeight w:val="355"/>
          <w:jc w:val="center"/>
        </w:trPr>
        <w:tc>
          <w:tcPr>
            <w:tcW w:w="8820" w:type="dxa"/>
            <w:tcBorders>
              <w:top w:val="nil"/>
              <w:left w:val="nil"/>
              <w:bottom w:val="nil"/>
              <w:right w:val="nil"/>
            </w:tcBorders>
            <w:shd w:val="clear" w:color="auto" w:fill="auto"/>
          </w:tcPr>
          <w:p w14:paraId="117A888B" w14:textId="77777777" w:rsidR="00FF3870" w:rsidRPr="00FF3870" w:rsidRDefault="00FF3870" w:rsidP="00FF3870">
            <w:pPr>
              <w:jc w:val="center"/>
              <w:rPr>
                <w:rFonts w:ascii="Arial" w:hAnsi="Arial" w:cs="FrankRuehl"/>
                <w:b/>
                <w:bCs/>
                <w:sz w:val="32"/>
                <w:szCs w:val="32"/>
                <w:u w:val="single"/>
                <w:rtl/>
              </w:rPr>
            </w:pPr>
            <w:bookmarkStart w:id="3" w:name="LawTable_End"/>
            <w:bookmarkStart w:id="4" w:name="PsakDin" w:colFirst="0" w:colLast="0"/>
            <w:bookmarkEnd w:id="0"/>
            <w:bookmarkEnd w:id="3"/>
            <w:r w:rsidRPr="00FF3870">
              <w:rPr>
                <w:rFonts w:ascii="Arial" w:hAnsi="Arial" w:cs="FrankRuehl"/>
                <w:b/>
                <w:bCs/>
                <w:sz w:val="32"/>
                <w:szCs w:val="32"/>
                <w:u w:val="single"/>
                <w:rtl/>
              </w:rPr>
              <w:t>גזר דין</w:t>
            </w:r>
          </w:p>
          <w:p w14:paraId="24D4EBED" w14:textId="77777777" w:rsidR="004669AA" w:rsidRPr="00FF3870" w:rsidRDefault="004669AA" w:rsidP="00FF3870">
            <w:pPr>
              <w:jc w:val="center"/>
              <w:rPr>
                <w:rFonts w:ascii="Arial" w:hAnsi="Arial" w:cs="FrankRuehl"/>
                <w:bCs/>
                <w:sz w:val="32"/>
                <w:szCs w:val="32"/>
                <w:u w:val="single"/>
                <w:rtl/>
              </w:rPr>
            </w:pPr>
          </w:p>
        </w:tc>
      </w:tr>
      <w:bookmarkEnd w:id="4"/>
    </w:tbl>
    <w:p w14:paraId="1B1C7649" w14:textId="77777777" w:rsidR="004669AA" w:rsidRPr="00B05847" w:rsidRDefault="004669AA" w:rsidP="004669AA">
      <w:pPr>
        <w:rPr>
          <w:rFonts w:ascii="Arial" w:hAnsi="Arial"/>
          <w:rtl/>
        </w:rPr>
      </w:pPr>
    </w:p>
    <w:p w14:paraId="2DF28884" w14:textId="77777777" w:rsidR="004669AA" w:rsidRPr="00B4402E" w:rsidRDefault="004669AA" w:rsidP="004669AA">
      <w:pPr>
        <w:spacing w:line="360" w:lineRule="auto"/>
        <w:rPr>
          <w:rFonts w:ascii="Calibri" w:hAnsi="Calibri"/>
          <w:b/>
          <w:bCs/>
          <w:u w:val="single"/>
          <w:rtl/>
        </w:rPr>
      </w:pPr>
      <w:r w:rsidRPr="00B4402E">
        <w:rPr>
          <w:rFonts w:ascii="Calibri" w:hAnsi="Calibri" w:hint="cs"/>
          <w:b/>
          <w:bCs/>
          <w:u w:val="single"/>
          <w:rtl/>
        </w:rPr>
        <w:t>רקע כללי</w:t>
      </w:r>
    </w:p>
    <w:p w14:paraId="4C6BFA0F" w14:textId="77777777" w:rsidR="004669AA" w:rsidRPr="00B4402E" w:rsidRDefault="004669AA" w:rsidP="004669AA">
      <w:pPr>
        <w:spacing w:line="360" w:lineRule="auto"/>
        <w:ind w:left="720"/>
        <w:contextualSpacing/>
        <w:rPr>
          <w:rFonts w:ascii="Arial" w:hAnsi="Arial"/>
          <w:b/>
          <w:bCs/>
          <w:u w:val="single"/>
        </w:rPr>
      </w:pPr>
    </w:p>
    <w:p w14:paraId="6564DD93" w14:textId="77777777" w:rsidR="004669AA" w:rsidRPr="00B4402E" w:rsidRDefault="004669AA" w:rsidP="004669AA">
      <w:pPr>
        <w:numPr>
          <w:ilvl w:val="0"/>
          <w:numId w:val="1"/>
        </w:numPr>
        <w:spacing w:after="160" w:line="360" w:lineRule="auto"/>
        <w:ind w:left="360"/>
        <w:contextualSpacing/>
        <w:jc w:val="both"/>
        <w:rPr>
          <w:rFonts w:ascii="Calibri" w:hAnsi="Calibri"/>
        </w:rPr>
      </w:pPr>
      <w:r>
        <w:rPr>
          <w:rFonts w:ascii="Calibri" w:hAnsi="Calibri"/>
          <w:rtl/>
        </w:rPr>
        <w:tab/>
      </w:r>
      <w:bookmarkStart w:id="5" w:name="ABSTRACT_START"/>
      <w:bookmarkEnd w:id="5"/>
      <w:r w:rsidRPr="00B4402E">
        <w:rPr>
          <w:rFonts w:ascii="Calibri" w:hAnsi="Calibri" w:hint="cs"/>
          <w:rtl/>
        </w:rPr>
        <w:t xml:space="preserve">הנאשם הורשע על יסוד הודאתו בעובדות כתב אישום מתוקן, המייחס לו עבירות של </w:t>
      </w:r>
      <w:r w:rsidRPr="00B4402E">
        <w:rPr>
          <w:rFonts w:ascii="Calibri" w:hAnsi="Calibri" w:hint="cs"/>
          <w:b/>
          <w:bCs/>
          <w:rtl/>
        </w:rPr>
        <w:t xml:space="preserve">גידול </w:t>
      </w:r>
      <w:r>
        <w:rPr>
          <w:rFonts w:ascii="Calibri" w:hAnsi="Calibri"/>
          <w:b/>
          <w:bCs/>
          <w:rtl/>
        </w:rPr>
        <w:tab/>
      </w:r>
      <w:r w:rsidRPr="00B4402E">
        <w:rPr>
          <w:rFonts w:ascii="Calibri" w:hAnsi="Calibri" w:hint="cs"/>
          <w:b/>
          <w:bCs/>
          <w:rtl/>
        </w:rPr>
        <w:t>יצור והכנת סמים מסוכנים</w:t>
      </w:r>
      <w:r w:rsidRPr="00B4402E">
        <w:rPr>
          <w:rFonts w:ascii="Calibri" w:hAnsi="Calibri" w:hint="cs"/>
          <w:rtl/>
        </w:rPr>
        <w:t xml:space="preserve"> - לפי </w:t>
      </w:r>
      <w:hyperlink r:id="rId15" w:history="1">
        <w:r w:rsidR="00CE6616" w:rsidRPr="00CE6616">
          <w:rPr>
            <w:rFonts w:ascii="Calibri" w:hAnsi="Calibri" w:hint="eastAsia"/>
            <w:color w:val="0000FF"/>
            <w:u w:val="single"/>
            <w:rtl/>
          </w:rPr>
          <w:t>סעיף</w:t>
        </w:r>
        <w:r w:rsidR="00CE6616" w:rsidRPr="00CE6616">
          <w:rPr>
            <w:rFonts w:ascii="Calibri" w:hAnsi="Calibri"/>
            <w:color w:val="0000FF"/>
            <w:u w:val="single"/>
            <w:rtl/>
          </w:rPr>
          <w:t xml:space="preserve"> 6</w:t>
        </w:r>
      </w:hyperlink>
      <w:r w:rsidRPr="00B4402E">
        <w:rPr>
          <w:rFonts w:ascii="Calibri" w:hAnsi="Calibri" w:hint="cs"/>
          <w:u w:val="single"/>
          <w:rtl/>
        </w:rPr>
        <w:t xml:space="preserve"> ל</w:t>
      </w:r>
      <w:hyperlink r:id="rId16" w:history="1">
        <w:r w:rsidR="00FF3870" w:rsidRPr="00FF3870">
          <w:rPr>
            <w:rFonts w:ascii="Calibri" w:hAnsi="Calibri" w:hint="eastAsia"/>
            <w:color w:val="0000FF"/>
            <w:u w:val="single"/>
            <w:rtl/>
          </w:rPr>
          <w:t>פקודת</w:t>
        </w:r>
        <w:r w:rsidR="00FF3870" w:rsidRPr="00FF3870">
          <w:rPr>
            <w:rFonts w:ascii="Calibri" w:hAnsi="Calibri"/>
            <w:color w:val="0000FF"/>
            <w:u w:val="single"/>
            <w:rtl/>
          </w:rPr>
          <w:t xml:space="preserve"> </w:t>
        </w:r>
        <w:r w:rsidR="00FF3870" w:rsidRPr="00FF3870">
          <w:rPr>
            <w:rFonts w:ascii="Calibri" w:hAnsi="Calibri" w:hint="eastAsia"/>
            <w:color w:val="0000FF"/>
            <w:u w:val="single"/>
            <w:rtl/>
          </w:rPr>
          <w:t>הסמים</w:t>
        </w:r>
        <w:r w:rsidR="00FF3870" w:rsidRPr="00FF3870">
          <w:rPr>
            <w:rFonts w:ascii="Calibri" w:hAnsi="Calibri"/>
            <w:color w:val="0000FF"/>
            <w:u w:val="single"/>
            <w:rtl/>
          </w:rPr>
          <w:t xml:space="preserve"> </w:t>
        </w:r>
        <w:r w:rsidR="00FF3870" w:rsidRPr="00FF3870">
          <w:rPr>
            <w:rFonts w:ascii="Calibri" w:hAnsi="Calibri" w:hint="eastAsia"/>
            <w:color w:val="0000FF"/>
            <w:u w:val="single"/>
            <w:rtl/>
          </w:rPr>
          <w:t>המסוכנים</w:t>
        </w:r>
      </w:hyperlink>
      <w:r w:rsidRPr="00B4402E">
        <w:rPr>
          <w:rFonts w:ascii="Calibri" w:hAnsi="Calibri" w:hint="cs"/>
          <w:u w:val="single"/>
          <w:rtl/>
        </w:rPr>
        <w:t xml:space="preserve"> [נוסח חדש], התשל"ג </w:t>
      </w:r>
      <w:r w:rsidRPr="00B4402E">
        <w:rPr>
          <w:rFonts w:ascii="Calibri" w:hAnsi="Calibri"/>
          <w:rtl/>
        </w:rPr>
        <w:tab/>
      </w:r>
      <w:r w:rsidRPr="00B4402E">
        <w:rPr>
          <w:rFonts w:ascii="Calibri" w:hAnsi="Calibri" w:hint="cs"/>
          <w:rtl/>
        </w:rPr>
        <w:t>–</w:t>
      </w:r>
      <w:r w:rsidRPr="00B4402E">
        <w:rPr>
          <w:rFonts w:ascii="Calibri" w:hAnsi="Calibri" w:hint="cs"/>
          <w:u w:val="single"/>
          <w:rtl/>
        </w:rPr>
        <w:t xml:space="preserve"> 1973</w:t>
      </w:r>
      <w:r w:rsidRPr="00B4402E">
        <w:rPr>
          <w:rFonts w:ascii="Calibri" w:hAnsi="Calibri" w:hint="cs"/>
          <w:rtl/>
        </w:rPr>
        <w:t xml:space="preserve">. (להלן: "פקודת הסמים"), </w:t>
      </w:r>
      <w:r w:rsidRPr="00B4402E">
        <w:rPr>
          <w:rFonts w:ascii="Calibri" w:hAnsi="Calibri" w:hint="cs"/>
          <w:b/>
          <w:bCs/>
          <w:rtl/>
        </w:rPr>
        <w:t xml:space="preserve">והחזקת כלים להכנת סם לא לצריכה עצמית - </w:t>
      </w:r>
      <w:r w:rsidRPr="00B4402E">
        <w:rPr>
          <w:rFonts w:ascii="Calibri" w:hAnsi="Calibri" w:hint="cs"/>
          <w:rtl/>
        </w:rPr>
        <w:t xml:space="preserve">לפי </w:t>
      </w:r>
      <w:hyperlink r:id="rId17" w:history="1">
        <w:r w:rsidR="00CE6616" w:rsidRPr="00CE6616">
          <w:rPr>
            <w:rFonts w:ascii="Calibri" w:hAnsi="Calibri" w:hint="eastAsia"/>
            <w:color w:val="0000FF"/>
            <w:u w:val="single"/>
            <w:rtl/>
          </w:rPr>
          <w:t>סעיף</w:t>
        </w:r>
        <w:r w:rsidR="00CE6616" w:rsidRPr="00CE6616">
          <w:rPr>
            <w:rFonts w:ascii="Calibri" w:hAnsi="Calibri"/>
            <w:color w:val="0000FF"/>
            <w:u w:val="single"/>
            <w:rtl/>
          </w:rPr>
          <w:t xml:space="preserve"> </w:t>
        </w:r>
        <w:r w:rsidR="00CE6616" w:rsidRPr="00CE6616">
          <w:rPr>
            <w:rFonts w:ascii="Calibri" w:hAnsi="Calibri"/>
            <w:color w:val="0000FF"/>
            <w:u w:val="single"/>
            <w:rtl/>
          </w:rPr>
          <w:tab/>
          <w:t>10</w:t>
        </w:r>
      </w:hyperlink>
      <w:r w:rsidRPr="00B4402E">
        <w:rPr>
          <w:rFonts w:ascii="Calibri" w:hAnsi="Calibri" w:hint="cs"/>
          <w:b/>
          <w:bCs/>
          <w:u w:val="single"/>
          <w:rtl/>
        </w:rPr>
        <w:t xml:space="preserve"> </w:t>
      </w:r>
      <w:r w:rsidRPr="00B4402E">
        <w:rPr>
          <w:rFonts w:ascii="Calibri" w:hAnsi="Calibri" w:hint="cs"/>
          <w:u w:val="single"/>
          <w:rtl/>
        </w:rPr>
        <w:t>רישא לפקודת הסמים</w:t>
      </w:r>
      <w:r w:rsidRPr="00B4402E">
        <w:rPr>
          <w:rFonts w:ascii="Calibri" w:hAnsi="Calibri" w:hint="cs"/>
          <w:rtl/>
        </w:rPr>
        <w:t xml:space="preserve">.  </w:t>
      </w:r>
    </w:p>
    <w:p w14:paraId="69953F38" w14:textId="77777777" w:rsidR="004669AA" w:rsidRPr="00B4402E" w:rsidRDefault="004669AA" w:rsidP="004669AA">
      <w:pPr>
        <w:spacing w:line="360" w:lineRule="auto"/>
        <w:jc w:val="both"/>
        <w:rPr>
          <w:rFonts w:ascii="Calibri" w:hAnsi="Calibri"/>
          <w:rtl/>
        </w:rPr>
      </w:pPr>
      <w:bookmarkStart w:id="6" w:name="ABSTRACT_END"/>
      <w:bookmarkEnd w:id="6"/>
    </w:p>
    <w:p w14:paraId="1DA739FD" w14:textId="77777777" w:rsidR="004669AA" w:rsidRPr="00B4402E" w:rsidRDefault="004669AA" w:rsidP="004669AA">
      <w:pPr>
        <w:numPr>
          <w:ilvl w:val="0"/>
          <w:numId w:val="1"/>
        </w:numPr>
        <w:spacing w:after="160" w:line="360" w:lineRule="auto"/>
        <w:ind w:left="360"/>
        <w:contextualSpacing/>
        <w:jc w:val="both"/>
        <w:rPr>
          <w:rFonts w:ascii="Calibri" w:hAnsi="Calibri"/>
        </w:rPr>
      </w:pPr>
      <w:r>
        <w:rPr>
          <w:rFonts w:ascii="Calibri" w:hAnsi="Calibri"/>
          <w:rtl/>
        </w:rPr>
        <w:tab/>
      </w:r>
      <w:r w:rsidRPr="00B4402E">
        <w:rPr>
          <w:rFonts w:ascii="Calibri" w:hAnsi="Calibri" w:hint="cs"/>
          <w:rtl/>
        </w:rPr>
        <w:t xml:space="preserve">מעובדות כתב האישום המתוקן עולה, כי בתאריך 9.12.14 בסמוך לשעה 20:11, החזיק </w:t>
      </w:r>
      <w:r>
        <w:rPr>
          <w:rFonts w:ascii="Calibri" w:hAnsi="Calibri"/>
          <w:rtl/>
        </w:rPr>
        <w:tab/>
      </w:r>
      <w:r w:rsidRPr="00B4402E">
        <w:rPr>
          <w:rFonts w:ascii="Calibri" w:hAnsi="Calibri" w:hint="cs"/>
          <w:rtl/>
        </w:rPr>
        <w:t xml:space="preserve">הנאשם בסם מסוג קנבוס במשקל כולל 1.263 ק"ג נטו, בדירה ששכר. מחיפוש שנערך על ידי </w:t>
      </w:r>
      <w:r>
        <w:rPr>
          <w:rFonts w:ascii="Calibri" w:hAnsi="Calibri"/>
          <w:rtl/>
        </w:rPr>
        <w:tab/>
      </w:r>
      <w:r w:rsidRPr="00B4402E">
        <w:rPr>
          <w:rFonts w:ascii="Calibri" w:hAnsi="Calibri" w:hint="cs"/>
          <w:rtl/>
        </w:rPr>
        <w:t xml:space="preserve">השוטרים שהגיעו למקום בעקבות קריאת השכנים, נמצאו הסמים בכמה מקומות בדירה. </w:t>
      </w:r>
      <w:r>
        <w:rPr>
          <w:rFonts w:ascii="Calibri" w:hAnsi="Calibri"/>
          <w:rtl/>
        </w:rPr>
        <w:tab/>
      </w:r>
      <w:r w:rsidRPr="00B4402E">
        <w:rPr>
          <w:rFonts w:ascii="Calibri" w:hAnsi="Calibri" w:hint="cs"/>
          <w:rtl/>
        </w:rPr>
        <w:t xml:space="preserve">החלק הגדול, כמות של 508.89 גרם נטו נמצאה מפוזרת בסלון, חלק בתוך קופסאות שקופות </w:t>
      </w:r>
      <w:r>
        <w:rPr>
          <w:rFonts w:ascii="Calibri" w:hAnsi="Calibri"/>
          <w:rtl/>
        </w:rPr>
        <w:tab/>
      </w:r>
      <w:r w:rsidRPr="00B4402E">
        <w:rPr>
          <w:rFonts w:ascii="Calibri" w:hAnsi="Calibri" w:hint="cs"/>
          <w:rtl/>
        </w:rPr>
        <w:t xml:space="preserve">וחלק בשקיות וואקום. כמו כן בחדר האמצעי בדירה נמצאו כ - 38 שתילים של סם מאותו </w:t>
      </w:r>
      <w:r>
        <w:rPr>
          <w:rFonts w:ascii="Calibri" w:hAnsi="Calibri"/>
          <w:rtl/>
        </w:rPr>
        <w:tab/>
      </w:r>
      <w:r w:rsidRPr="00B4402E">
        <w:rPr>
          <w:rFonts w:ascii="Calibri" w:hAnsi="Calibri" w:hint="cs"/>
          <w:rtl/>
        </w:rPr>
        <w:t xml:space="preserve">סוג בכמות כוללת של 231.96 גרם נטו, וארבעה קרטונים שבתוכם נמצאה כמות כוללת של </w:t>
      </w:r>
      <w:r>
        <w:rPr>
          <w:rFonts w:ascii="Calibri" w:hAnsi="Calibri"/>
          <w:rtl/>
        </w:rPr>
        <w:tab/>
      </w:r>
      <w:r w:rsidRPr="00B4402E">
        <w:rPr>
          <w:rFonts w:ascii="Calibri" w:hAnsi="Calibri" w:hint="cs"/>
          <w:rtl/>
        </w:rPr>
        <w:t xml:space="preserve">389.21 גרם נטו. בחדר אחר נמצאה כמות של 67.01 גרם נטו, בשקיות שחורות. </w:t>
      </w:r>
      <w:r w:rsidRPr="00B4402E">
        <w:rPr>
          <w:rFonts w:ascii="Calibri" w:hAnsi="Calibri" w:hint="cs"/>
          <w:rtl/>
        </w:rPr>
        <w:lastRenderedPageBreak/>
        <w:t xml:space="preserve">וזאת מבלי </w:t>
      </w:r>
      <w:r>
        <w:rPr>
          <w:rFonts w:ascii="Calibri" w:hAnsi="Calibri"/>
          <w:rtl/>
        </w:rPr>
        <w:tab/>
      </w:r>
      <w:r w:rsidRPr="00B4402E">
        <w:rPr>
          <w:rFonts w:ascii="Calibri" w:hAnsi="Calibri" w:hint="cs"/>
          <w:rtl/>
        </w:rPr>
        <w:t xml:space="preserve">שהותר לו הדבר על פי </w:t>
      </w:r>
      <w:hyperlink r:id="rId18" w:history="1">
        <w:r w:rsidR="00FF3870" w:rsidRPr="00FF3870">
          <w:rPr>
            <w:rFonts w:ascii="Calibri" w:hAnsi="Calibri" w:hint="eastAsia"/>
            <w:color w:val="0000FF"/>
            <w:u w:val="single"/>
            <w:rtl/>
          </w:rPr>
          <w:t>פקודת</w:t>
        </w:r>
        <w:r w:rsidR="00FF3870" w:rsidRPr="00FF3870">
          <w:rPr>
            <w:rFonts w:ascii="Calibri" w:hAnsi="Calibri"/>
            <w:color w:val="0000FF"/>
            <w:u w:val="single"/>
            <w:rtl/>
          </w:rPr>
          <w:t xml:space="preserve"> </w:t>
        </w:r>
        <w:r w:rsidR="00FF3870" w:rsidRPr="00FF3870">
          <w:rPr>
            <w:rFonts w:ascii="Calibri" w:hAnsi="Calibri" w:hint="eastAsia"/>
            <w:color w:val="0000FF"/>
            <w:u w:val="single"/>
            <w:rtl/>
          </w:rPr>
          <w:t>הסמים</w:t>
        </w:r>
        <w:r w:rsidR="00FF3870" w:rsidRPr="00FF3870">
          <w:rPr>
            <w:rFonts w:ascii="Calibri" w:hAnsi="Calibri"/>
            <w:color w:val="0000FF"/>
            <w:u w:val="single"/>
            <w:rtl/>
          </w:rPr>
          <w:t xml:space="preserve"> </w:t>
        </w:r>
        <w:r w:rsidR="00FF3870" w:rsidRPr="00FF3870">
          <w:rPr>
            <w:rFonts w:ascii="Calibri" w:hAnsi="Calibri" w:hint="eastAsia"/>
            <w:color w:val="0000FF"/>
            <w:u w:val="single"/>
            <w:rtl/>
          </w:rPr>
          <w:t>המסוכנים</w:t>
        </w:r>
      </w:hyperlink>
      <w:r w:rsidRPr="00B4402E">
        <w:rPr>
          <w:rFonts w:ascii="Calibri" w:hAnsi="Calibri" w:hint="cs"/>
          <w:rtl/>
        </w:rPr>
        <w:t xml:space="preserve"> ותקנותיה או ברישיון מאת המנהל. </w:t>
      </w:r>
    </w:p>
    <w:p w14:paraId="33684EF1" w14:textId="77777777" w:rsidR="004669AA" w:rsidRPr="00B4402E" w:rsidRDefault="004669AA" w:rsidP="004669AA">
      <w:pPr>
        <w:pStyle w:val="ListParagraph"/>
        <w:ind w:left="295"/>
        <w:rPr>
          <w:rFonts w:cs="David"/>
          <w:sz w:val="24"/>
          <w:szCs w:val="24"/>
        </w:rPr>
      </w:pPr>
    </w:p>
    <w:p w14:paraId="43A93796" w14:textId="77777777" w:rsidR="004669AA" w:rsidRPr="00B4402E" w:rsidRDefault="004669AA" w:rsidP="004669AA">
      <w:pPr>
        <w:spacing w:line="360" w:lineRule="auto"/>
        <w:ind w:left="720"/>
        <w:contextualSpacing/>
        <w:jc w:val="both"/>
        <w:rPr>
          <w:rFonts w:ascii="Calibri" w:hAnsi="Calibri"/>
          <w:rtl/>
        </w:rPr>
      </w:pPr>
      <w:r w:rsidRPr="00B4402E">
        <w:rPr>
          <w:rFonts w:ascii="Calibri" w:hAnsi="Calibri" w:hint="cs"/>
          <w:rtl/>
        </w:rPr>
        <w:t xml:space="preserve">עוד נתפס ברשות הנאשם ציוד לגידול סם מסוג קנבוס ובין היתר, מאווררים, מדי טמפרטורה, מנורות חימום, כלים לגידול הצמחים, חומרי דישון, וסכום כסף של כ - 8550 ₪. </w:t>
      </w:r>
    </w:p>
    <w:p w14:paraId="4DC64CA2" w14:textId="77777777" w:rsidR="004669AA" w:rsidRPr="00B4402E" w:rsidRDefault="004669AA" w:rsidP="004669AA">
      <w:pPr>
        <w:pStyle w:val="ListParagraph"/>
        <w:ind w:left="295"/>
        <w:rPr>
          <w:rFonts w:cs="David"/>
          <w:sz w:val="24"/>
          <w:szCs w:val="24"/>
        </w:rPr>
      </w:pPr>
    </w:p>
    <w:p w14:paraId="4B76C635" w14:textId="77777777" w:rsidR="004669AA" w:rsidRDefault="004669AA" w:rsidP="004669AA">
      <w:pPr>
        <w:numPr>
          <w:ilvl w:val="0"/>
          <w:numId w:val="1"/>
        </w:numPr>
        <w:spacing w:after="160" w:line="360" w:lineRule="auto"/>
        <w:ind w:left="360"/>
        <w:contextualSpacing/>
        <w:jc w:val="both"/>
        <w:rPr>
          <w:rFonts w:ascii="Calibri" w:hAnsi="Calibri"/>
        </w:rPr>
      </w:pPr>
      <w:r>
        <w:rPr>
          <w:rFonts w:ascii="Calibri" w:hAnsi="Calibri"/>
          <w:rtl/>
        </w:rPr>
        <w:tab/>
      </w:r>
      <w:r w:rsidRPr="00B4402E">
        <w:rPr>
          <w:rFonts w:ascii="Calibri" w:hAnsi="Calibri" w:hint="cs"/>
          <w:rtl/>
        </w:rPr>
        <w:t xml:space="preserve">ביום 31.1.16 הגיעו הצדדים להסדר טיעון לפיו, הנאשם הודה בעובדות כתב אישום מתוקן </w:t>
      </w:r>
      <w:r>
        <w:rPr>
          <w:rFonts w:ascii="Calibri" w:hAnsi="Calibri"/>
          <w:rtl/>
        </w:rPr>
        <w:tab/>
      </w:r>
      <w:r w:rsidRPr="00B4402E">
        <w:rPr>
          <w:rFonts w:ascii="Calibri" w:hAnsi="Calibri" w:hint="cs"/>
          <w:rtl/>
        </w:rPr>
        <w:t xml:space="preserve">והורשע בעבירות שיוחסו לו. לצורך בחינת טענות הנאשם, כי הפסיק מיוזמתו העבירות </w:t>
      </w:r>
      <w:r>
        <w:rPr>
          <w:rFonts w:ascii="Calibri" w:hAnsi="Calibri"/>
          <w:rtl/>
        </w:rPr>
        <w:tab/>
      </w:r>
      <w:r w:rsidRPr="00B4402E">
        <w:rPr>
          <w:rFonts w:ascii="Calibri" w:hAnsi="Calibri" w:hint="cs"/>
          <w:rtl/>
        </w:rPr>
        <w:t xml:space="preserve">המיוחסות לו, הוסכם כי תשמענה ראיות בשלב הטיעונים לעונש, לבחינת נסיבות ביצוע </w:t>
      </w:r>
      <w:r>
        <w:rPr>
          <w:rFonts w:ascii="Calibri" w:hAnsi="Calibri"/>
          <w:rtl/>
        </w:rPr>
        <w:tab/>
      </w:r>
      <w:r w:rsidRPr="00B4402E">
        <w:rPr>
          <w:rFonts w:ascii="Calibri" w:hAnsi="Calibri" w:hint="cs"/>
          <w:rtl/>
        </w:rPr>
        <w:t xml:space="preserve">העבירה. </w:t>
      </w:r>
    </w:p>
    <w:p w14:paraId="269EB38D" w14:textId="77777777" w:rsidR="004669AA" w:rsidRPr="00B4402E" w:rsidRDefault="004669AA" w:rsidP="004669AA">
      <w:pPr>
        <w:spacing w:after="160" w:line="360" w:lineRule="auto"/>
        <w:ind w:left="360"/>
        <w:contextualSpacing/>
        <w:jc w:val="both"/>
        <w:rPr>
          <w:rFonts w:ascii="Calibri" w:hAnsi="Calibri"/>
          <w:rtl/>
        </w:rPr>
      </w:pPr>
    </w:p>
    <w:p w14:paraId="315AE8F6" w14:textId="77777777" w:rsidR="004669AA" w:rsidRPr="00A9148B" w:rsidRDefault="004669AA" w:rsidP="004669AA">
      <w:pPr>
        <w:numPr>
          <w:ilvl w:val="0"/>
          <w:numId w:val="1"/>
        </w:numPr>
        <w:spacing w:after="160" w:line="360" w:lineRule="auto"/>
        <w:ind w:left="360"/>
        <w:contextualSpacing/>
        <w:jc w:val="both"/>
        <w:rPr>
          <w:rFonts w:ascii="Calibri" w:eastAsia="Calibri" w:hAnsi="Calibri"/>
        </w:rPr>
      </w:pPr>
      <w:r>
        <w:rPr>
          <w:rFonts w:ascii="Calibri" w:hAnsi="Calibri"/>
          <w:rtl/>
        </w:rPr>
        <w:tab/>
      </w:r>
      <w:r w:rsidRPr="00B4402E">
        <w:rPr>
          <w:rFonts w:ascii="Calibri" w:hAnsi="Calibri" w:hint="cs"/>
          <w:rtl/>
        </w:rPr>
        <w:t xml:space="preserve">בהתאם להסכמת הצדדים, הוגשה ליבת תיק החקירה לעיוני, ובין היתר, דוחות הפעולה, </w:t>
      </w:r>
      <w:r>
        <w:rPr>
          <w:rFonts w:ascii="Calibri" w:hAnsi="Calibri"/>
          <w:rtl/>
        </w:rPr>
        <w:tab/>
      </w:r>
      <w:r w:rsidRPr="00B4402E">
        <w:rPr>
          <w:rFonts w:ascii="Calibri" w:hAnsi="Calibri" w:hint="cs"/>
          <w:rtl/>
        </w:rPr>
        <w:t>התמונות והודעות הנאשם. (ראה פרוטוקול דיון מיום 18.5.16, מוצגים ת/1-ת/11).</w:t>
      </w:r>
    </w:p>
    <w:p w14:paraId="07A7FCD0" w14:textId="77777777" w:rsidR="004669AA" w:rsidRPr="00B4402E" w:rsidRDefault="004669AA" w:rsidP="004669AA">
      <w:pPr>
        <w:pStyle w:val="ListParagraph"/>
        <w:ind w:left="295"/>
        <w:rPr>
          <w:rFonts w:cs="David"/>
          <w:sz w:val="24"/>
          <w:szCs w:val="24"/>
        </w:rPr>
      </w:pPr>
    </w:p>
    <w:p w14:paraId="529A6A10" w14:textId="77777777" w:rsidR="004669AA" w:rsidRDefault="004669AA" w:rsidP="004669AA">
      <w:pPr>
        <w:spacing w:after="160" w:line="360" w:lineRule="auto"/>
        <w:ind w:left="720" w:hanging="720"/>
        <w:contextualSpacing/>
        <w:jc w:val="both"/>
        <w:rPr>
          <w:rFonts w:ascii="Calibri" w:hAnsi="Calibri"/>
          <w:rtl/>
        </w:rPr>
      </w:pPr>
      <w:r>
        <w:rPr>
          <w:rFonts w:ascii="Calibri" w:hAnsi="Calibri" w:hint="cs"/>
          <w:rtl/>
        </w:rPr>
        <w:t>5.</w:t>
      </w:r>
      <w:r>
        <w:rPr>
          <w:rFonts w:ascii="Calibri" w:hAnsi="Calibri" w:hint="cs"/>
          <w:rtl/>
        </w:rPr>
        <w:tab/>
      </w:r>
      <w:r w:rsidRPr="00B4402E">
        <w:rPr>
          <w:rFonts w:ascii="Calibri" w:hAnsi="Calibri" w:hint="cs"/>
          <w:rtl/>
        </w:rPr>
        <w:t xml:space="preserve">עוד יצוין, שהנאשם עמד בפיקוח שירות המבחן במשך תקופה ארוכה, החל משחרורו ממעצר בחודש דצמבר 2014. בעניינו של הנאשם התקבלו תסקיר שירות מבחן, חוות דעת פסיכיאטרית וכן חוות דעת ממונה על עבודות השירות שמצא אותו מתאים לשאת מאסר בדרך של עבודות שירות. </w:t>
      </w:r>
    </w:p>
    <w:p w14:paraId="08E3D1FD" w14:textId="77777777" w:rsidR="004669AA" w:rsidRPr="00B4402E" w:rsidRDefault="004669AA" w:rsidP="004669AA">
      <w:pPr>
        <w:spacing w:after="160" w:line="360" w:lineRule="auto"/>
        <w:ind w:left="360" w:hanging="360"/>
        <w:contextualSpacing/>
        <w:jc w:val="both"/>
        <w:rPr>
          <w:rFonts w:ascii="Calibri" w:hAnsi="Calibri"/>
          <w:rtl/>
        </w:rPr>
      </w:pPr>
    </w:p>
    <w:p w14:paraId="26FB9926" w14:textId="77777777" w:rsidR="004669AA" w:rsidRPr="00B4402E" w:rsidRDefault="004669AA" w:rsidP="004669AA">
      <w:pPr>
        <w:spacing w:line="360" w:lineRule="auto"/>
        <w:jc w:val="both"/>
        <w:rPr>
          <w:rFonts w:ascii="Calibri" w:hAnsi="Calibri"/>
          <w:b/>
          <w:bCs/>
          <w:u w:val="single"/>
        </w:rPr>
      </w:pPr>
      <w:r w:rsidRPr="00B4402E">
        <w:rPr>
          <w:rFonts w:ascii="Calibri" w:hAnsi="Calibri" w:hint="cs"/>
          <w:b/>
          <w:bCs/>
          <w:u w:val="single"/>
          <w:rtl/>
        </w:rPr>
        <w:t>חוו"ד פסיכיאטרית</w:t>
      </w:r>
    </w:p>
    <w:p w14:paraId="1D2F1029" w14:textId="77777777" w:rsidR="004669AA" w:rsidRPr="00B4402E" w:rsidRDefault="004669AA" w:rsidP="004669AA">
      <w:pPr>
        <w:spacing w:line="360" w:lineRule="auto"/>
        <w:ind w:left="720" w:hanging="720"/>
        <w:jc w:val="both"/>
        <w:rPr>
          <w:rFonts w:ascii="Calibri" w:hAnsi="Calibri"/>
          <w:b/>
          <w:bCs/>
          <w:u w:val="single"/>
          <w:rtl/>
        </w:rPr>
      </w:pPr>
      <w:r>
        <w:rPr>
          <w:rFonts w:ascii="Arial" w:hAnsi="Arial" w:hint="cs"/>
          <w:rtl/>
        </w:rPr>
        <w:t>6.</w:t>
      </w:r>
      <w:r>
        <w:rPr>
          <w:rFonts w:ascii="Arial" w:hAnsi="Arial"/>
          <w:rtl/>
        </w:rPr>
        <w:tab/>
      </w:r>
      <w:r w:rsidRPr="00B4402E">
        <w:rPr>
          <w:rFonts w:ascii="Arial" w:hAnsi="Arial" w:hint="cs"/>
          <w:rtl/>
        </w:rPr>
        <w:t>מחוות הדעת</w:t>
      </w:r>
      <w:r w:rsidRPr="00B4402E">
        <w:rPr>
          <w:rFonts w:hint="cs"/>
          <w:rtl/>
        </w:rPr>
        <w:t xml:space="preserve"> </w:t>
      </w:r>
      <w:r w:rsidRPr="00B4402E">
        <w:rPr>
          <w:rFonts w:ascii="Arial" w:hAnsi="Arial" w:hint="cs"/>
          <w:rtl/>
        </w:rPr>
        <w:t>הפסיכיאטרית</w:t>
      </w:r>
      <w:r w:rsidRPr="00B4402E">
        <w:rPr>
          <w:rFonts w:hint="cs"/>
          <w:rtl/>
        </w:rPr>
        <w:t xml:space="preserve"> </w:t>
      </w:r>
      <w:r w:rsidRPr="00B4402E">
        <w:rPr>
          <w:rFonts w:ascii="Arial" w:hAnsi="Arial" w:hint="cs"/>
          <w:rtl/>
        </w:rPr>
        <w:t>שניתנה</w:t>
      </w:r>
      <w:r w:rsidRPr="00B4402E">
        <w:rPr>
          <w:rFonts w:hint="cs"/>
          <w:rtl/>
        </w:rPr>
        <w:t xml:space="preserve"> </w:t>
      </w:r>
      <w:r w:rsidRPr="00B4402E">
        <w:rPr>
          <w:rFonts w:ascii="Arial" w:hAnsi="Arial" w:hint="cs"/>
          <w:rtl/>
        </w:rPr>
        <w:t>בעניינו</w:t>
      </w:r>
      <w:r w:rsidRPr="00B4402E">
        <w:rPr>
          <w:rFonts w:hint="cs"/>
          <w:rtl/>
        </w:rPr>
        <w:t xml:space="preserve"> </w:t>
      </w:r>
      <w:r w:rsidRPr="00B4402E">
        <w:rPr>
          <w:rFonts w:ascii="Arial" w:hAnsi="Arial" w:hint="cs"/>
          <w:rtl/>
        </w:rPr>
        <w:t>של</w:t>
      </w:r>
      <w:r w:rsidRPr="00B4402E">
        <w:rPr>
          <w:rFonts w:hint="cs"/>
          <w:rtl/>
        </w:rPr>
        <w:t xml:space="preserve"> </w:t>
      </w:r>
      <w:r w:rsidRPr="00B4402E">
        <w:rPr>
          <w:rFonts w:ascii="Arial" w:hAnsi="Arial" w:hint="cs"/>
          <w:rtl/>
        </w:rPr>
        <w:t>הנאשם</w:t>
      </w:r>
      <w:r w:rsidRPr="00B4402E">
        <w:rPr>
          <w:rFonts w:hint="cs"/>
          <w:rtl/>
        </w:rPr>
        <w:t>, עולה כי מוכר למערכת הפסיכיאטרית מבדיקה שנערכה בעניינו לאחר מעצרו ביום 21.12.14, לאור חשד להיותו במצב פסיכוטי, עקב שימוש מסיבי בחומרים פסיכואקטיביים, אולם חשד זה חלף כעבור זמן קצר, והנאשם נמצא כשיר לעמוד לדין. מחוות הדעת המעודכנת  (מיום 04.05.16) לא עולות אינדיקציות להפרעות נפשיות. נכון למועד הבדיקה, הנאשם נמצא נקי מסמים, ואינו מטופל על ידי גורמי בריאות הנפש.</w:t>
      </w:r>
    </w:p>
    <w:p w14:paraId="318BC811" w14:textId="77777777" w:rsidR="004669AA" w:rsidRPr="00B4402E" w:rsidRDefault="004669AA" w:rsidP="004669AA">
      <w:pPr>
        <w:pStyle w:val="ListParagraph"/>
        <w:spacing w:line="360" w:lineRule="auto"/>
        <w:ind w:left="644"/>
        <w:jc w:val="both"/>
        <w:rPr>
          <w:rFonts w:cs="David"/>
          <w:b/>
          <w:bCs/>
          <w:sz w:val="24"/>
          <w:szCs w:val="24"/>
          <w:u w:val="single"/>
        </w:rPr>
      </w:pPr>
      <w:r w:rsidRPr="00B4402E">
        <w:rPr>
          <w:rFonts w:cs="David" w:hint="cs"/>
          <w:sz w:val="24"/>
          <w:szCs w:val="24"/>
          <w:rtl/>
        </w:rPr>
        <w:t xml:space="preserve"> </w:t>
      </w:r>
      <w:r w:rsidRPr="00B4402E">
        <w:rPr>
          <w:rFonts w:cs="David" w:hint="cs"/>
          <w:b/>
          <w:bCs/>
          <w:sz w:val="24"/>
          <w:szCs w:val="24"/>
          <w:u w:val="single"/>
          <w:rtl/>
        </w:rPr>
        <w:t xml:space="preserve"> </w:t>
      </w:r>
    </w:p>
    <w:p w14:paraId="5A86FF7A" w14:textId="77777777" w:rsidR="004669AA" w:rsidRPr="00B4402E" w:rsidRDefault="004669AA" w:rsidP="004669AA">
      <w:pPr>
        <w:spacing w:line="360" w:lineRule="auto"/>
        <w:jc w:val="both"/>
        <w:rPr>
          <w:rFonts w:ascii="Calibri" w:hAnsi="Calibri"/>
          <w:b/>
          <w:bCs/>
          <w:u w:val="single"/>
          <w:rtl/>
        </w:rPr>
      </w:pPr>
      <w:r w:rsidRPr="00B4402E">
        <w:rPr>
          <w:rFonts w:ascii="Calibri" w:hAnsi="Calibri" w:hint="cs"/>
          <w:b/>
          <w:bCs/>
          <w:u w:val="single"/>
          <w:rtl/>
        </w:rPr>
        <w:t>תסקיר שירות המבחן</w:t>
      </w:r>
    </w:p>
    <w:p w14:paraId="0803DA38" w14:textId="77777777" w:rsidR="004669AA" w:rsidRPr="00B4402E" w:rsidRDefault="004669AA" w:rsidP="004669AA">
      <w:pPr>
        <w:spacing w:after="600" w:line="360" w:lineRule="auto"/>
        <w:ind w:left="720" w:hanging="720"/>
        <w:jc w:val="both"/>
        <w:rPr>
          <w:rFonts w:ascii="Calibri" w:hAnsi="Calibri"/>
          <w:b/>
          <w:bCs/>
          <w:u w:val="single"/>
        </w:rPr>
      </w:pPr>
      <w:r>
        <w:rPr>
          <w:rFonts w:hint="cs"/>
          <w:rtl/>
        </w:rPr>
        <w:t>7.</w:t>
      </w:r>
      <w:r>
        <w:rPr>
          <w:rFonts w:hint="cs"/>
          <w:rtl/>
        </w:rPr>
        <w:tab/>
      </w:r>
      <w:r w:rsidRPr="00B4402E">
        <w:rPr>
          <w:rFonts w:hint="cs"/>
          <w:rtl/>
        </w:rPr>
        <w:t xml:space="preserve">מתסקיר שירות המבחן עולה כי, הנאשם בן 26, רווק, המוכר לשירות המבחן עוד מהליך המעצר בעניינו, והועמד בצו פיקוח מעצר בשירות המבחן עד חודש אפריל 2016. בתקופת הפיקוח, השתלב הנאשם במסגרת טיפול בהתמכרויות "בית חוסן", אך לאור קשיים שגילה בהשתתפותו בקבוצה ומול הצוות הוחלט על העברתו לטיפול פרטני. גם במסגרת זו עלו </w:t>
      </w:r>
      <w:r w:rsidRPr="00B4402E">
        <w:rPr>
          <w:rFonts w:hint="cs"/>
          <w:rtl/>
        </w:rPr>
        <w:lastRenderedPageBreak/>
        <w:t xml:space="preserve">קשיים והנאשם לא הצליח להתמיד בטיפול. ניסיון נוסף לשלבו בטיפול לא צלח ובחודש אפריל 2016, הוחלט על סיום הטיפול במסגרת היחידה. </w:t>
      </w:r>
    </w:p>
    <w:p w14:paraId="16D7433B" w14:textId="77777777" w:rsidR="004669AA" w:rsidRPr="00B4402E" w:rsidRDefault="004669AA" w:rsidP="004669AA">
      <w:pPr>
        <w:spacing w:after="600" w:line="360" w:lineRule="auto"/>
        <w:ind w:left="720" w:hanging="720"/>
        <w:jc w:val="both"/>
        <w:rPr>
          <w:b/>
          <w:bCs/>
          <w:u w:val="single"/>
        </w:rPr>
      </w:pPr>
      <w:r>
        <w:rPr>
          <w:rFonts w:hint="cs"/>
          <w:rtl/>
        </w:rPr>
        <w:t>8.</w:t>
      </w:r>
      <w:r>
        <w:rPr>
          <w:rFonts w:hint="cs"/>
          <w:rtl/>
        </w:rPr>
        <w:tab/>
      </w:r>
      <w:r w:rsidRPr="00B4402E">
        <w:rPr>
          <w:rFonts w:hint="cs"/>
          <w:rtl/>
        </w:rPr>
        <w:t xml:space="preserve">התרשמות שירות המבחן היא מבחור צעיר, אשר מנהל אורח חיים התמכרותי, מתקשה להתייצב בתפקוד במסגרות השונות, לבחון את קשייו בטיפול ושולל נזקקות טיפולית בתחום זה. עם זאת, צוין שלא הפר תנאיו או ביצע עבירות נוספות מאז שחרורו ממעצר, וכן מסר בדיקות שתן נקיות. חיזוק לכך ניתן למצוא גם בחוות דעת הממונה. </w:t>
      </w:r>
    </w:p>
    <w:p w14:paraId="5B3ADA57" w14:textId="77777777" w:rsidR="004669AA" w:rsidRPr="00B4402E" w:rsidRDefault="004669AA" w:rsidP="004669AA">
      <w:pPr>
        <w:spacing w:after="600" w:line="360" w:lineRule="auto"/>
        <w:ind w:left="720" w:hanging="720"/>
        <w:jc w:val="both"/>
        <w:rPr>
          <w:b/>
          <w:bCs/>
          <w:u w:val="single"/>
        </w:rPr>
      </w:pPr>
      <w:r>
        <w:rPr>
          <w:rFonts w:hint="cs"/>
          <w:rtl/>
        </w:rPr>
        <w:t>9.</w:t>
      </w:r>
      <w:r>
        <w:rPr>
          <w:rFonts w:hint="cs"/>
          <w:rtl/>
        </w:rPr>
        <w:tab/>
      </w:r>
      <w:r w:rsidRPr="00B4402E">
        <w:rPr>
          <w:rFonts w:hint="cs"/>
          <w:rtl/>
        </w:rPr>
        <w:t xml:space="preserve">שירות המבחן נמנע מהמלצה שיקומית והמליץ על ענישה חלופית, בין היתר, בשל הסיכון הנשקף ממנו להתדרדרות חוזרת לצריכת סמים, ולהישנות ביצוע העבירות, כשהוא אינו מטופל. </w:t>
      </w:r>
    </w:p>
    <w:p w14:paraId="7BD72660" w14:textId="77777777" w:rsidR="004669AA" w:rsidRPr="00B4402E" w:rsidRDefault="004669AA" w:rsidP="004669AA">
      <w:pPr>
        <w:spacing w:line="360" w:lineRule="auto"/>
        <w:jc w:val="both"/>
        <w:rPr>
          <w:b/>
          <w:bCs/>
          <w:u w:val="single"/>
        </w:rPr>
      </w:pPr>
      <w:r w:rsidRPr="00B4402E">
        <w:rPr>
          <w:rFonts w:hint="cs"/>
          <w:b/>
          <w:bCs/>
          <w:u w:val="single"/>
          <w:rtl/>
        </w:rPr>
        <w:t xml:space="preserve"> תמצית טיעוני הצדדים</w:t>
      </w:r>
    </w:p>
    <w:p w14:paraId="07E82ADD" w14:textId="77777777" w:rsidR="004669AA" w:rsidRPr="00B4402E" w:rsidRDefault="004669AA" w:rsidP="004669AA">
      <w:pPr>
        <w:spacing w:line="360" w:lineRule="auto"/>
        <w:jc w:val="both"/>
        <w:rPr>
          <w:b/>
          <w:bCs/>
          <w:u w:val="single"/>
          <w:rtl/>
        </w:rPr>
      </w:pPr>
    </w:p>
    <w:p w14:paraId="70C108AB" w14:textId="77777777" w:rsidR="004669AA" w:rsidRPr="00B4402E" w:rsidRDefault="004669AA" w:rsidP="004669AA">
      <w:pPr>
        <w:spacing w:after="600" w:line="360" w:lineRule="auto"/>
        <w:ind w:left="720" w:hanging="720"/>
        <w:jc w:val="both"/>
        <w:rPr>
          <w:rtl/>
        </w:rPr>
      </w:pPr>
      <w:r>
        <w:rPr>
          <w:rFonts w:hint="cs"/>
          <w:rtl/>
        </w:rPr>
        <w:t>10.</w:t>
      </w:r>
      <w:r>
        <w:rPr>
          <w:rFonts w:hint="cs"/>
          <w:rtl/>
        </w:rPr>
        <w:tab/>
      </w:r>
      <w:r w:rsidRPr="00B4402E">
        <w:rPr>
          <w:rFonts w:hint="cs"/>
          <w:rtl/>
        </w:rPr>
        <w:t>ב"כ המאשימה, עו"ד משיח, סבורה שלא ניתן ללמוד מהתנהלותו של הנאשם ביום מעצרו, כי התכוון ותכנן להפסיק ביצוע העבירות ומאס בהתנהלותו העבריינית. בהתבסס על חקירתו באותו מועד, סבורה שברקע מעשיו באותו המועד עמד מצבו הנפשי הרעוע. מצב זה הובילו להשלכת חפצים והצעת סכומי כסף לשכניו, אלו הזעיקו את המשטרה שאיתרה את מעבדת הסמים בדירתו. על כן לא סבורה שניתן לראות בהתנהלותו בבחינת נסיבה מקלה הקשורה בביצוע העבירה. עוד עמדה על כך שמדובר בנאשם יליד 1989, שלחובתו שתי הרשעות קודמות אך לא בעבירות סמים. לטענתה, הנאשם הקים בדירתו מעבדה לגידול סמים לצורך צריכתם ומכירתם, ויעידו על כך הציוד שנמצא בדירה והיקף הסם</w:t>
      </w:r>
      <w:r>
        <w:rPr>
          <w:rFonts w:hint="cs"/>
          <w:rtl/>
        </w:rPr>
        <w:t xml:space="preserve"> שנתפס</w:t>
      </w:r>
      <w:r w:rsidRPr="00B4402E">
        <w:rPr>
          <w:rFonts w:hint="cs"/>
          <w:rtl/>
        </w:rPr>
        <w:t>. בנוסף ציינה שאין מדובר בנאשם שהשתקם, אלא במי שהסם הוא חלק מאורח חייו. בהתייחסותה לתסקיר שירות המבחן טענה ב"כ המאשימה כי הנאשם לא שיתף פעולה עם שירות המבחן, לא השתלב בתוכנית שיקומית, ואינו מראה כל מוטיבציה לערוך שינוי משמעותי בחייו. ב"כ המאשימה הפנתה לפסיקה, ועתרה לעונש שנמצא במרכז מתחם הענישה הנע בין 12 – 20 חודשי מאסר בפועל, למאסר על תנאי, קנס מכביד, לצד עונשי פסילה. כן מבקשת להכריז על הנאשם כסוחר סמים לפי הוראות פקודת הסמים, ולהורות על חילוט הכסף שנמצא בחזקתו.</w:t>
      </w:r>
    </w:p>
    <w:p w14:paraId="387684A7" w14:textId="77777777" w:rsidR="004669AA" w:rsidRPr="00B4402E" w:rsidRDefault="004669AA" w:rsidP="004669AA">
      <w:pPr>
        <w:spacing w:after="160" w:line="360" w:lineRule="auto"/>
        <w:ind w:left="720" w:hanging="720"/>
        <w:contextualSpacing/>
        <w:jc w:val="both"/>
        <w:rPr>
          <w:rFonts w:ascii="Calibri" w:hAnsi="Calibri"/>
        </w:rPr>
      </w:pPr>
      <w:r>
        <w:rPr>
          <w:rFonts w:ascii="Calibri" w:hAnsi="Calibri" w:hint="cs"/>
          <w:rtl/>
        </w:rPr>
        <w:t>11.</w:t>
      </w:r>
      <w:r>
        <w:rPr>
          <w:rFonts w:ascii="Calibri" w:hAnsi="Calibri" w:hint="cs"/>
          <w:rtl/>
        </w:rPr>
        <w:tab/>
      </w:r>
      <w:r w:rsidRPr="00B4402E">
        <w:rPr>
          <w:rFonts w:ascii="Calibri" w:hAnsi="Calibri" w:hint="cs"/>
          <w:rtl/>
        </w:rPr>
        <w:t>ב"כ הנאשם,</w:t>
      </w:r>
      <w:r w:rsidR="00FF3870">
        <w:rPr>
          <w:rFonts w:ascii="Calibri" w:hAnsi="Calibri" w:hint="cs"/>
          <w:rtl/>
        </w:rPr>
        <w:t xml:space="preserve"> </w:t>
      </w:r>
      <w:r w:rsidRPr="00B4402E">
        <w:rPr>
          <w:rFonts w:ascii="Calibri" w:hAnsi="Calibri" w:hint="cs"/>
          <w:rtl/>
        </w:rPr>
        <w:t xml:space="preserve">עו"ד סגרון, עמד בטיעוניו על כך שבהתאם לתיקון 113 בעניין הענישה, יש להתייחס לכל נאשם באופן אינדיבידואלי. עוד סבור שהתנהלותו של הנאשם, במהלך האירועים וכמפורט בחומר הראיות, מלמדת שפעל באופן מכוון ומתוכנן לגילוי מעשיו וחשיפתם בפני גורמי החוק. הנאשם עשה זאת משמאס באורח חייו באותה עת ומשהיה סבור כי גורם נזק למצבו הבריאותי של אביו. עוד הפנה לכך שאין מדובר במעבדת סמים משוכללת לגידול סם איכותי ואין כל אינדיקציה שביקש לסחור בסם. ב"כ הנאשם הפנה עוד להתנהלותו מול שכניו, והשלכת החפצים מדירתו במטרה לפרק את מעבדת הסמים ומתוך רצון להיתפס. </w:t>
      </w:r>
    </w:p>
    <w:p w14:paraId="35CBD050" w14:textId="77777777" w:rsidR="004669AA" w:rsidRPr="00B4402E" w:rsidRDefault="004669AA" w:rsidP="004669AA">
      <w:pPr>
        <w:spacing w:line="360" w:lineRule="auto"/>
        <w:ind w:left="295"/>
        <w:contextualSpacing/>
        <w:jc w:val="both"/>
        <w:rPr>
          <w:rFonts w:ascii="Calibri" w:hAnsi="Calibri"/>
        </w:rPr>
      </w:pPr>
    </w:p>
    <w:p w14:paraId="67035823" w14:textId="77777777" w:rsidR="004669AA" w:rsidRPr="00B4402E" w:rsidRDefault="004669AA" w:rsidP="004669AA">
      <w:pPr>
        <w:spacing w:after="160" w:line="360" w:lineRule="auto"/>
        <w:ind w:left="720" w:hanging="720"/>
        <w:contextualSpacing/>
        <w:jc w:val="both"/>
        <w:rPr>
          <w:rFonts w:ascii="Calibri" w:hAnsi="Calibri"/>
          <w:b/>
          <w:bCs/>
          <w:u w:val="single"/>
        </w:rPr>
      </w:pPr>
      <w:r>
        <w:rPr>
          <w:rFonts w:ascii="Calibri" w:hAnsi="Calibri" w:hint="cs"/>
          <w:rtl/>
        </w:rPr>
        <w:t>12.</w:t>
      </w:r>
      <w:r>
        <w:rPr>
          <w:rFonts w:ascii="Calibri" w:hAnsi="Calibri" w:hint="cs"/>
          <w:rtl/>
        </w:rPr>
        <w:tab/>
      </w:r>
      <w:r w:rsidRPr="00B4402E">
        <w:rPr>
          <w:rFonts w:ascii="Calibri" w:hAnsi="Calibri" w:hint="cs"/>
          <w:rtl/>
        </w:rPr>
        <w:t>עוד הדגיש, כי הנאשם נטל אחריות ושיתף פעולה באופן מלא עם רשויות החוק, והוסיף שעברו הפלילי אינו מכביד. באשר לתסקיר שירות המבחן, אינו מתעלם משיתוף הפעולה החלקי של הנאשם עם הגופים הטיפוליים השונים אך סבור שיש לתת משקל לנסיבותיו המורכבות, מצבו הנפשי, העדר עבירות נוספות ותוצאות בדיקות השתן המעידות על ניקיון מסם. על כן, עותר לעונש שירוצה בדרך של עבודות שירות וענישה נלווית. כן מסכים לחילוט הכסף שנתפס מבלי להכריז על הנאשם כסוחר סמים.</w:t>
      </w:r>
    </w:p>
    <w:p w14:paraId="06593712" w14:textId="77777777" w:rsidR="004669AA" w:rsidRDefault="004669AA" w:rsidP="004669AA">
      <w:pPr>
        <w:spacing w:line="360" w:lineRule="auto"/>
        <w:jc w:val="both"/>
        <w:rPr>
          <w:rtl/>
        </w:rPr>
      </w:pPr>
    </w:p>
    <w:p w14:paraId="27A266C9" w14:textId="77777777" w:rsidR="004669AA" w:rsidRPr="00B4402E" w:rsidRDefault="004669AA" w:rsidP="004669AA">
      <w:pPr>
        <w:spacing w:line="360" w:lineRule="auto"/>
        <w:ind w:left="720" w:hanging="720"/>
        <w:jc w:val="both"/>
        <w:rPr>
          <w:rFonts w:ascii="Calibri" w:hAnsi="Calibri"/>
          <w:rtl/>
        </w:rPr>
      </w:pPr>
      <w:r>
        <w:rPr>
          <w:rFonts w:hint="cs"/>
          <w:rtl/>
        </w:rPr>
        <w:t>13.</w:t>
      </w:r>
      <w:r>
        <w:rPr>
          <w:rFonts w:hint="cs"/>
          <w:rtl/>
        </w:rPr>
        <w:tab/>
      </w:r>
      <w:r w:rsidRPr="00B4402E">
        <w:rPr>
          <w:rFonts w:hint="cs"/>
          <w:rtl/>
        </w:rPr>
        <w:t xml:space="preserve">עוד שמעתי את אחיו של הנאשם, מר אלירן אבוטבול,  המלווה אותו בקביעות במסגרת הליך זה. האח מתאר שינוי שחל במצבו ובתפיסתו באשר לחומרת מעשיו. כמו כן טען כי משך שנתיים בהם משוחרר הנאשם בתנאים מגבילים, לא עשה שימוש בסמים. כן מבקש האח לשים דגש על המשך הליך השיקום בעניינו וסבור שענישה בדרך של עבודות שירות תסייע לו להמשך ניהול חיים תקינים. האח התחייב לסייע לנאשם ככל שידרש.  </w:t>
      </w:r>
    </w:p>
    <w:p w14:paraId="1C4DFE2B" w14:textId="77777777" w:rsidR="004669AA" w:rsidRPr="00B4402E" w:rsidRDefault="004669AA" w:rsidP="004669AA">
      <w:pPr>
        <w:pStyle w:val="ListParagraph"/>
        <w:spacing w:line="360" w:lineRule="auto"/>
        <w:ind w:left="360"/>
        <w:jc w:val="both"/>
        <w:rPr>
          <w:rFonts w:cs="David"/>
          <w:sz w:val="24"/>
          <w:szCs w:val="24"/>
        </w:rPr>
      </w:pPr>
    </w:p>
    <w:p w14:paraId="771C8698" w14:textId="77777777" w:rsidR="004669AA" w:rsidRPr="00B4402E" w:rsidRDefault="004669AA" w:rsidP="004669AA">
      <w:pPr>
        <w:spacing w:line="360" w:lineRule="auto"/>
        <w:ind w:left="720" w:hanging="720"/>
        <w:jc w:val="both"/>
        <w:rPr>
          <w:b/>
          <w:bCs/>
          <w:u w:val="single"/>
          <w:rtl/>
        </w:rPr>
      </w:pPr>
      <w:r>
        <w:rPr>
          <w:rFonts w:hint="cs"/>
          <w:rtl/>
        </w:rPr>
        <w:t>14.</w:t>
      </w:r>
      <w:r>
        <w:rPr>
          <w:rFonts w:hint="cs"/>
          <w:rtl/>
        </w:rPr>
        <w:tab/>
      </w:r>
      <w:r w:rsidRPr="00B4402E">
        <w:rPr>
          <w:rFonts w:hint="cs"/>
          <w:rtl/>
        </w:rPr>
        <w:t xml:space="preserve">הנאשם בדברו האחרון, טען כי לפני האירוע הנוכחי ניהל אורח חיים נורמטיבי, וכי היו לו מעט בעיות במהלך שירותו הצבאי שדרדרו אותו לשימוש בסמים. עוד מציין שבמהלך השנתיים בהם נתון בתנאים מגבילים, עבר שינוי ואין הוא עושה עוד שימוש בסמים. הנאשם מבקש שייגזר עליו עונש בדרך של עבודות שירות, שכן כך תהיה לו אפשרות לנהל סדר יום נורמלי.  </w:t>
      </w:r>
    </w:p>
    <w:p w14:paraId="1C64604B" w14:textId="77777777" w:rsidR="004669AA" w:rsidRPr="00B4402E" w:rsidRDefault="004669AA" w:rsidP="004669AA">
      <w:pPr>
        <w:pStyle w:val="ListParagraph"/>
        <w:spacing w:line="360" w:lineRule="auto"/>
        <w:ind w:left="360"/>
        <w:jc w:val="both"/>
        <w:rPr>
          <w:rFonts w:cs="David"/>
          <w:b/>
          <w:bCs/>
          <w:sz w:val="24"/>
          <w:szCs w:val="24"/>
          <w:u w:val="single"/>
        </w:rPr>
      </w:pPr>
    </w:p>
    <w:p w14:paraId="51CEE673" w14:textId="77777777" w:rsidR="004669AA" w:rsidRPr="00B4402E" w:rsidRDefault="004669AA" w:rsidP="004669AA">
      <w:pPr>
        <w:spacing w:line="360" w:lineRule="auto"/>
        <w:rPr>
          <w:b/>
          <w:bCs/>
          <w:u w:val="single"/>
          <w:rtl/>
        </w:rPr>
      </w:pPr>
      <w:r w:rsidRPr="00B4402E">
        <w:rPr>
          <w:rFonts w:ascii="Calibri" w:hAnsi="Calibri" w:hint="cs"/>
          <w:b/>
          <w:bCs/>
          <w:u w:val="single"/>
          <w:rtl/>
        </w:rPr>
        <w:t>דיון והכרעה</w:t>
      </w:r>
    </w:p>
    <w:p w14:paraId="096BB561" w14:textId="77777777" w:rsidR="004669AA" w:rsidRPr="00B4402E" w:rsidRDefault="004669AA" w:rsidP="004669AA">
      <w:pPr>
        <w:spacing w:line="360" w:lineRule="auto"/>
        <w:jc w:val="both"/>
        <w:rPr>
          <w:rFonts w:ascii="Calibri" w:hAnsi="Calibri"/>
        </w:rPr>
      </w:pPr>
    </w:p>
    <w:p w14:paraId="0419F76D" w14:textId="77777777" w:rsidR="004669AA" w:rsidRPr="00B4402E" w:rsidRDefault="004669AA" w:rsidP="004669AA">
      <w:pPr>
        <w:spacing w:line="360" w:lineRule="auto"/>
        <w:rPr>
          <w:rFonts w:ascii="Calibri" w:hAnsi="Calibri"/>
          <w:b/>
          <w:bCs/>
          <w:u w:val="single"/>
        </w:rPr>
      </w:pPr>
      <w:r w:rsidRPr="00B4402E">
        <w:rPr>
          <w:rFonts w:ascii="Calibri" w:hAnsi="Calibri" w:hint="cs"/>
          <w:b/>
          <w:bCs/>
          <w:u w:val="single"/>
          <w:rtl/>
        </w:rPr>
        <w:t>קביעת מתחם העונש ההולם</w:t>
      </w:r>
    </w:p>
    <w:p w14:paraId="7335B203" w14:textId="77777777" w:rsidR="004669AA" w:rsidRPr="00B4402E" w:rsidRDefault="004669AA" w:rsidP="004669AA">
      <w:pPr>
        <w:spacing w:line="360" w:lineRule="auto"/>
        <w:ind w:left="295"/>
        <w:contextualSpacing/>
        <w:rPr>
          <w:rFonts w:ascii="Calibri" w:hAnsi="Calibri"/>
          <w:b/>
          <w:bCs/>
          <w:u w:val="single"/>
        </w:rPr>
      </w:pPr>
    </w:p>
    <w:p w14:paraId="6DFB1DBD" w14:textId="77777777" w:rsidR="004669AA" w:rsidRPr="00B4402E" w:rsidRDefault="004669AA" w:rsidP="004669AA">
      <w:pPr>
        <w:spacing w:after="160" w:line="360" w:lineRule="auto"/>
        <w:ind w:left="720" w:hanging="720"/>
        <w:contextualSpacing/>
        <w:jc w:val="both"/>
        <w:rPr>
          <w:rFonts w:ascii="Arial" w:hAnsi="Arial"/>
          <w:rtl/>
        </w:rPr>
      </w:pPr>
      <w:r>
        <w:rPr>
          <w:rFonts w:ascii="Calibri" w:hAnsi="Calibri" w:hint="cs"/>
          <w:rtl/>
        </w:rPr>
        <w:t>15.</w:t>
      </w:r>
      <w:r>
        <w:rPr>
          <w:rFonts w:ascii="Calibri" w:hAnsi="Calibri" w:hint="cs"/>
          <w:rtl/>
        </w:rPr>
        <w:tab/>
      </w:r>
      <w:r w:rsidRPr="00B4402E">
        <w:rPr>
          <w:rFonts w:ascii="Calibri" w:hAnsi="Calibri" w:hint="cs"/>
          <w:rtl/>
        </w:rPr>
        <w:t xml:space="preserve">תיקון 113 קובע כי על בית המשפט לגזור את הדין בהתאם לעקרון ההלימה, שהוא העיקרון העומד בראש קביעת מתחם העונש, </w:t>
      </w:r>
      <w:r w:rsidRPr="00B4402E">
        <w:rPr>
          <w:rFonts w:ascii="Calibri" w:hAnsi="Calibri" w:hint="cs"/>
          <w:u w:val="single"/>
          <w:rtl/>
        </w:rPr>
        <w:t>(</w:t>
      </w:r>
      <w:hyperlink r:id="rId19" w:history="1">
        <w:r w:rsidR="00CE6616" w:rsidRPr="00CE6616">
          <w:rPr>
            <w:rFonts w:ascii="Calibri" w:hAnsi="Calibri" w:hint="eastAsia"/>
            <w:color w:val="0000FF"/>
            <w:u w:val="single"/>
            <w:rtl/>
          </w:rPr>
          <w:t>סעיף</w:t>
        </w:r>
        <w:r w:rsidR="00CE6616" w:rsidRPr="00CE6616">
          <w:rPr>
            <w:rFonts w:ascii="Calibri" w:hAnsi="Calibri"/>
            <w:color w:val="0000FF"/>
            <w:u w:val="single"/>
            <w:rtl/>
          </w:rPr>
          <w:t xml:space="preserve"> 40</w:t>
        </w:r>
        <w:r w:rsidR="00CE6616" w:rsidRPr="00CE6616">
          <w:rPr>
            <w:rFonts w:ascii="Calibri" w:hAnsi="Calibri" w:hint="eastAsia"/>
            <w:color w:val="0000FF"/>
            <w:u w:val="single"/>
            <w:rtl/>
          </w:rPr>
          <w:t>ג</w:t>
        </w:r>
        <w:r w:rsidR="00CE6616" w:rsidRPr="00CE6616">
          <w:rPr>
            <w:rFonts w:ascii="Calibri" w:hAnsi="Calibri"/>
            <w:color w:val="0000FF"/>
            <w:u w:val="single"/>
            <w:rtl/>
          </w:rPr>
          <w:t>(</w:t>
        </w:r>
        <w:r w:rsidR="00CE6616" w:rsidRPr="00CE6616">
          <w:rPr>
            <w:rFonts w:ascii="Calibri" w:hAnsi="Calibri" w:hint="eastAsia"/>
            <w:color w:val="0000FF"/>
            <w:u w:val="single"/>
            <w:rtl/>
          </w:rPr>
          <w:t>א</w:t>
        </w:r>
        <w:r w:rsidR="00CE6616" w:rsidRPr="00CE6616">
          <w:rPr>
            <w:rFonts w:ascii="Calibri" w:hAnsi="Calibri"/>
            <w:color w:val="0000FF"/>
            <w:u w:val="single"/>
            <w:rtl/>
          </w:rPr>
          <w:t>)</w:t>
        </w:r>
      </w:hyperlink>
      <w:r w:rsidRPr="00B4402E">
        <w:rPr>
          <w:rFonts w:ascii="Calibri" w:hAnsi="Calibri" w:hint="cs"/>
          <w:u w:val="single"/>
          <w:rtl/>
        </w:rPr>
        <w:t xml:space="preserve"> ל</w:t>
      </w:r>
      <w:hyperlink r:id="rId20" w:history="1">
        <w:r w:rsidR="00FF3870" w:rsidRPr="00FF3870">
          <w:rPr>
            <w:rFonts w:ascii="Calibri" w:hAnsi="Calibri" w:hint="eastAsia"/>
            <w:color w:val="0000FF"/>
            <w:u w:val="single"/>
            <w:rtl/>
          </w:rPr>
          <w:t>חוק</w:t>
        </w:r>
        <w:r w:rsidR="00FF3870" w:rsidRPr="00FF3870">
          <w:rPr>
            <w:rFonts w:ascii="Calibri" w:hAnsi="Calibri"/>
            <w:color w:val="0000FF"/>
            <w:u w:val="single"/>
            <w:rtl/>
          </w:rPr>
          <w:t xml:space="preserve"> </w:t>
        </w:r>
        <w:r w:rsidR="00FF3870" w:rsidRPr="00FF3870">
          <w:rPr>
            <w:rFonts w:ascii="Calibri" w:hAnsi="Calibri" w:hint="eastAsia"/>
            <w:color w:val="0000FF"/>
            <w:u w:val="single"/>
            <w:rtl/>
          </w:rPr>
          <w:t>העונשין</w:t>
        </w:r>
      </w:hyperlink>
      <w:r w:rsidRPr="00B4402E">
        <w:rPr>
          <w:rFonts w:ascii="Calibri" w:hAnsi="Calibri" w:hint="cs"/>
          <w:u w:val="single"/>
          <w:rtl/>
        </w:rPr>
        <w:t>, התשל"ז – 1977</w:t>
      </w:r>
      <w:r w:rsidRPr="00B4402E">
        <w:rPr>
          <w:rFonts w:ascii="Calibri" w:hAnsi="Calibri" w:hint="cs"/>
          <w:rtl/>
        </w:rPr>
        <w:t>. (להלן:</w:t>
      </w:r>
      <w:r>
        <w:rPr>
          <w:rFonts w:ascii="Calibri" w:hAnsi="Calibri" w:hint="cs"/>
          <w:rtl/>
        </w:rPr>
        <w:t xml:space="preserve"> </w:t>
      </w:r>
      <w:r w:rsidRPr="00B4402E">
        <w:rPr>
          <w:rFonts w:ascii="Calibri" w:hAnsi="Calibri" w:hint="cs"/>
          <w:rtl/>
        </w:rPr>
        <w:t>"החוק")), לפיו בעת גזירת עונשו של נאשם על בית המשפט לקבוע, את מתחם העונש ההולם את המעשים בגינם הורשע הנאשם, להתחשב בערך החברתי שנפגע מביצוע העבירה ובמידת הפגיעה בו, במדיניות הענישה הנוהגת ובנסיבות הקשורות בביצוע העבירה. בתוך מתחם העונש ההולם יגזור בית המשפט את העונש המתאים לנאשם, בהתחשב בנסיבות המקרה הספציפי.</w:t>
      </w:r>
    </w:p>
    <w:p w14:paraId="55B0D737" w14:textId="77777777" w:rsidR="004669AA" w:rsidRPr="00B4402E" w:rsidRDefault="004669AA" w:rsidP="004669AA">
      <w:pPr>
        <w:spacing w:line="360" w:lineRule="auto"/>
        <w:jc w:val="both"/>
        <w:rPr>
          <w:rFonts w:ascii="Arial" w:hAnsi="Arial"/>
        </w:rPr>
      </w:pPr>
      <w:r w:rsidRPr="00B4402E">
        <w:rPr>
          <w:rFonts w:ascii="Arial" w:hAnsi="Arial"/>
        </w:rPr>
        <w:t xml:space="preserve"> </w:t>
      </w:r>
    </w:p>
    <w:p w14:paraId="7C3D470C" w14:textId="77777777" w:rsidR="004669AA" w:rsidRPr="00B4402E" w:rsidRDefault="004669AA" w:rsidP="004669AA">
      <w:pPr>
        <w:spacing w:line="360" w:lineRule="auto"/>
        <w:ind w:left="720" w:hanging="720"/>
        <w:jc w:val="both"/>
        <w:rPr>
          <w:lang w:eastAsia="he-IL"/>
        </w:rPr>
      </w:pPr>
      <w:r>
        <w:rPr>
          <w:rFonts w:hint="cs"/>
          <w:rtl/>
          <w:lang w:eastAsia="he-IL"/>
        </w:rPr>
        <w:t>16.</w:t>
      </w:r>
      <w:r>
        <w:rPr>
          <w:rFonts w:hint="cs"/>
          <w:rtl/>
          <w:lang w:eastAsia="he-IL"/>
        </w:rPr>
        <w:tab/>
      </w:r>
      <w:r w:rsidRPr="00B4402E">
        <w:rPr>
          <w:rFonts w:hint="cs"/>
          <w:rtl/>
          <w:lang w:eastAsia="he-IL"/>
        </w:rPr>
        <w:t xml:space="preserve">הערך החברתי המוגן העומד בבסיס העבירות המיוחסות לנאשם, ואשר נפגע כתוצאה מביצוען, הינו בראש ובראשונה בריאות הגוף והנפש של הציבור ובכלל זה גם בריאות הגוף והנפש של הנאשם עצמו, לצד ההגנה על שלום הציבור והסיכון מפני ביצוע עבירות פליליות, ומפני הנזקים החברתיים הישירים והעקיפים, אשר נגרמים כתוצאה מעבירות המתבצעות על ידי עבריינים על רקע של שימוש בסמים מסוכנים.  </w:t>
      </w:r>
    </w:p>
    <w:p w14:paraId="55DB910B" w14:textId="77777777" w:rsidR="004669AA" w:rsidRPr="00B4402E" w:rsidRDefault="004669AA" w:rsidP="004669AA">
      <w:pPr>
        <w:pStyle w:val="ListParagraph"/>
        <w:ind w:left="295"/>
        <w:rPr>
          <w:rFonts w:ascii="Times New Roman" w:hAnsi="Times New Roman" w:cs="David"/>
          <w:sz w:val="24"/>
          <w:szCs w:val="24"/>
          <w:lang w:eastAsia="he-IL"/>
        </w:rPr>
      </w:pPr>
    </w:p>
    <w:p w14:paraId="63582C3C" w14:textId="77777777" w:rsidR="004669AA" w:rsidRPr="00B4402E" w:rsidRDefault="004669AA" w:rsidP="004669AA">
      <w:pPr>
        <w:spacing w:line="360" w:lineRule="auto"/>
        <w:ind w:left="720" w:hanging="720"/>
        <w:contextualSpacing/>
        <w:jc w:val="both"/>
        <w:rPr>
          <w:rFonts w:ascii="Arial" w:hAnsi="Arial"/>
          <w:rtl/>
        </w:rPr>
      </w:pPr>
      <w:r>
        <w:rPr>
          <w:rFonts w:ascii="Calibri" w:hAnsi="Calibri" w:hint="cs"/>
          <w:rtl/>
        </w:rPr>
        <w:t>17.</w:t>
      </w:r>
      <w:r>
        <w:rPr>
          <w:rFonts w:ascii="Calibri" w:hAnsi="Calibri" w:hint="cs"/>
          <w:rtl/>
        </w:rPr>
        <w:tab/>
      </w:r>
      <w:r w:rsidRPr="00B4402E">
        <w:rPr>
          <w:rFonts w:ascii="Calibri" w:hAnsi="Calibri" w:hint="cs"/>
          <w:rtl/>
        </w:rPr>
        <w:t>מידת הפגיעה בערך החברתי המוגן המונח בבסיס עבירת גידול סמים בתנאי מעבדה והכנתם, חמורה. במקרה שלפנינו המדובר בנאשם שעל רקע שימוש בסמים, נמצאה בדירתו כמות גדולה של סמים, העולה על הכמות לצריכה עצמית, לרבות כלים ועזרים לגידול סם. פוטנציאל הנזק בעבירות כגון דא ברור ומוחשי, שכן השימוש בסמים גורר, מלבד הפגיעה החמורה בצרכני הסם עצמם, נזקים נלווים כגון ביצוע עבירות רכוש ואלימות על ידי צרכנים, לשם השגת המימון לרכישת הסם.</w:t>
      </w:r>
    </w:p>
    <w:p w14:paraId="48A5E073" w14:textId="77777777" w:rsidR="004669AA" w:rsidRPr="00B4402E" w:rsidRDefault="004669AA" w:rsidP="004669AA">
      <w:pPr>
        <w:pStyle w:val="ListParagraph"/>
        <w:ind w:left="295"/>
        <w:rPr>
          <w:rFonts w:ascii="Arial" w:hAnsi="Arial" w:cs="David"/>
          <w:sz w:val="24"/>
          <w:szCs w:val="24"/>
        </w:rPr>
      </w:pPr>
    </w:p>
    <w:p w14:paraId="1EA06FC6" w14:textId="77777777" w:rsidR="004669AA" w:rsidRPr="00B4402E" w:rsidRDefault="004669AA" w:rsidP="004669AA">
      <w:pPr>
        <w:pStyle w:val="ruller4"/>
        <w:ind w:left="720" w:hanging="720"/>
        <w:rPr>
          <w:rFonts w:cs="David"/>
          <w:b/>
          <w:bCs/>
          <w:sz w:val="24"/>
          <w:szCs w:val="24"/>
          <w:rtl/>
        </w:rPr>
      </w:pPr>
      <w:r>
        <w:rPr>
          <w:rFonts w:ascii="Times New Roman" w:hAnsi="Times New Roman" w:cs="David" w:hint="cs"/>
          <w:sz w:val="24"/>
          <w:szCs w:val="24"/>
          <w:rtl/>
        </w:rPr>
        <w:t>18.</w:t>
      </w:r>
      <w:r>
        <w:rPr>
          <w:rFonts w:ascii="Times New Roman" w:hAnsi="Times New Roman" w:cs="David" w:hint="cs"/>
          <w:sz w:val="24"/>
          <w:szCs w:val="24"/>
          <w:rtl/>
        </w:rPr>
        <w:tab/>
      </w:r>
      <w:r w:rsidRPr="00B4402E">
        <w:rPr>
          <w:rFonts w:ascii="Times New Roman" w:hAnsi="Times New Roman" w:cs="David" w:hint="cs"/>
          <w:sz w:val="24"/>
          <w:szCs w:val="24"/>
          <w:rtl/>
        </w:rPr>
        <w:t xml:space="preserve">בתי המשפט שבו ועמדו על חשיבות המאבק בעבירות הסמים. כמו כן הודגש הפסול שבעבירות השימוש בסמים והשלכותיו הקשות על גופו ונפשו של המשתמש, ולפי כך נקבע כי הענישה אמורה לשקף את הצורך במיגור תופעה זו. ראו </w:t>
      </w:r>
      <w:hyperlink r:id="rId21" w:history="1">
        <w:r w:rsidR="00FF3870" w:rsidRPr="00FF3870">
          <w:rPr>
            <w:rFonts w:ascii="Times New Roman" w:hAnsi="Times New Roman" w:cs="David"/>
            <w:color w:val="0000FF"/>
            <w:sz w:val="24"/>
            <w:szCs w:val="24"/>
            <w:u w:val="single"/>
            <w:rtl/>
          </w:rPr>
          <w:t>ע"פ 6029/03</w:t>
        </w:r>
      </w:hyperlink>
      <w:r w:rsidRPr="00B4402E">
        <w:rPr>
          <w:rFonts w:ascii="Times New Roman" w:hAnsi="Times New Roman" w:cs="David" w:hint="cs"/>
          <w:b/>
          <w:bCs/>
          <w:sz w:val="24"/>
          <w:szCs w:val="24"/>
          <w:rtl/>
        </w:rPr>
        <w:t xml:space="preserve"> מדינת ישראל נ' שמאי </w:t>
      </w:r>
      <w:r w:rsidRPr="00B4402E">
        <w:rPr>
          <w:rFonts w:ascii="Times New Roman" w:hAnsi="Times New Roman" w:cs="David" w:hint="cs"/>
          <w:sz w:val="24"/>
          <w:szCs w:val="24"/>
          <w:rtl/>
        </w:rPr>
        <w:t>(9.2.2004)</w:t>
      </w:r>
      <w:r w:rsidRPr="00B4402E">
        <w:rPr>
          <w:rFonts w:ascii="Times New Roman" w:hAnsi="Times New Roman" w:cs="David" w:hint="cs"/>
          <w:b/>
          <w:bCs/>
          <w:sz w:val="24"/>
          <w:szCs w:val="24"/>
          <w:rtl/>
        </w:rPr>
        <w:t>, מפי כב' השופט מ' חשין</w:t>
      </w:r>
      <w:r w:rsidRPr="00B4402E">
        <w:rPr>
          <w:rFonts w:ascii="Times New Roman" w:hAnsi="Times New Roman" w:cs="David" w:hint="cs"/>
          <w:sz w:val="24"/>
          <w:szCs w:val="24"/>
          <w:rtl/>
        </w:rPr>
        <w:t>, שם הודגש כי יש להילחם מלחמת חורמה קשה וארוכה, בעברייני הסמים המחזיקים, הסוחרים והמפיצים</w:t>
      </w:r>
      <w:r w:rsidRPr="00B4402E">
        <w:rPr>
          <w:rFonts w:ascii="Times New Roman" w:hAnsi="Times New Roman" w:cs="David" w:hint="cs"/>
          <w:b/>
          <w:bCs/>
          <w:sz w:val="24"/>
          <w:szCs w:val="24"/>
          <w:rtl/>
        </w:rPr>
        <w:t xml:space="preserve">. </w:t>
      </w:r>
    </w:p>
    <w:p w14:paraId="0BECCA29" w14:textId="77777777" w:rsidR="004669AA" w:rsidRPr="00B4402E" w:rsidRDefault="004669AA" w:rsidP="004669AA">
      <w:pPr>
        <w:pStyle w:val="ruller4"/>
        <w:ind w:left="360"/>
        <w:rPr>
          <w:rFonts w:cs="David"/>
          <w:b/>
          <w:bCs/>
          <w:sz w:val="24"/>
          <w:szCs w:val="24"/>
        </w:rPr>
      </w:pPr>
    </w:p>
    <w:p w14:paraId="16144876" w14:textId="77777777" w:rsidR="004669AA" w:rsidRPr="00B4402E" w:rsidRDefault="004669AA" w:rsidP="004669AA">
      <w:pPr>
        <w:pStyle w:val="ruller4"/>
        <w:ind w:left="720" w:hanging="720"/>
        <w:rPr>
          <w:rFonts w:cs="David"/>
          <w:sz w:val="24"/>
          <w:szCs w:val="24"/>
        </w:rPr>
      </w:pPr>
      <w:r>
        <w:rPr>
          <w:rFonts w:ascii="Times New Roman" w:hAnsi="Times New Roman" w:cs="David" w:hint="cs"/>
          <w:sz w:val="24"/>
          <w:szCs w:val="24"/>
          <w:rtl/>
        </w:rPr>
        <w:t>19.</w:t>
      </w:r>
      <w:r>
        <w:rPr>
          <w:rFonts w:ascii="Times New Roman" w:hAnsi="Times New Roman" w:cs="David" w:hint="cs"/>
          <w:sz w:val="24"/>
          <w:szCs w:val="24"/>
          <w:rtl/>
        </w:rPr>
        <w:tab/>
      </w:r>
      <w:r w:rsidRPr="00B4402E">
        <w:rPr>
          <w:rFonts w:ascii="Times New Roman" w:hAnsi="Times New Roman" w:cs="David" w:hint="cs"/>
          <w:sz w:val="24"/>
          <w:szCs w:val="24"/>
          <w:rtl/>
        </w:rPr>
        <w:t xml:space="preserve">סם הקנביס נחשב סם "קל", אולם נקבע לגביו כי </w:t>
      </w:r>
      <w:r w:rsidRPr="00B4402E">
        <w:rPr>
          <w:rFonts w:cs="David" w:hint="cs"/>
          <w:sz w:val="24"/>
          <w:szCs w:val="24"/>
          <w:rtl/>
        </w:rPr>
        <w:t>"</w:t>
      </w:r>
      <w:r w:rsidRPr="00B4402E">
        <w:rPr>
          <w:rFonts w:cs="David" w:hint="cs"/>
          <w:b/>
          <w:bCs/>
          <w:sz w:val="24"/>
          <w:szCs w:val="24"/>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r w:rsidRPr="00B4402E">
        <w:rPr>
          <w:rFonts w:cs="David" w:hint="cs"/>
          <w:sz w:val="24"/>
          <w:szCs w:val="24"/>
          <w:rtl/>
        </w:rPr>
        <w:t>(</w:t>
      </w:r>
      <w:hyperlink r:id="rId22" w:history="1">
        <w:r w:rsidR="00FF3870" w:rsidRPr="00FF3870">
          <w:rPr>
            <w:rFonts w:cs="David"/>
            <w:color w:val="0000FF"/>
            <w:sz w:val="24"/>
            <w:szCs w:val="24"/>
            <w:u w:val="single"/>
            <w:rtl/>
          </w:rPr>
          <w:t>ע"פ 2000/06</w:t>
        </w:r>
      </w:hyperlink>
      <w:r w:rsidRPr="00B4402E">
        <w:rPr>
          <w:rFonts w:cs="David" w:hint="cs"/>
          <w:b/>
          <w:bCs/>
          <w:sz w:val="24"/>
          <w:szCs w:val="24"/>
          <w:rtl/>
        </w:rPr>
        <w:t xml:space="preserve"> מדינת ישראל נ' ויצמן </w:t>
      </w:r>
      <w:r w:rsidRPr="00B4402E">
        <w:rPr>
          <w:rFonts w:cs="David" w:hint="cs"/>
          <w:sz w:val="24"/>
          <w:szCs w:val="24"/>
          <w:rtl/>
        </w:rPr>
        <w:t>(20.7.06)).</w:t>
      </w:r>
    </w:p>
    <w:p w14:paraId="232C87DF" w14:textId="77777777" w:rsidR="004669AA" w:rsidRPr="00B4402E" w:rsidRDefault="004669AA" w:rsidP="004669AA">
      <w:pPr>
        <w:pStyle w:val="ruller4"/>
        <w:ind w:left="360"/>
        <w:rPr>
          <w:rFonts w:cs="David"/>
          <w:b/>
          <w:bCs/>
          <w:sz w:val="24"/>
          <w:szCs w:val="24"/>
        </w:rPr>
      </w:pPr>
      <w:r w:rsidRPr="00B4402E">
        <w:rPr>
          <w:rFonts w:cs="David" w:hint="cs"/>
          <w:b/>
          <w:bCs/>
          <w:sz w:val="24"/>
          <w:szCs w:val="24"/>
          <w:rtl/>
        </w:rPr>
        <w:t xml:space="preserve"> </w:t>
      </w:r>
    </w:p>
    <w:p w14:paraId="7E6547E8" w14:textId="77777777" w:rsidR="004669AA" w:rsidRPr="00B4402E" w:rsidRDefault="004669AA" w:rsidP="004669AA">
      <w:pPr>
        <w:spacing w:line="360" w:lineRule="auto"/>
        <w:ind w:left="720" w:hanging="720"/>
        <w:jc w:val="both"/>
        <w:rPr>
          <w:rtl/>
        </w:rPr>
      </w:pPr>
      <w:r>
        <w:rPr>
          <w:rFonts w:hint="cs"/>
          <w:rtl/>
        </w:rPr>
        <w:t>20.</w:t>
      </w:r>
      <w:r>
        <w:rPr>
          <w:rFonts w:hint="cs"/>
          <w:rtl/>
        </w:rPr>
        <w:tab/>
      </w:r>
      <w:r w:rsidRPr="00B4402E">
        <w:rPr>
          <w:rFonts w:hint="cs"/>
          <w:rtl/>
        </w:rPr>
        <w:t xml:space="preserve">מעיון בפסיקה עולה כי מדיניות הענישה הראויה, בגין העבירות בהן הורשע הנאשם, היא מחמירה ומחייבת הטלת עונשים מרתיעים, על מנת לבטא את הצורך במאבק בנגע הסמים ובהשפעותיו השליליות על החברה. העונשים משתנים בהתאם לנסיבות כל מקרה ומקרה, בשים לב לכמות הסם שנתפסה ולסוגו. מתווה הענישה בעבירות של גידול סם בכמות המיוחסת לנאשם נעה בין חמישה חודשי מאסר שניתנים לריצוי בדרך של עבודות שירות לשנת מאסר, לצד ענישה נלווית מכבידה. </w:t>
      </w:r>
    </w:p>
    <w:p w14:paraId="0E847D94" w14:textId="77777777" w:rsidR="004669AA" w:rsidRPr="00B4402E" w:rsidRDefault="004669AA" w:rsidP="004669AA">
      <w:pPr>
        <w:pStyle w:val="ListParagraph"/>
        <w:spacing w:line="360" w:lineRule="auto"/>
        <w:ind w:left="360"/>
        <w:jc w:val="both"/>
        <w:rPr>
          <w:rFonts w:cs="David"/>
          <w:sz w:val="24"/>
          <w:szCs w:val="24"/>
        </w:rPr>
      </w:pPr>
    </w:p>
    <w:p w14:paraId="0BD258A2" w14:textId="77777777" w:rsidR="004669AA" w:rsidRPr="00B4402E" w:rsidRDefault="004669AA" w:rsidP="004669AA">
      <w:pPr>
        <w:spacing w:line="360" w:lineRule="auto"/>
        <w:ind w:left="780" w:hanging="780"/>
        <w:jc w:val="both"/>
      </w:pPr>
      <w:r>
        <w:rPr>
          <w:rFonts w:hint="cs"/>
          <w:rtl/>
        </w:rPr>
        <w:t>21.</w:t>
      </w:r>
      <w:r>
        <w:rPr>
          <w:rtl/>
        </w:rPr>
        <w:tab/>
      </w:r>
      <w:r w:rsidRPr="00B4402E">
        <w:rPr>
          <w:rFonts w:hint="cs"/>
          <w:rtl/>
        </w:rPr>
        <w:t xml:space="preserve">הפסיקה בעבירות אלו מגוונת </w:t>
      </w:r>
      <w:r>
        <w:rPr>
          <w:rFonts w:hint="cs"/>
          <w:rtl/>
        </w:rPr>
        <w:t>ו</w:t>
      </w:r>
      <w:r w:rsidRPr="00B4402E">
        <w:rPr>
          <w:rFonts w:hint="cs"/>
          <w:rtl/>
        </w:rPr>
        <w:t xml:space="preserve">רבה. אציין לדוגמא את </w:t>
      </w:r>
      <w:hyperlink r:id="rId23" w:history="1">
        <w:r w:rsidR="00FF3870" w:rsidRPr="00FF3870">
          <w:rPr>
            <w:color w:val="0000FF"/>
            <w:u w:val="single"/>
            <w:rtl/>
          </w:rPr>
          <w:t>רע"פ 7819/15</w:t>
        </w:r>
      </w:hyperlink>
      <w:r w:rsidRPr="00B4402E">
        <w:rPr>
          <w:rFonts w:hint="cs"/>
          <w:u w:val="single"/>
          <w:rtl/>
        </w:rPr>
        <w:t xml:space="preserve"> </w:t>
      </w:r>
      <w:r w:rsidRPr="00B4402E">
        <w:rPr>
          <w:rFonts w:hint="cs"/>
          <w:b/>
          <w:bCs/>
          <w:rtl/>
        </w:rPr>
        <w:t>עופר סלור נ' מדינת ישראל</w:t>
      </w:r>
      <w:r w:rsidRPr="00B4402E">
        <w:rPr>
          <w:rFonts w:hint="cs"/>
          <w:rtl/>
        </w:rPr>
        <w:t xml:space="preserve"> (22.5.2016), שם הורשע הנאשם בהחזקת סמים שלא לצריכה עצמית ובגידול סמים במשקל 7,440 ק"ג נטו וציוד רב. נקבע מתחם ענישה הנע בין </w:t>
      </w:r>
      <w:r w:rsidRPr="00B4402E">
        <w:rPr>
          <w:rFonts w:hint="cs"/>
          <w:b/>
          <w:bCs/>
          <w:rtl/>
        </w:rPr>
        <w:t>7  ל – 18 חודשי</w:t>
      </w:r>
      <w:r w:rsidRPr="00B4402E">
        <w:rPr>
          <w:rFonts w:hint="cs"/>
          <w:rtl/>
        </w:rPr>
        <w:t xml:space="preserve"> </w:t>
      </w:r>
      <w:r w:rsidRPr="00B4402E">
        <w:rPr>
          <w:rFonts w:hint="cs"/>
          <w:b/>
          <w:bCs/>
          <w:rtl/>
        </w:rPr>
        <w:t>מאסר לריצוי בפועל</w:t>
      </w:r>
      <w:r w:rsidRPr="00B4402E">
        <w:rPr>
          <w:rFonts w:hint="cs"/>
          <w:rtl/>
        </w:rPr>
        <w:t>, ונגזרו על הנאשם 9 חודשי מאסר לריצוי בפועל, ערעורו נדחה;</w:t>
      </w:r>
      <w:r w:rsidRPr="00B4402E">
        <w:rPr>
          <w:rFonts w:hint="cs"/>
        </w:rPr>
        <w:t xml:space="preserve"> </w:t>
      </w:r>
      <w:r w:rsidRPr="00B4402E">
        <w:rPr>
          <w:rFonts w:hint="cs"/>
          <w:rtl/>
        </w:rPr>
        <w:t>ב</w:t>
      </w:r>
      <w:hyperlink r:id="rId24" w:history="1">
        <w:r w:rsidR="00FF3870" w:rsidRPr="00FF3870">
          <w:rPr>
            <w:color w:val="0000FF"/>
            <w:u w:val="single"/>
            <w:rtl/>
          </w:rPr>
          <w:t>רע"פ 314/16</w:t>
        </w:r>
      </w:hyperlink>
      <w:r w:rsidRPr="00B4402E">
        <w:rPr>
          <w:rFonts w:hint="cs"/>
          <w:rtl/>
        </w:rPr>
        <w:t xml:space="preserve"> </w:t>
      </w:r>
      <w:r w:rsidRPr="00B4402E">
        <w:rPr>
          <w:rFonts w:hint="cs"/>
          <w:b/>
          <w:bCs/>
          <w:rtl/>
        </w:rPr>
        <w:t>בן צבי נ' מדינת ישראל</w:t>
      </w:r>
      <w:r w:rsidRPr="00B4402E">
        <w:rPr>
          <w:rFonts w:hint="cs"/>
          <w:rtl/>
        </w:rPr>
        <w:t xml:space="preserve"> (22.2.2016), הורשע המבקש בגידול סם בכמות של 2.5 ק"ג במעבדה. על הנאשם נגזרו ששה חודשי עבודות שירות בשל הליך שיקומי שעבר. עונשו הוחמר במסגרת ערעור ל-10 חודשי מאסר בפועל, בית משפט העליון דחה רשות ערעור בעניינו; </w:t>
      </w:r>
      <w:hyperlink r:id="rId25" w:history="1">
        <w:r w:rsidR="00FF3870" w:rsidRPr="00FF3870">
          <w:rPr>
            <w:color w:val="0000FF"/>
            <w:u w:val="single"/>
            <w:rtl/>
          </w:rPr>
          <w:t>רע"פ 7005/14</w:t>
        </w:r>
      </w:hyperlink>
      <w:r w:rsidRPr="00B4402E">
        <w:rPr>
          <w:rFonts w:hint="cs"/>
          <w:rtl/>
        </w:rPr>
        <w:t xml:space="preserve"> </w:t>
      </w:r>
      <w:r w:rsidRPr="00B4402E">
        <w:rPr>
          <w:rFonts w:hint="cs"/>
          <w:b/>
          <w:bCs/>
          <w:rtl/>
        </w:rPr>
        <w:t xml:space="preserve">עידן נ' מדינת ישראל </w:t>
      </w:r>
      <w:r w:rsidRPr="00B4402E">
        <w:rPr>
          <w:rFonts w:hint="cs"/>
          <w:rtl/>
        </w:rPr>
        <w:t xml:space="preserve">(30.11.14), נאשם אשר גידל במעבדה בביתו סם מסוג קנבוס במשקל כולל 2,721 ק"ג. הסמים שימשו את הנאשם לצרכים רפואיים.  נקבע מתחם ענישה הנע בין </w:t>
      </w:r>
      <w:r w:rsidRPr="00B4402E">
        <w:rPr>
          <w:rFonts w:hint="cs"/>
          <w:b/>
          <w:bCs/>
          <w:rtl/>
        </w:rPr>
        <w:t>6 ל - 12 חודשי מאסר לריצוי בפועל</w:t>
      </w:r>
      <w:r w:rsidRPr="00B4402E">
        <w:rPr>
          <w:rFonts w:hint="cs"/>
          <w:rtl/>
        </w:rPr>
        <w:t xml:space="preserve">, והנאשם נדון ל- 10 חודשי מאסר בפועל. ערעור שהגיש נדחה; </w:t>
      </w:r>
      <w:hyperlink r:id="rId26" w:history="1">
        <w:r w:rsidR="00FF3870" w:rsidRPr="00FF3870">
          <w:rPr>
            <w:color w:val="0000FF"/>
            <w:u w:val="single"/>
            <w:rtl/>
          </w:rPr>
          <w:t>רע"פ 6987/13</w:t>
        </w:r>
      </w:hyperlink>
      <w:r w:rsidRPr="00B4402E">
        <w:rPr>
          <w:rFonts w:hint="cs"/>
          <w:rtl/>
        </w:rPr>
        <w:t xml:space="preserve"> </w:t>
      </w:r>
      <w:r w:rsidRPr="00B4402E">
        <w:rPr>
          <w:rFonts w:hint="cs"/>
          <w:b/>
          <w:bCs/>
          <w:rtl/>
        </w:rPr>
        <w:t>אברמוב נ' מדינת ישראל</w:t>
      </w:r>
      <w:r w:rsidRPr="00B4402E">
        <w:rPr>
          <w:rFonts w:hint="cs"/>
          <w:rtl/>
        </w:rPr>
        <w:t xml:space="preserve"> (21.10.13), הנאשם הורשע בעבירות של גידול שתילי קנבוס במשקל 10 ק"ג נטו, ונהיגה בזמן פסילה. נקבע מתחם ענישה הנע </w:t>
      </w:r>
      <w:r w:rsidRPr="00B4402E">
        <w:rPr>
          <w:rFonts w:hint="cs"/>
          <w:b/>
          <w:bCs/>
          <w:rtl/>
        </w:rPr>
        <w:t>בין 6 חודשי מאסר בעבודות שירות לבין 24 חודשי מאסר בפועל</w:t>
      </w:r>
      <w:r w:rsidRPr="00B4402E">
        <w:rPr>
          <w:rFonts w:hint="cs"/>
          <w:rtl/>
        </w:rPr>
        <w:t>. בהתחשב בעבר פלילי נקי של הנאשם, ובהודאתו, נדון לשנת מאסר.</w:t>
      </w:r>
    </w:p>
    <w:p w14:paraId="1F9EE55E" w14:textId="77777777" w:rsidR="004669AA" w:rsidRPr="00B4402E" w:rsidRDefault="004669AA" w:rsidP="004669AA">
      <w:pPr>
        <w:pStyle w:val="ListParagraph"/>
        <w:spacing w:line="360" w:lineRule="auto"/>
        <w:jc w:val="both"/>
        <w:rPr>
          <w:rFonts w:cs="David"/>
          <w:sz w:val="24"/>
          <w:szCs w:val="24"/>
          <w:rtl/>
        </w:rPr>
      </w:pPr>
    </w:p>
    <w:p w14:paraId="2DD20890" w14:textId="77777777" w:rsidR="004669AA" w:rsidRPr="00B4402E" w:rsidRDefault="004669AA" w:rsidP="004669AA">
      <w:pPr>
        <w:pStyle w:val="ListParagraph"/>
        <w:ind w:left="295"/>
        <w:rPr>
          <w:rFonts w:cs="David"/>
          <w:sz w:val="24"/>
          <w:szCs w:val="24"/>
        </w:rPr>
      </w:pPr>
    </w:p>
    <w:p w14:paraId="6D9F45BD" w14:textId="77777777" w:rsidR="004669AA" w:rsidRPr="00B4402E" w:rsidRDefault="004669AA" w:rsidP="004669AA">
      <w:pPr>
        <w:spacing w:line="360" w:lineRule="auto"/>
        <w:rPr>
          <w:rFonts w:ascii="Calibri" w:hAnsi="Calibri"/>
          <w:b/>
          <w:bCs/>
          <w:u w:val="single"/>
          <w:rtl/>
        </w:rPr>
      </w:pPr>
      <w:r w:rsidRPr="00B4402E">
        <w:rPr>
          <w:rFonts w:ascii="Calibri" w:hAnsi="Calibri" w:hint="cs"/>
          <w:b/>
          <w:bCs/>
          <w:u w:val="single"/>
          <w:rtl/>
        </w:rPr>
        <w:t>נסיבות הקשורות בביצוע העבירה (</w:t>
      </w:r>
      <w:hyperlink r:id="rId27" w:history="1">
        <w:r w:rsidR="00CE6616" w:rsidRPr="00CE6616">
          <w:rPr>
            <w:rFonts w:ascii="Calibri" w:hAnsi="Calibri" w:hint="eastAsia"/>
            <w:b/>
            <w:bCs/>
            <w:color w:val="0000FF"/>
            <w:u w:val="single"/>
            <w:rtl/>
          </w:rPr>
          <w:t>סעיף</w:t>
        </w:r>
        <w:r w:rsidR="00CE6616" w:rsidRPr="00CE6616">
          <w:rPr>
            <w:rFonts w:ascii="Calibri" w:hAnsi="Calibri"/>
            <w:b/>
            <w:bCs/>
            <w:color w:val="0000FF"/>
            <w:u w:val="single"/>
            <w:rtl/>
          </w:rPr>
          <w:t xml:space="preserve"> 40</w:t>
        </w:r>
        <w:r w:rsidR="00CE6616" w:rsidRPr="00CE6616">
          <w:rPr>
            <w:rFonts w:ascii="Calibri" w:hAnsi="Calibri" w:hint="eastAsia"/>
            <w:b/>
            <w:bCs/>
            <w:color w:val="0000FF"/>
            <w:u w:val="single"/>
            <w:rtl/>
          </w:rPr>
          <w:t>י</w:t>
        </w:r>
        <w:r w:rsidR="00CE6616" w:rsidRPr="00CE6616">
          <w:rPr>
            <w:rFonts w:ascii="Calibri" w:hAnsi="Calibri"/>
            <w:b/>
            <w:bCs/>
            <w:color w:val="0000FF"/>
            <w:u w:val="single"/>
            <w:rtl/>
          </w:rPr>
          <w:t>'</w:t>
        </w:r>
      </w:hyperlink>
      <w:r w:rsidRPr="00B4402E">
        <w:rPr>
          <w:rFonts w:ascii="Calibri" w:hAnsi="Calibri" w:hint="cs"/>
          <w:b/>
          <w:bCs/>
          <w:u w:val="single"/>
          <w:rtl/>
        </w:rPr>
        <w:t xml:space="preserve"> ל</w:t>
      </w:r>
      <w:hyperlink r:id="rId28" w:history="1">
        <w:r w:rsidR="00FF3870" w:rsidRPr="00FF3870">
          <w:rPr>
            <w:rFonts w:ascii="Calibri" w:hAnsi="Calibri" w:hint="eastAsia"/>
            <w:b/>
            <w:bCs/>
            <w:color w:val="0000FF"/>
            <w:u w:val="single"/>
            <w:rtl/>
          </w:rPr>
          <w:t>חוק</w:t>
        </w:r>
        <w:r w:rsidR="00FF3870" w:rsidRPr="00FF3870">
          <w:rPr>
            <w:rFonts w:ascii="Calibri" w:hAnsi="Calibri"/>
            <w:b/>
            <w:bCs/>
            <w:color w:val="0000FF"/>
            <w:u w:val="single"/>
            <w:rtl/>
          </w:rPr>
          <w:t xml:space="preserve"> </w:t>
        </w:r>
        <w:r w:rsidR="00FF3870" w:rsidRPr="00FF3870">
          <w:rPr>
            <w:rFonts w:ascii="Calibri" w:hAnsi="Calibri" w:hint="eastAsia"/>
            <w:b/>
            <w:bCs/>
            <w:color w:val="0000FF"/>
            <w:u w:val="single"/>
            <w:rtl/>
          </w:rPr>
          <w:t>העונשין</w:t>
        </w:r>
      </w:hyperlink>
      <w:r w:rsidRPr="00B4402E">
        <w:rPr>
          <w:rFonts w:ascii="Calibri" w:hAnsi="Calibri" w:hint="cs"/>
          <w:b/>
          <w:bCs/>
          <w:u w:val="single"/>
          <w:rtl/>
        </w:rPr>
        <w:t>);</w:t>
      </w:r>
    </w:p>
    <w:p w14:paraId="1243642A" w14:textId="77777777" w:rsidR="004669AA" w:rsidRPr="00B4402E" w:rsidRDefault="004669AA" w:rsidP="004669AA">
      <w:pPr>
        <w:spacing w:line="360" w:lineRule="auto"/>
        <w:rPr>
          <w:rFonts w:ascii="Calibri" w:hAnsi="Calibri"/>
          <w:b/>
          <w:bCs/>
          <w:u w:val="single"/>
          <w:rtl/>
        </w:rPr>
      </w:pPr>
    </w:p>
    <w:p w14:paraId="3E666684" w14:textId="77777777" w:rsidR="004669AA" w:rsidRPr="00B4402E" w:rsidRDefault="004669AA" w:rsidP="004669AA">
      <w:pPr>
        <w:spacing w:after="160" w:line="360" w:lineRule="auto"/>
        <w:ind w:left="720" w:hanging="720"/>
        <w:contextualSpacing/>
        <w:jc w:val="both"/>
        <w:rPr>
          <w:rFonts w:ascii="Calibri" w:hAnsi="Calibri"/>
          <w:rtl/>
        </w:rPr>
      </w:pPr>
      <w:r>
        <w:rPr>
          <w:rFonts w:ascii="Calibri" w:hAnsi="Calibri" w:hint="cs"/>
          <w:rtl/>
        </w:rPr>
        <w:t>22.</w:t>
      </w:r>
      <w:r>
        <w:rPr>
          <w:rFonts w:ascii="Calibri" w:hAnsi="Calibri" w:hint="cs"/>
          <w:rtl/>
        </w:rPr>
        <w:tab/>
      </w:r>
      <w:r w:rsidRPr="00B4402E">
        <w:rPr>
          <w:rFonts w:ascii="Calibri" w:hAnsi="Calibri" w:hint="cs"/>
          <w:rtl/>
        </w:rPr>
        <w:t xml:space="preserve">בבחינת נסיבות ביצוע העבירה יש ליתן משקל לכך שהנאשם גידל סמים בהיקף נכבד במעבדה שהקים בדירתו. בהתאם לאימרתו נמשך גידול הסם בדירתו כארבעה חודשים, תקופת זמן לא מבוטלת. </w:t>
      </w:r>
    </w:p>
    <w:p w14:paraId="7977A5D3" w14:textId="77777777" w:rsidR="004669AA" w:rsidRPr="00B4402E" w:rsidRDefault="004669AA" w:rsidP="004669AA">
      <w:pPr>
        <w:spacing w:line="360" w:lineRule="auto"/>
        <w:ind w:left="360"/>
        <w:contextualSpacing/>
        <w:jc w:val="both"/>
        <w:rPr>
          <w:rFonts w:ascii="Calibri" w:hAnsi="Calibri"/>
        </w:rPr>
      </w:pPr>
    </w:p>
    <w:p w14:paraId="7E21819D" w14:textId="77777777" w:rsidR="004669AA" w:rsidRPr="00B4402E" w:rsidRDefault="004669AA" w:rsidP="004669AA">
      <w:pPr>
        <w:spacing w:after="160" w:line="360" w:lineRule="auto"/>
        <w:ind w:left="720" w:hanging="720"/>
        <w:contextualSpacing/>
        <w:jc w:val="both"/>
        <w:rPr>
          <w:rFonts w:ascii="Calibri" w:hAnsi="Calibri"/>
        </w:rPr>
      </w:pPr>
      <w:r>
        <w:rPr>
          <w:rFonts w:ascii="Calibri" w:hAnsi="Calibri" w:hint="cs"/>
          <w:rtl/>
        </w:rPr>
        <w:t>23.</w:t>
      </w:r>
      <w:r>
        <w:rPr>
          <w:rFonts w:ascii="Calibri" w:hAnsi="Calibri" w:hint="cs"/>
          <w:rtl/>
        </w:rPr>
        <w:tab/>
      </w:r>
      <w:r w:rsidRPr="00B4402E">
        <w:rPr>
          <w:rFonts w:ascii="Calibri" w:hAnsi="Calibri" w:hint="cs"/>
          <w:rtl/>
        </w:rPr>
        <w:t xml:space="preserve">הסוגיה המרכזית שעלתה במסגרת זו, אינה נוגעת דווקא לגידול הסם אלא לסיבות שעמדו מאחורי התנהלות הנאשם והובילו לחשיפת פעילותו העבריינית. בעניין זה התגלעה מחלוקת בין הצדדים. בעוד המאשימה סבורה שמצבו הנפשי המעורער כתוצאה משימוש יתר בסמים גרם לחשיפת מעשיו ללא תכנון מראש, טוענת ההגנה, כי הנאשם היה מודע היטב למעשיו, חש נקיפות מצפון ופעל באופן מכוון לגילוי מעבדת הסמים בדירתו לצורך תפיסתו ע"י רשויות החוק. ההגנה סבורה שיש במעשיו כדי לשמש נסיבות מקילות המשליכות על מידת עונשו. </w:t>
      </w:r>
    </w:p>
    <w:p w14:paraId="66766EE0" w14:textId="77777777" w:rsidR="004669AA" w:rsidRDefault="004669AA" w:rsidP="004669AA">
      <w:pPr>
        <w:spacing w:line="360" w:lineRule="auto"/>
        <w:jc w:val="both"/>
        <w:rPr>
          <w:rtl/>
        </w:rPr>
      </w:pPr>
    </w:p>
    <w:p w14:paraId="6888778A" w14:textId="77777777" w:rsidR="004669AA" w:rsidRPr="00FB0329" w:rsidRDefault="004669AA" w:rsidP="004669AA">
      <w:pPr>
        <w:spacing w:line="360" w:lineRule="auto"/>
        <w:ind w:left="720" w:hanging="720"/>
        <w:jc w:val="both"/>
        <w:rPr>
          <w:rFonts w:ascii="Calibri" w:hAnsi="Calibri"/>
          <w:b/>
          <w:bCs/>
        </w:rPr>
      </w:pPr>
      <w:r>
        <w:rPr>
          <w:rFonts w:hint="cs"/>
          <w:rtl/>
        </w:rPr>
        <w:t>24.</w:t>
      </w:r>
      <w:r>
        <w:rPr>
          <w:rFonts w:hint="cs"/>
          <w:rtl/>
        </w:rPr>
        <w:tab/>
      </w:r>
      <w:r w:rsidRPr="00FB0329">
        <w:rPr>
          <w:rFonts w:hint="cs"/>
          <w:rtl/>
        </w:rPr>
        <w:t>בהתאם</w:t>
      </w:r>
      <w:r w:rsidRPr="00FB0329">
        <w:rPr>
          <w:rFonts w:hint="cs"/>
          <w:b/>
          <w:bCs/>
          <w:rtl/>
        </w:rPr>
        <w:t xml:space="preserve"> </w:t>
      </w:r>
      <w:r w:rsidRPr="00FB0329">
        <w:rPr>
          <w:rFonts w:hint="cs"/>
          <w:b/>
          <w:bCs/>
          <w:u w:val="single"/>
          <w:rtl/>
        </w:rPr>
        <w:t xml:space="preserve">לסעיף </w:t>
      </w:r>
      <w:hyperlink r:id="rId29" w:history="1">
        <w:r w:rsidR="00CE6616" w:rsidRPr="00CE6616">
          <w:rPr>
            <w:b/>
            <w:bCs/>
            <w:color w:val="0000FF"/>
            <w:u w:val="single"/>
            <w:rtl/>
          </w:rPr>
          <w:t>40י (ג)</w:t>
        </w:r>
      </w:hyperlink>
      <w:r w:rsidRPr="00FB0329">
        <w:rPr>
          <w:rFonts w:hint="cs"/>
          <w:b/>
          <w:bCs/>
          <w:rtl/>
        </w:rPr>
        <w:t xml:space="preserve"> </w:t>
      </w:r>
      <w:r w:rsidRPr="00FB0329">
        <w:rPr>
          <w:rFonts w:hint="cs"/>
          <w:rtl/>
        </w:rPr>
        <w:t>נקבע כי</w:t>
      </w:r>
      <w:r w:rsidRPr="00FB0329">
        <w:rPr>
          <w:rFonts w:hint="cs"/>
          <w:b/>
          <w:bCs/>
          <w:rtl/>
        </w:rPr>
        <w:t xml:space="preserve"> "בית המשפט יקבע כי התקיימה נסיבה מחמירה הקשורה בביצוע העבירה אם היא הוכחה מעבר לספק סביר; </w:t>
      </w:r>
      <w:r w:rsidRPr="00FB0329">
        <w:rPr>
          <w:rFonts w:hint="cs"/>
          <w:b/>
          <w:bCs/>
          <w:u w:val="single"/>
          <w:rtl/>
        </w:rPr>
        <w:t>בית המשפט יקבע כי התקיימה נסיבה מקילה הקשורה בביצוע העבירה אם היא הוכחה ברמת ההוכחה הנדרשת במשפט האזרחי</w:t>
      </w:r>
      <w:r w:rsidRPr="00FB0329">
        <w:rPr>
          <w:rFonts w:hint="cs"/>
          <w:b/>
          <w:bCs/>
          <w:rtl/>
        </w:rPr>
        <w:t xml:space="preserve">". </w:t>
      </w:r>
      <w:r w:rsidRPr="00FB0329">
        <w:rPr>
          <w:rFonts w:hint="cs"/>
          <w:rtl/>
        </w:rPr>
        <w:t xml:space="preserve">ברגיל, קובע המחוקק, שסוגיות אלו תבחנה בשלב בירור האשמה. במקרים חריגים, כמו זה שלפניי, בשלב הטיעונים לעונש. </w:t>
      </w:r>
    </w:p>
    <w:p w14:paraId="565EE61D" w14:textId="77777777" w:rsidR="004669AA" w:rsidRPr="00B4402E" w:rsidRDefault="004669AA" w:rsidP="004669AA">
      <w:pPr>
        <w:pStyle w:val="ListParagraph"/>
        <w:spacing w:line="360" w:lineRule="auto"/>
        <w:ind w:left="360"/>
        <w:jc w:val="both"/>
        <w:rPr>
          <w:rFonts w:cs="David"/>
          <w:b/>
          <w:bCs/>
          <w:sz w:val="24"/>
          <w:szCs w:val="24"/>
        </w:rPr>
      </w:pPr>
    </w:p>
    <w:p w14:paraId="11AEBF7A" w14:textId="77777777" w:rsidR="004669AA" w:rsidRPr="00B4402E" w:rsidRDefault="004669AA" w:rsidP="004669AA">
      <w:pPr>
        <w:spacing w:after="160" w:line="360" w:lineRule="auto"/>
        <w:ind w:left="720" w:hanging="720"/>
        <w:contextualSpacing/>
        <w:jc w:val="both"/>
        <w:rPr>
          <w:rFonts w:ascii="Calibri" w:hAnsi="Calibri"/>
          <w:rtl/>
        </w:rPr>
      </w:pPr>
      <w:r>
        <w:rPr>
          <w:rFonts w:ascii="Calibri" w:hAnsi="Calibri" w:hint="cs"/>
          <w:rtl/>
        </w:rPr>
        <w:t>25.</w:t>
      </w:r>
      <w:r>
        <w:rPr>
          <w:rFonts w:ascii="Calibri" w:hAnsi="Calibri" w:hint="cs"/>
          <w:rtl/>
        </w:rPr>
        <w:tab/>
      </w:r>
      <w:r w:rsidRPr="00B4402E">
        <w:rPr>
          <w:rFonts w:ascii="Calibri" w:hAnsi="Calibri" w:hint="cs"/>
          <w:rtl/>
        </w:rPr>
        <w:t xml:space="preserve">לצורך בחינת סוגיה זו שמעתי טיעוני הצדדים ועיינתי בחומר הראיות שהוגש בהסכמה. דומה שאין חולק, כי מעשיו של הנאשם הם והם בלבד </w:t>
      </w:r>
      <w:r>
        <w:rPr>
          <w:rFonts w:ascii="Calibri" w:hAnsi="Calibri" w:hint="cs"/>
          <w:rtl/>
        </w:rPr>
        <w:t>ש</w:t>
      </w:r>
      <w:r w:rsidRPr="00B4402E">
        <w:rPr>
          <w:rFonts w:ascii="Calibri" w:hAnsi="Calibri" w:hint="cs"/>
          <w:rtl/>
        </w:rPr>
        <w:t xml:space="preserve">הובילו לגילוי מעבדת הסמים בדירתו. למשטרה לא היה על כך כל מידע מקדים. עוד מסכימים הצדדים שהנאשם היה אותה עת תחת השפעת סמים ומצבו הנפשי לא היה יציב. עם זאת, מצאתי שההגנה הצליחה לשכנע בטיעוניה ברף ההוכחה הנדרש של מאזן הסתברויות, כי הנאשם היה מודע היטב למעשיו, פעל בדרכים שונות: השלכת חפצים, פנייה לשכנים ומסירת כספו לשכניו, וזאת מתוך רצון להפסיק את פעילותו העבריינית ומתוך הבנה מלאה שמעשיו יובילו לחשיפת מעבדת הסמים שבדירתו ע"י רשויות החוק. מעשים אלו יש בהם כדי להקל עם נסיבות ביצוע העבירה ע"י הנאשם וייזקפו לטובתו. </w:t>
      </w:r>
    </w:p>
    <w:p w14:paraId="77F47618" w14:textId="77777777" w:rsidR="004669AA" w:rsidRDefault="004669AA" w:rsidP="004669AA">
      <w:pPr>
        <w:spacing w:line="360" w:lineRule="auto"/>
        <w:jc w:val="both"/>
        <w:rPr>
          <w:rtl/>
        </w:rPr>
      </w:pPr>
    </w:p>
    <w:p w14:paraId="7863818F" w14:textId="77777777" w:rsidR="004669AA" w:rsidRPr="00FB0329" w:rsidRDefault="004669AA" w:rsidP="004669AA">
      <w:pPr>
        <w:spacing w:line="360" w:lineRule="auto"/>
        <w:ind w:left="720" w:hanging="720"/>
        <w:jc w:val="both"/>
        <w:rPr>
          <w:rFonts w:ascii="Calibri" w:hAnsi="Calibri"/>
        </w:rPr>
      </w:pPr>
      <w:r>
        <w:rPr>
          <w:rFonts w:hint="cs"/>
          <w:rtl/>
        </w:rPr>
        <w:t>26.</w:t>
      </w:r>
      <w:r>
        <w:rPr>
          <w:rFonts w:hint="cs"/>
          <w:rtl/>
        </w:rPr>
        <w:tab/>
      </w:r>
      <w:r w:rsidRPr="00FB0329">
        <w:rPr>
          <w:rFonts w:hint="cs"/>
          <w:rtl/>
        </w:rPr>
        <w:t>קביעתי זו נשענת, בין היתר, על דוחות הפעולה של השוטרים שהגיעו למקום ושוחחו עם הנאשם (ת/6 ו-ת/7), וכן על עדויות השכנים (ת/3). עוד מצאתי חיזוק בשיתוף הפעולה המלא של הנאשם עם רשויות החוק, החל מדבריו לשוטרים שהגיעו למקום וכלה באמרותיו והודאתו במיוחס לו. הנאשם הודה שחזר בתשובה, קיבל סימנים והחליט לזרוק את "הכל", כך לדבריו "</w:t>
      </w:r>
      <w:r w:rsidRPr="00FB0329">
        <w:rPr>
          <w:rFonts w:hint="cs"/>
          <w:b/>
          <w:bCs/>
          <w:rtl/>
        </w:rPr>
        <w:t>בחיים לא היו תופסים אותי, חזרתי בתשובה... כעבור כמה</w:t>
      </w:r>
      <w:r w:rsidRPr="00FB0329">
        <w:rPr>
          <w:rFonts w:hint="cs"/>
          <w:rtl/>
        </w:rPr>
        <w:t xml:space="preserve"> </w:t>
      </w:r>
      <w:r w:rsidRPr="00FB0329">
        <w:rPr>
          <w:rFonts w:hint="cs"/>
          <w:b/>
          <w:bCs/>
          <w:rtl/>
        </w:rPr>
        <w:t>ימים רגשות התחילו לצוף, סימנים מהלב, אמרתי אני זורק הכל... לא היו תופסים אותי, לא מכרתי מזה</w:t>
      </w:r>
      <w:r w:rsidRPr="00FB0329">
        <w:rPr>
          <w:rFonts w:hint="cs"/>
          <w:rtl/>
        </w:rPr>
        <w:t>" (ת/2 ש' 50-52), ועוד הוסיף, "</w:t>
      </w:r>
      <w:r w:rsidRPr="00FB0329">
        <w:rPr>
          <w:rFonts w:hint="cs"/>
          <w:b/>
          <w:bCs/>
          <w:rtl/>
        </w:rPr>
        <w:t>זרקתי לא היה אכפת לי להיתפס, להפך בשביל השם"</w:t>
      </w:r>
      <w:r w:rsidRPr="00FB0329">
        <w:rPr>
          <w:rFonts w:hint="cs"/>
          <w:rtl/>
        </w:rPr>
        <w:t xml:space="preserve"> (ת/2 ש' 57). כן עולה מחקירתו כי זרק את הציוד שהיה מיועד למחזור גידול נוסף הכולל שקי אדמה ועוד. עוד ראו: ראה ת/2 ש' 67-77 ו-ש' 227-229. עוד אציין שמאז קרות האירועים שלהם אפקט מטלטל ומרתיע על הנאשם, נמנע מלבצע עבירות נוספות ונמצא נקי מסם. </w:t>
      </w:r>
    </w:p>
    <w:p w14:paraId="1C6E3B1F" w14:textId="77777777" w:rsidR="004669AA" w:rsidRPr="00B4402E" w:rsidRDefault="004669AA" w:rsidP="004669AA">
      <w:pPr>
        <w:pStyle w:val="ListParagraph"/>
        <w:ind w:left="295"/>
        <w:rPr>
          <w:rFonts w:cs="David"/>
          <w:sz w:val="24"/>
          <w:szCs w:val="24"/>
        </w:rPr>
      </w:pPr>
    </w:p>
    <w:p w14:paraId="4BDEC497" w14:textId="77777777" w:rsidR="004669AA" w:rsidRPr="00FB0329" w:rsidRDefault="004669AA" w:rsidP="004669AA">
      <w:pPr>
        <w:spacing w:line="360" w:lineRule="auto"/>
        <w:ind w:left="720" w:hanging="720"/>
        <w:jc w:val="both"/>
        <w:rPr>
          <w:rtl/>
        </w:rPr>
      </w:pPr>
      <w:r>
        <w:rPr>
          <w:rFonts w:hint="cs"/>
          <w:rtl/>
        </w:rPr>
        <w:t>27.</w:t>
      </w:r>
      <w:r>
        <w:rPr>
          <w:rFonts w:hint="cs"/>
          <w:rtl/>
        </w:rPr>
        <w:tab/>
      </w:r>
      <w:r w:rsidRPr="00FB0329">
        <w:rPr>
          <w:rFonts w:hint="cs"/>
          <w:rtl/>
        </w:rPr>
        <w:t xml:space="preserve">כן ניתן לתמוך דברים אלה, בדוח הפעולה של השוטרת נעמה שמחי (ת/7), שממנו עולה כי היא נקראה למקום בשל דיווח השכנים, על אדם אשר דופק על דלתותיהם. וכשהגיעה למקום מצאה את הנאשם במצב מבולבל כשלטענתו ביקש למסור כסף למישהו שהציל את אביו, וכך נמסר לה גם מהשכנים כי שמעו שהנאשם זורק דברים מהחלון. </w:t>
      </w:r>
    </w:p>
    <w:p w14:paraId="3C28B4C4" w14:textId="77777777" w:rsidR="004669AA" w:rsidRPr="00B4402E" w:rsidRDefault="004669AA" w:rsidP="004669AA">
      <w:pPr>
        <w:pStyle w:val="ListParagraph"/>
        <w:ind w:left="295"/>
        <w:rPr>
          <w:rFonts w:cs="David"/>
          <w:sz w:val="24"/>
          <w:szCs w:val="24"/>
        </w:rPr>
      </w:pPr>
    </w:p>
    <w:p w14:paraId="00AB89DD" w14:textId="77777777" w:rsidR="004669AA" w:rsidRPr="00FB0329" w:rsidRDefault="004669AA" w:rsidP="004669AA">
      <w:pPr>
        <w:spacing w:line="360" w:lineRule="auto"/>
        <w:ind w:left="720" w:hanging="720"/>
        <w:jc w:val="both"/>
        <w:rPr>
          <w:rtl/>
        </w:rPr>
      </w:pPr>
      <w:r>
        <w:rPr>
          <w:rFonts w:hint="cs"/>
          <w:rtl/>
        </w:rPr>
        <w:t>28.</w:t>
      </w:r>
      <w:r>
        <w:rPr>
          <w:rFonts w:hint="cs"/>
          <w:rtl/>
        </w:rPr>
        <w:tab/>
      </w:r>
      <w:r w:rsidRPr="00FB0329">
        <w:rPr>
          <w:rFonts w:hint="cs"/>
          <w:rtl/>
        </w:rPr>
        <w:t>אכן מעידים השוטרים והשכנים שהנאשם היה מבולבל ונראה במצב נפשי לא יציב. עם זאת, במהלך כל האירוע היה מודע למעשיו ולהשלכותיהם. חיזוק לכך ניתן למצוא במסקנות הפסיכיאטר המחוזי. מדובר בהתנהגות חריגה, אשר איננה אופיינית למי שמעוניין להמשיך ולקיים עסק יצרני של גידול סמים מסוכנים לשם הפצתם, או לשם שימוש עצמי.</w:t>
      </w:r>
    </w:p>
    <w:p w14:paraId="4FD4A1C6" w14:textId="77777777" w:rsidR="004669AA" w:rsidRPr="00B4402E" w:rsidRDefault="004669AA" w:rsidP="004669AA">
      <w:pPr>
        <w:pStyle w:val="ListParagraph"/>
        <w:ind w:left="295"/>
        <w:rPr>
          <w:rFonts w:cs="David"/>
          <w:sz w:val="24"/>
          <w:szCs w:val="24"/>
        </w:rPr>
      </w:pPr>
    </w:p>
    <w:p w14:paraId="2B4F1581" w14:textId="77777777" w:rsidR="004669AA" w:rsidRPr="00B4402E" w:rsidRDefault="004669AA" w:rsidP="004669AA">
      <w:pPr>
        <w:spacing w:after="160" w:line="360" w:lineRule="auto"/>
        <w:ind w:left="720" w:hanging="720"/>
        <w:contextualSpacing/>
        <w:jc w:val="both"/>
        <w:rPr>
          <w:rFonts w:ascii="Calibri" w:hAnsi="Calibri"/>
          <w:rtl/>
        </w:rPr>
      </w:pPr>
      <w:r>
        <w:rPr>
          <w:rFonts w:ascii="Calibri" w:hAnsi="Calibri" w:hint="cs"/>
          <w:rtl/>
        </w:rPr>
        <w:t>29.</w:t>
      </w:r>
      <w:r>
        <w:rPr>
          <w:rFonts w:ascii="Calibri" w:hAnsi="Calibri" w:hint="cs"/>
          <w:rtl/>
        </w:rPr>
        <w:tab/>
      </w:r>
      <w:r w:rsidRPr="00B4402E">
        <w:rPr>
          <w:rFonts w:ascii="Calibri" w:hAnsi="Calibri" w:hint="cs"/>
          <w:rtl/>
        </w:rPr>
        <w:t xml:space="preserve">ודוק, אין בכוחן של נסיבות אלו, מקלות ככל שתהיינה, כדי להביא לסטייה משמעותית ממתחם הענישה ההולם. כזכור, הנאשם גידל הסמים במשך מספר חודשים. מדובר במעשה המחייב תכנון והכנה לצד תחזוקה וטיפול יומיומי בשתילי הסם. אין הדבר דומה לעבירה רגעית שהנאשם במעשיו קוטע אותה באיבה. מסקנתי, איפוא, נוגעת לנסיבות חשיפת העבירה ולא לנסיבות ביצועה. </w:t>
      </w:r>
    </w:p>
    <w:p w14:paraId="13F8BC60" w14:textId="77777777" w:rsidR="004669AA" w:rsidRPr="00B4402E" w:rsidRDefault="004669AA" w:rsidP="004669AA">
      <w:pPr>
        <w:pStyle w:val="ListParagraph"/>
        <w:ind w:left="295"/>
        <w:rPr>
          <w:rFonts w:cs="David"/>
          <w:sz w:val="24"/>
          <w:szCs w:val="24"/>
        </w:rPr>
      </w:pPr>
    </w:p>
    <w:p w14:paraId="485F5F6E" w14:textId="77777777" w:rsidR="004669AA" w:rsidRPr="00FB0329" w:rsidRDefault="004669AA" w:rsidP="004669AA">
      <w:pPr>
        <w:spacing w:line="360" w:lineRule="auto"/>
        <w:ind w:left="720" w:hanging="720"/>
        <w:jc w:val="both"/>
        <w:rPr>
          <w:rtl/>
        </w:rPr>
      </w:pPr>
      <w:r>
        <w:rPr>
          <w:rFonts w:hint="cs"/>
          <w:rtl/>
        </w:rPr>
        <w:t>30.</w:t>
      </w:r>
      <w:r>
        <w:rPr>
          <w:rFonts w:hint="cs"/>
          <w:rtl/>
        </w:rPr>
        <w:tab/>
      </w:r>
      <w:r w:rsidRPr="00FB0329">
        <w:rPr>
          <w:rFonts w:hint="cs"/>
          <w:rtl/>
        </w:rPr>
        <w:t xml:space="preserve">מהנסיבות המפורטות דלעיל ובהנתן משקל הסם שאינו רב, מצאתי למקם את עונשו של הנאשם ברף התחתון עד בינוני של טווח הענישה. </w:t>
      </w:r>
    </w:p>
    <w:p w14:paraId="0DDCCD6A" w14:textId="77777777" w:rsidR="004669AA" w:rsidRPr="00B4402E" w:rsidRDefault="004669AA" w:rsidP="004669AA">
      <w:pPr>
        <w:pStyle w:val="ListParagraph"/>
        <w:spacing w:line="360" w:lineRule="auto"/>
        <w:ind w:left="360"/>
        <w:jc w:val="both"/>
        <w:rPr>
          <w:rFonts w:cs="David"/>
          <w:sz w:val="24"/>
          <w:szCs w:val="24"/>
        </w:rPr>
      </w:pPr>
    </w:p>
    <w:p w14:paraId="6AC115CD" w14:textId="77777777" w:rsidR="004669AA" w:rsidRPr="00B4402E" w:rsidRDefault="004669AA" w:rsidP="004669AA">
      <w:pPr>
        <w:spacing w:after="120" w:line="360" w:lineRule="auto"/>
        <w:rPr>
          <w:b/>
          <w:bCs/>
          <w:u w:val="single"/>
          <w:rtl/>
        </w:rPr>
      </w:pPr>
      <w:r w:rsidRPr="00B4402E">
        <w:rPr>
          <w:rFonts w:hint="cs"/>
          <w:b/>
          <w:bCs/>
          <w:u w:val="single"/>
          <w:rtl/>
        </w:rPr>
        <w:t xml:space="preserve">נסיבות שאינן קשורות בביצוע העבירה </w:t>
      </w:r>
    </w:p>
    <w:p w14:paraId="0C6E3F74" w14:textId="77777777" w:rsidR="004669AA" w:rsidRPr="00B4402E" w:rsidRDefault="004669AA" w:rsidP="004669AA">
      <w:pPr>
        <w:spacing w:after="160" w:line="360" w:lineRule="auto"/>
        <w:ind w:left="720" w:hanging="720"/>
        <w:contextualSpacing/>
        <w:jc w:val="both"/>
        <w:rPr>
          <w:rFonts w:ascii="Calibri" w:hAnsi="Calibri"/>
        </w:rPr>
      </w:pPr>
      <w:r>
        <w:rPr>
          <w:rFonts w:ascii="Calibri" w:hAnsi="Calibri" w:hint="cs"/>
          <w:rtl/>
        </w:rPr>
        <w:t>31.</w:t>
      </w:r>
      <w:r>
        <w:rPr>
          <w:rFonts w:ascii="Calibri" w:hAnsi="Calibri" w:hint="cs"/>
          <w:rtl/>
        </w:rPr>
        <w:tab/>
      </w:r>
      <w:r w:rsidRPr="00B4402E">
        <w:rPr>
          <w:rFonts w:ascii="Calibri" w:hAnsi="Calibri" w:hint="cs"/>
          <w:rtl/>
        </w:rPr>
        <w:t xml:space="preserve">בגזירת דינו של הנאשם, בגדרי מתחם העונש ההולם </w:t>
      </w:r>
      <w:r w:rsidRPr="00B4402E">
        <w:rPr>
          <w:rFonts w:hint="cs"/>
          <w:rtl/>
        </w:rPr>
        <w:t>(</w:t>
      </w:r>
      <w:hyperlink r:id="rId30" w:history="1">
        <w:r w:rsidR="00CE6616" w:rsidRPr="00CE6616">
          <w:rPr>
            <w:color w:val="0000FF"/>
            <w:u w:val="single"/>
            <w:rtl/>
          </w:rPr>
          <w:t>סעיף 40יא</w:t>
        </w:r>
      </w:hyperlink>
      <w:r w:rsidRPr="00B4402E">
        <w:rPr>
          <w:rFonts w:hint="cs"/>
          <w:rtl/>
        </w:rPr>
        <w:t xml:space="preserve"> לחוק)</w:t>
      </w:r>
      <w:r w:rsidRPr="00B4402E">
        <w:rPr>
          <w:rFonts w:ascii="Calibri" w:hAnsi="Calibri" w:hint="cs"/>
          <w:rtl/>
        </w:rPr>
        <w:t xml:space="preserve">, יש להתייחס גם לנסיבותיו האישיות של הנאשם, ובענייננו ניתן למנות מספר נתונים בעלי משקל לקולא: הנאשם בן 26 רווק, אשר לחובתו אין עבר פלילי מכביד, הודה בהזדמנות הראשונה וחסך זמן שיפוטי יקר. לנאשם נסיבות חיים מורכבות אשר הובילו אותו לביצוע העבירה, כשהיום הנאשם נקי מסמים, ונמנע ממעורבות פלילית. </w:t>
      </w:r>
    </w:p>
    <w:p w14:paraId="7C8500C8" w14:textId="77777777" w:rsidR="004669AA" w:rsidRPr="00B4402E" w:rsidRDefault="004669AA" w:rsidP="004669AA">
      <w:pPr>
        <w:spacing w:line="360" w:lineRule="auto"/>
        <w:ind w:left="360"/>
        <w:contextualSpacing/>
        <w:jc w:val="both"/>
        <w:rPr>
          <w:rFonts w:ascii="Calibri" w:hAnsi="Calibri"/>
        </w:rPr>
      </w:pPr>
    </w:p>
    <w:p w14:paraId="157BE8FA" w14:textId="77777777" w:rsidR="004669AA" w:rsidRPr="00A9148B" w:rsidRDefault="004669AA" w:rsidP="004669AA">
      <w:pPr>
        <w:spacing w:line="360" w:lineRule="auto"/>
        <w:ind w:left="720" w:hanging="720"/>
        <w:contextualSpacing/>
        <w:jc w:val="both"/>
        <w:rPr>
          <w:rFonts w:ascii="Calibri" w:eastAsia="Calibri" w:hAnsi="Calibri"/>
        </w:rPr>
      </w:pPr>
      <w:r>
        <w:rPr>
          <w:rFonts w:ascii="Calibri" w:hAnsi="Calibri" w:hint="cs"/>
          <w:rtl/>
        </w:rPr>
        <w:t>32.</w:t>
      </w:r>
      <w:r>
        <w:rPr>
          <w:rFonts w:ascii="Calibri" w:hAnsi="Calibri" w:hint="cs"/>
          <w:rtl/>
        </w:rPr>
        <w:tab/>
      </w:r>
      <w:r w:rsidRPr="00B4402E">
        <w:rPr>
          <w:rFonts w:ascii="Calibri" w:hAnsi="Calibri" w:hint="cs"/>
          <w:rtl/>
        </w:rPr>
        <w:t xml:space="preserve">הנאשם לא השכיל לנצל את ידם המושטת של הגורמים הטיפוליים. בפועל, אינו מנהל אורח </w:t>
      </w:r>
      <w:r>
        <w:rPr>
          <w:rFonts w:ascii="Calibri" w:hAnsi="Calibri" w:hint="cs"/>
          <w:rtl/>
        </w:rPr>
        <w:t xml:space="preserve">חיים </w:t>
      </w:r>
      <w:r w:rsidRPr="00B4402E">
        <w:rPr>
          <w:rFonts w:ascii="Calibri" w:hAnsi="Calibri" w:hint="cs"/>
          <w:rtl/>
        </w:rPr>
        <w:t xml:space="preserve">עצמאי וסדר יום יצרני אלא נעזר בטוב ליבם של אחיו. אינני מקלה ראש בהשפעתה החיובית של תמיכת המשפחה בנאשם. טרם מעצרו בתיק זה, התרחק ממשפחתו ומקיום מצוות. לאחר מכן, חזר לחיק משפחתו, מסייע לאביו, מנהל אורח חיים דתי וניכר כי מקשיב לאחיו וסר למרותם.  </w:t>
      </w:r>
    </w:p>
    <w:p w14:paraId="4DA57D16" w14:textId="77777777" w:rsidR="004669AA" w:rsidRPr="00B4402E" w:rsidRDefault="004669AA" w:rsidP="004669AA">
      <w:pPr>
        <w:spacing w:line="360" w:lineRule="auto"/>
        <w:ind w:left="295"/>
        <w:contextualSpacing/>
        <w:jc w:val="both"/>
      </w:pPr>
    </w:p>
    <w:p w14:paraId="60BC8CA8" w14:textId="77777777" w:rsidR="004669AA" w:rsidRPr="00B4402E" w:rsidRDefault="004669AA" w:rsidP="004669AA">
      <w:pPr>
        <w:spacing w:line="360" w:lineRule="auto"/>
        <w:contextualSpacing/>
        <w:jc w:val="both"/>
      </w:pPr>
      <w:r>
        <w:rPr>
          <w:rFonts w:hint="cs"/>
          <w:rtl/>
        </w:rPr>
        <w:t>33</w:t>
      </w:r>
      <w:r>
        <w:rPr>
          <w:rFonts w:hint="cs"/>
          <w:rtl/>
        </w:rPr>
        <w:tab/>
      </w:r>
      <w:r w:rsidRPr="00B4402E">
        <w:rPr>
          <w:rFonts w:hint="cs"/>
          <w:rtl/>
        </w:rPr>
        <w:t xml:space="preserve">עוד אתן משקל לזמן הממושך, מעל לשנה וחצי, שבו שוהה הנאשם בתנאים מגבילים. </w:t>
      </w:r>
    </w:p>
    <w:p w14:paraId="3C6CF6CD" w14:textId="77777777" w:rsidR="004669AA" w:rsidRPr="008A15AD" w:rsidRDefault="004669AA" w:rsidP="004669AA">
      <w:pPr>
        <w:spacing w:line="360" w:lineRule="auto"/>
        <w:ind w:left="295"/>
        <w:contextualSpacing/>
        <w:jc w:val="both"/>
      </w:pPr>
    </w:p>
    <w:p w14:paraId="3B44F449" w14:textId="77777777" w:rsidR="004669AA" w:rsidRPr="00B4402E" w:rsidRDefault="004669AA" w:rsidP="004669AA">
      <w:pPr>
        <w:spacing w:line="360" w:lineRule="auto"/>
        <w:ind w:left="720" w:hanging="720"/>
        <w:contextualSpacing/>
        <w:jc w:val="both"/>
      </w:pPr>
      <w:r>
        <w:rPr>
          <w:rFonts w:hint="cs"/>
          <w:rtl/>
        </w:rPr>
        <w:t>34.</w:t>
      </w:r>
      <w:r>
        <w:rPr>
          <w:rFonts w:hint="cs"/>
          <w:rtl/>
        </w:rPr>
        <w:tab/>
      </w:r>
      <w:r w:rsidRPr="00B4402E">
        <w:rPr>
          <w:rFonts w:hint="cs"/>
          <w:rtl/>
        </w:rPr>
        <w:t xml:space="preserve">עניינו של הנאשם מורכב. מחד </w:t>
      </w:r>
      <w:r>
        <w:rPr>
          <w:rFonts w:hint="cs"/>
          <w:rtl/>
        </w:rPr>
        <w:t xml:space="preserve">גיסא </w:t>
      </w:r>
      <w:r w:rsidRPr="00B4402E">
        <w:rPr>
          <w:rFonts w:hint="cs"/>
          <w:rtl/>
        </w:rPr>
        <w:t>ניצבים לחובתו</w:t>
      </w:r>
      <w:r>
        <w:rPr>
          <w:rFonts w:hint="cs"/>
          <w:rtl/>
        </w:rPr>
        <w:t xml:space="preserve"> </w:t>
      </w:r>
      <w:r w:rsidRPr="00B4402E">
        <w:rPr>
          <w:rFonts w:hint="cs"/>
          <w:rtl/>
        </w:rPr>
        <w:t>- חומרת מעשיו, העדר מוטיבציה ושיתוף פעולה חלקי בלבד עם הגורמים הטיפוליים. מאידך</w:t>
      </w:r>
      <w:r>
        <w:rPr>
          <w:rFonts w:hint="cs"/>
          <w:rtl/>
        </w:rPr>
        <w:t xml:space="preserve"> גיסא</w:t>
      </w:r>
      <w:r w:rsidRPr="00B4402E">
        <w:rPr>
          <w:rFonts w:hint="cs"/>
          <w:rtl/>
        </w:rPr>
        <w:t>, ניכר שהנאשם עשה דרך מאז מעצרו, נתמך ע"י משפחתו וחדל להשתמש בסמים. נסיבות גילוי העבירה מהווים אף הם נסיבה הפועלת לטובתו.</w:t>
      </w:r>
    </w:p>
    <w:p w14:paraId="5F5C57E1" w14:textId="77777777" w:rsidR="004669AA" w:rsidRPr="00B4402E" w:rsidRDefault="004669AA" w:rsidP="004669AA">
      <w:pPr>
        <w:spacing w:line="360" w:lineRule="auto"/>
        <w:ind w:left="295"/>
        <w:contextualSpacing/>
        <w:jc w:val="both"/>
      </w:pPr>
    </w:p>
    <w:p w14:paraId="74A437E3" w14:textId="77777777" w:rsidR="004669AA" w:rsidRPr="00B4402E" w:rsidRDefault="004669AA" w:rsidP="004669AA">
      <w:pPr>
        <w:spacing w:line="360" w:lineRule="auto"/>
        <w:ind w:left="720" w:hanging="720"/>
        <w:contextualSpacing/>
        <w:jc w:val="both"/>
      </w:pPr>
      <w:r>
        <w:rPr>
          <w:rFonts w:hint="cs"/>
          <w:rtl/>
        </w:rPr>
        <w:t>35.</w:t>
      </w:r>
      <w:r>
        <w:rPr>
          <w:rFonts w:hint="cs"/>
          <w:rtl/>
        </w:rPr>
        <w:tab/>
      </w:r>
      <w:r w:rsidRPr="00B4402E">
        <w:rPr>
          <w:rFonts w:hint="cs"/>
          <w:rtl/>
        </w:rPr>
        <w:t>שקלתי האם ניתן ליתן בנאשם אמון ולאפשר לו הזדמנות בלתי חוזרת לרצות עונש מאסר בפועל בדרך של עבודות שירות ולא במאסר ממש. הרי התנהלותו בלתי יציבה והוא אינו משולב במעגל העבודה מזה תקופה ממושכת. התנהלות זו מעלה סימני שאלה ביחס ליכולתו להתמיד בביצוע עבודות השירות.</w:t>
      </w:r>
    </w:p>
    <w:p w14:paraId="5B0107E8" w14:textId="77777777" w:rsidR="004669AA" w:rsidRPr="00B4402E" w:rsidRDefault="004669AA" w:rsidP="004669AA">
      <w:pPr>
        <w:spacing w:line="360" w:lineRule="auto"/>
        <w:ind w:left="295"/>
        <w:contextualSpacing/>
        <w:jc w:val="both"/>
      </w:pPr>
    </w:p>
    <w:p w14:paraId="519946A4" w14:textId="77777777" w:rsidR="004669AA" w:rsidRPr="00B4402E" w:rsidRDefault="004669AA" w:rsidP="004669AA">
      <w:pPr>
        <w:spacing w:line="360" w:lineRule="auto"/>
        <w:ind w:left="720" w:hanging="720"/>
        <w:contextualSpacing/>
        <w:jc w:val="both"/>
      </w:pPr>
      <w:r>
        <w:rPr>
          <w:rFonts w:hint="cs"/>
          <w:rtl/>
        </w:rPr>
        <w:t>36.</w:t>
      </w:r>
      <w:r>
        <w:rPr>
          <w:rFonts w:hint="cs"/>
          <w:rtl/>
        </w:rPr>
        <w:tab/>
      </w:r>
      <w:r w:rsidRPr="00B4402E">
        <w:rPr>
          <w:rFonts w:hint="cs"/>
          <w:rtl/>
        </w:rPr>
        <w:t>לאחר מחשבה, אני סבורה שנסיבות מעשיו ונסיבותיו של הנאשם, חלוף הזמן, תמיכת משפחתו ונקיונו מסמים, מהווים בסיס נאות להימנע משליחתו למאסר מאחורי סורג ובריח ולהסתפק בעונש מאסר בדרך של עבודות שירות לצד ענישה נלווית מכבידה. עוד שוכנעתי שהנאשם הפנים את חומרת מעשיו ולהליך המשפטי הממושך הייתה השפעה חיובית ומרתיעה על הנאשם.</w:t>
      </w:r>
    </w:p>
    <w:p w14:paraId="0037E8FC" w14:textId="77777777" w:rsidR="004669AA" w:rsidRPr="00FB0329" w:rsidRDefault="004669AA" w:rsidP="004669AA">
      <w:pPr>
        <w:spacing w:line="360" w:lineRule="auto"/>
        <w:ind w:left="295"/>
        <w:contextualSpacing/>
        <w:jc w:val="both"/>
        <w:rPr>
          <w:rtl/>
        </w:rPr>
      </w:pPr>
    </w:p>
    <w:p w14:paraId="7BF1B222" w14:textId="77777777" w:rsidR="004669AA" w:rsidRPr="00B4402E" w:rsidRDefault="004669AA" w:rsidP="004669AA">
      <w:pPr>
        <w:spacing w:line="360" w:lineRule="auto"/>
        <w:ind w:left="720" w:hanging="720"/>
        <w:contextualSpacing/>
        <w:jc w:val="both"/>
      </w:pPr>
      <w:r>
        <w:rPr>
          <w:rFonts w:hint="cs"/>
          <w:rtl/>
        </w:rPr>
        <w:t>37.</w:t>
      </w:r>
      <w:r>
        <w:rPr>
          <w:rFonts w:hint="cs"/>
          <w:rtl/>
        </w:rPr>
        <w:tab/>
      </w:r>
      <w:r w:rsidRPr="00B4402E">
        <w:rPr>
          <w:rFonts w:hint="cs"/>
          <w:rtl/>
        </w:rPr>
        <w:t>נתתי משקל בהחלטתי זו, גם לדברי הנאשם ואחיו שרואים בשילובו במסגרת יצרנית יציבה ומפוקחת</w:t>
      </w:r>
      <w:r>
        <w:rPr>
          <w:rFonts w:hint="cs"/>
          <w:rtl/>
        </w:rPr>
        <w:t xml:space="preserve"> בדמות עבודות השירות</w:t>
      </w:r>
      <w:r w:rsidRPr="00B4402E">
        <w:rPr>
          <w:rFonts w:hint="cs"/>
          <w:rtl/>
        </w:rPr>
        <w:t xml:space="preserve">, צעד חשוב שיתרום להמשך שיקומו ושילובו במעגל העבודה בהמשך. </w:t>
      </w:r>
    </w:p>
    <w:p w14:paraId="024BB11A" w14:textId="77777777" w:rsidR="004669AA" w:rsidRPr="00FB0329" w:rsidRDefault="004669AA" w:rsidP="004669AA">
      <w:pPr>
        <w:spacing w:line="360" w:lineRule="auto"/>
        <w:ind w:left="295"/>
        <w:contextualSpacing/>
        <w:jc w:val="both"/>
      </w:pPr>
    </w:p>
    <w:p w14:paraId="2CD5DFC7" w14:textId="77777777" w:rsidR="004669AA" w:rsidRPr="00B4402E" w:rsidRDefault="004669AA" w:rsidP="004669AA">
      <w:pPr>
        <w:spacing w:line="360" w:lineRule="auto"/>
        <w:ind w:left="720" w:hanging="720"/>
        <w:contextualSpacing/>
        <w:jc w:val="both"/>
      </w:pPr>
      <w:r>
        <w:rPr>
          <w:rFonts w:hint="cs"/>
          <w:rtl/>
        </w:rPr>
        <w:t>38.</w:t>
      </w:r>
      <w:r>
        <w:rPr>
          <w:rFonts w:hint="cs"/>
          <w:rtl/>
        </w:rPr>
        <w:tab/>
      </w:r>
      <w:r w:rsidRPr="00B4402E">
        <w:rPr>
          <w:rFonts w:hint="cs"/>
          <w:rtl/>
        </w:rPr>
        <w:t xml:space="preserve">מאחר שלא הוצגה לי כל אינדיקציה שהנאשם סחר בסמים שגידל, אינני סבורה שנופל בגדר המקרים שבהם יש מקום להכריז על הנאשמים כסוחרי סמים. בהסכמת ב"כ הנאשם יחולט הכסף שנתפס בסך 8550 ₪, לטובת המדינה. </w:t>
      </w:r>
    </w:p>
    <w:p w14:paraId="23F6AB04" w14:textId="77777777" w:rsidR="004669AA" w:rsidRPr="00B4402E" w:rsidRDefault="004669AA" w:rsidP="004669AA">
      <w:pPr>
        <w:pStyle w:val="ListParagraph"/>
        <w:spacing w:after="160" w:line="360" w:lineRule="auto"/>
        <w:ind w:left="360"/>
        <w:jc w:val="both"/>
        <w:rPr>
          <w:rFonts w:cs="David"/>
          <w:sz w:val="24"/>
          <w:szCs w:val="24"/>
          <w:rtl/>
        </w:rPr>
      </w:pPr>
    </w:p>
    <w:p w14:paraId="490B7B24" w14:textId="77777777" w:rsidR="004669AA" w:rsidRPr="00B4402E" w:rsidRDefault="004669AA" w:rsidP="004669AA">
      <w:pPr>
        <w:spacing w:line="360" w:lineRule="auto"/>
        <w:ind w:left="360"/>
        <w:contextualSpacing/>
        <w:jc w:val="both"/>
        <w:rPr>
          <w:b/>
          <w:bCs/>
          <w:u w:val="single"/>
        </w:rPr>
      </w:pPr>
      <w:r w:rsidRPr="00B4402E">
        <w:rPr>
          <w:rFonts w:hint="cs"/>
          <w:b/>
          <w:bCs/>
          <w:u w:val="single"/>
          <w:rtl/>
        </w:rPr>
        <w:t>סוף דבר</w:t>
      </w:r>
    </w:p>
    <w:p w14:paraId="587FE0E1" w14:textId="77777777" w:rsidR="004669AA" w:rsidRPr="00B4402E" w:rsidRDefault="004669AA" w:rsidP="004669AA">
      <w:pPr>
        <w:spacing w:after="160" w:line="360" w:lineRule="auto"/>
        <w:ind w:left="655" w:hanging="655"/>
        <w:contextualSpacing/>
        <w:jc w:val="both"/>
        <w:rPr>
          <w:rFonts w:ascii="Calibri" w:hAnsi="Calibri"/>
          <w:b/>
          <w:bCs/>
          <w:rtl/>
        </w:rPr>
      </w:pPr>
      <w:r>
        <w:rPr>
          <w:rFonts w:ascii="Calibri" w:hAnsi="Calibri" w:hint="cs"/>
          <w:rtl/>
        </w:rPr>
        <w:t>39.</w:t>
      </w:r>
      <w:r>
        <w:rPr>
          <w:rFonts w:ascii="Calibri" w:hAnsi="Calibri" w:hint="cs"/>
          <w:rtl/>
        </w:rPr>
        <w:tab/>
      </w:r>
      <w:r w:rsidRPr="00B4402E">
        <w:rPr>
          <w:rFonts w:ascii="Calibri" w:hAnsi="Calibri" w:hint="cs"/>
          <w:rtl/>
        </w:rPr>
        <w:t xml:space="preserve">לאור כל האמור ולאחר ששקלתי את מכלול השיקולים, </w:t>
      </w:r>
      <w:r w:rsidRPr="00B4402E">
        <w:rPr>
          <w:rFonts w:ascii="Calibri" w:hAnsi="Calibri" w:hint="cs"/>
          <w:b/>
          <w:bCs/>
          <w:rtl/>
        </w:rPr>
        <w:t>הנני גוזרת על הנאשם את העונשים כדלקמן:</w:t>
      </w:r>
    </w:p>
    <w:p w14:paraId="3CE2F88C" w14:textId="77777777" w:rsidR="004669AA" w:rsidRPr="00B4402E" w:rsidRDefault="004669AA" w:rsidP="004669AA">
      <w:pPr>
        <w:spacing w:line="360" w:lineRule="auto"/>
        <w:ind w:left="360"/>
        <w:contextualSpacing/>
        <w:jc w:val="both"/>
        <w:rPr>
          <w:rFonts w:ascii="Calibri" w:hAnsi="Calibri"/>
          <w:b/>
          <w:bCs/>
        </w:rPr>
      </w:pPr>
    </w:p>
    <w:p w14:paraId="6A65E068" w14:textId="77777777" w:rsidR="004669AA" w:rsidRPr="00B4402E" w:rsidRDefault="004669AA" w:rsidP="004669AA">
      <w:pPr>
        <w:numPr>
          <w:ilvl w:val="0"/>
          <w:numId w:val="2"/>
        </w:numPr>
        <w:spacing w:after="160" w:line="480" w:lineRule="auto"/>
        <w:ind w:left="1015"/>
        <w:contextualSpacing/>
        <w:jc w:val="both"/>
      </w:pPr>
      <w:r>
        <w:rPr>
          <w:rFonts w:ascii="Calibri" w:hAnsi="Calibri" w:hint="cs"/>
          <w:rtl/>
        </w:rPr>
        <w:t>6</w:t>
      </w:r>
      <w:r w:rsidRPr="00B4402E">
        <w:rPr>
          <w:rFonts w:ascii="Calibri" w:hAnsi="Calibri" w:hint="cs"/>
          <w:rtl/>
        </w:rPr>
        <w:t xml:space="preserve"> חודשי מאסר בפועל אשר ירוצו בעבודות שירות החל מיום 14.08.16, 8.5 שעות יומיות, חמישה ימים בשבוע, במועצה המקומית </w:t>
      </w:r>
      <w:r w:rsidRPr="00B4402E">
        <w:rPr>
          <w:rFonts w:hint="cs"/>
          <w:rtl/>
        </w:rPr>
        <w:t xml:space="preserve">אבן יהודה. הנאשם יתייצב במועד זה עד שעה 08:00 ביחידת עבודות השירות במחוז מרכז, גוש רמלה. </w:t>
      </w:r>
    </w:p>
    <w:p w14:paraId="615EF5E8" w14:textId="77777777" w:rsidR="004669AA" w:rsidRPr="00B4402E" w:rsidRDefault="004669AA" w:rsidP="004669AA">
      <w:pPr>
        <w:numPr>
          <w:ilvl w:val="0"/>
          <w:numId w:val="2"/>
        </w:numPr>
        <w:spacing w:after="160" w:line="480" w:lineRule="auto"/>
        <w:ind w:left="1015"/>
        <w:contextualSpacing/>
        <w:jc w:val="both"/>
      </w:pPr>
      <w:r w:rsidRPr="00B4402E">
        <w:rPr>
          <w:rFonts w:hint="cs"/>
          <w:rtl/>
        </w:rPr>
        <w:t>על הנאשם לשתף פעולה עם הממונה ולמסור בדיקות שתן ככל שיידרש. גילוי סם בבדיקת שתן יהווה הפרה של תנאי עבודות השירות.</w:t>
      </w:r>
    </w:p>
    <w:p w14:paraId="130CB65A" w14:textId="77777777" w:rsidR="004669AA" w:rsidRPr="00B4402E" w:rsidRDefault="004669AA" w:rsidP="004669AA">
      <w:pPr>
        <w:numPr>
          <w:ilvl w:val="0"/>
          <w:numId w:val="2"/>
        </w:numPr>
        <w:spacing w:after="160" w:line="480" w:lineRule="auto"/>
        <w:ind w:left="1015"/>
        <w:contextualSpacing/>
        <w:jc w:val="both"/>
      </w:pPr>
      <w:r w:rsidRPr="00B4402E">
        <w:rPr>
          <w:rFonts w:hint="cs"/>
          <w:rtl/>
        </w:rPr>
        <w:t xml:space="preserve">כל חריגה מנהלי עבודות השירות, עלולה להוביל להפקעתם וריצוי העונש במאסר ממש. </w:t>
      </w:r>
    </w:p>
    <w:p w14:paraId="69BC51D7" w14:textId="77777777" w:rsidR="004669AA" w:rsidRPr="00B4402E" w:rsidRDefault="004669AA" w:rsidP="004669AA">
      <w:pPr>
        <w:numPr>
          <w:ilvl w:val="0"/>
          <w:numId w:val="2"/>
        </w:numPr>
        <w:spacing w:after="120" w:line="480" w:lineRule="auto"/>
        <w:ind w:left="1015"/>
        <w:jc w:val="both"/>
      </w:pPr>
      <w:r>
        <w:rPr>
          <w:rFonts w:hint="cs"/>
          <w:rtl/>
        </w:rPr>
        <w:t>8</w:t>
      </w:r>
      <w:r w:rsidRPr="00B4402E">
        <w:rPr>
          <w:rFonts w:hint="cs"/>
          <w:rtl/>
        </w:rPr>
        <w:t xml:space="preserve"> חודשי מאסר על תנאי, לבל יעבור הנאשם עבירות סמים מסוג פשע במשך שלוש שנים מהיום.</w:t>
      </w:r>
    </w:p>
    <w:p w14:paraId="789C9951" w14:textId="77777777" w:rsidR="004669AA" w:rsidRPr="00B4402E" w:rsidRDefault="004669AA" w:rsidP="004669AA">
      <w:pPr>
        <w:numPr>
          <w:ilvl w:val="0"/>
          <w:numId w:val="2"/>
        </w:numPr>
        <w:spacing w:after="120" w:line="360" w:lineRule="auto"/>
        <w:ind w:left="1015"/>
        <w:jc w:val="both"/>
      </w:pPr>
      <w:r>
        <w:rPr>
          <w:rFonts w:hint="cs"/>
          <w:rtl/>
        </w:rPr>
        <w:t>4</w:t>
      </w:r>
      <w:r w:rsidRPr="00B4402E">
        <w:rPr>
          <w:rFonts w:hint="cs"/>
          <w:rtl/>
        </w:rPr>
        <w:t xml:space="preserve"> חודשי מאסר על תנאי, לבל יעבור הנאשם עבירות סמים מסוג עוון במשך </w:t>
      </w:r>
      <w:r>
        <w:rPr>
          <w:rFonts w:hint="cs"/>
          <w:rtl/>
        </w:rPr>
        <w:t>שלוש</w:t>
      </w:r>
      <w:r w:rsidRPr="00B4402E">
        <w:rPr>
          <w:rFonts w:hint="cs"/>
          <w:rtl/>
        </w:rPr>
        <w:t xml:space="preserve"> שנים מהיום.</w:t>
      </w:r>
    </w:p>
    <w:p w14:paraId="2AB2AE11" w14:textId="77777777" w:rsidR="004669AA" w:rsidRPr="00B4402E" w:rsidRDefault="004669AA" w:rsidP="004669AA">
      <w:pPr>
        <w:numPr>
          <w:ilvl w:val="0"/>
          <w:numId w:val="2"/>
        </w:numPr>
        <w:spacing w:after="120" w:line="360" w:lineRule="auto"/>
        <w:ind w:left="1015"/>
        <w:jc w:val="both"/>
      </w:pPr>
      <w:r w:rsidRPr="00B4402E">
        <w:rPr>
          <w:rFonts w:hint="cs"/>
          <w:rtl/>
        </w:rPr>
        <w:t>קנס בסך 2</w:t>
      </w:r>
      <w:r>
        <w:rPr>
          <w:rFonts w:hint="cs"/>
          <w:rtl/>
        </w:rPr>
        <w:t>,</w:t>
      </w:r>
      <w:r w:rsidRPr="00B4402E">
        <w:rPr>
          <w:rFonts w:hint="cs"/>
          <w:rtl/>
        </w:rPr>
        <w:t xml:space="preserve">500 ש"ח  או 14 ימי מאסר תמורתו. הקנס ישולם בחמישה תשלומים שווים ורצופים החל מיום 01.09.16. </w:t>
      </w:r>
    </w:p>
    <w:p w14:paraId="23CC7C8C" w14:textId="77777777" w:rsidR="004669AA" w:rsidRPr="00B4402E" w:rsidRDefault="004669AA" w:rsidP="004669AA">
      <w:pPr>
        <w:numPr>
          <w:ilvl w:val="0"/>
          <w:numId w:val="2"/>
        </w:numPr>
        <w:spacing w:after="120" w:line="360" w:lineRule="auto"/>
        <w:ind w:left="1015"/>
        <w:jc w:val="both"/>
      </w:pPr>
      <w:r w:rsidRPr="00B4402E">
        <w:rPr>
          <w:rFonts w:hint="cs"/>
          <w:rtl/>
        </w:rPr>
        <w:t>מחלטת הכספים בסך 8</w:t>
      </w:r>
      <w:r>
        <w:rPr>
          <w:rFonts w:hint="cs"/>
          <w:rtl/>
        </w:rPr>
        <w:t>,</w:t>
      </w:r>
      <w:r w:rsidRPr="00B4402E">
        <w:rPr>
          <w:rFonts w:hint="cs"/>
          <w:rtl/>
        </w:rPr>
        <w:t>550 ₪ בסך לטובת המדינה.</w:t>
      </w:r>
    </w:p>
    <w:p w14:paraId="76D2CD70" w14:textId="77777777" w:rsidR="004669AA" w:rsidRPr="00B4402E" w:rsidRDefault="004669AA" w:rsidP="004669AA">
      <w:pPr>
        <w:numPr>
          <w:ilvl w:val="0"/>
          <w:numId w:val="2"/>
        </w:numPr>
        <w:spacing w:after="120" w:line="360" w:lineRule="auto"/>
        <w:ind w:left="1015"/>
        <w:jc w:val="both"/>
      </w:pPr>
      <w:r w:rsidRPr="00B4402E">
        <w:rPr>
          <w:rFonts w:hint="cs"/>
          <w:rtl/>
        </w:rPr>
        <w:t>פוסלת הנאשם מלנהוג או להוציא רישיון נהיגה למשך ששה חודשים</w:t>
      </w:r>
      <w:r>
        <w:rPr>
          <w:rFonts w:hint="cs"/>
          <w:rtl/>
        </w:rPr>
        <w:t>.</w:t>
      </w:r>
      <w:r w:rsidRPr="00B4402E">
        <w:rPr>
          <w:rFonts w:hint="cs"/>
          <w:rtl/>
        </w:rPr>
        <w:t xml:space="preserve"> </w:t>
      </w:r>
      <w:r>
        <w:rPr>
          <w:rFonts w:hint="cs"/>
          <w:rtl/>
        </w:rPr>
        <w:t xml:space="preserve">הנאשם יפקיד רישיונו במזכירות בית המשפט עד ליום 01.09.16. </w:t>
      </w:r>
    </w:p>
    <w:p w14:paraId="102045F0" w14:textId="77777777" w:rsidR="004669AA" w:rsidRPr="00B4402E" w:rsidRDefault="004669AA" w:rsidP="004669AA">
      <w:pPr>
        <w:numPr>
          <w:ilvl w:val="0"/>
          <w:numId w:val="2"/>
        </w:numPr>
        <w:spacing w:after="120" w:line="360" w:lineRule="auto"/>
        <w:ind w:left="1015"/>
        <w:jc w:val="both"/>
      </w:pPr>
      <w:r w:rsidRPr="00B4402E">
        <w:rPr>
          <w:rFonts w:hint="cs"/>
          <w:rtl/>
        </w:rPr>
        <w:t xml:space="preserve">6 חודשי פסילה על תנאי לבל יעבור הנאשם עבירה </w:t>
      </w:r>
      <w:r>
        <w:rPr>
          <w:rFonts w:hint="cs"/>
          <w:rtl/>
        </w:rPr>
        <w:t>לפי</w:t>
      </w:r>
      <w:r w:rsidRPr="00B4402E">
        <w:rPr>
          <w:rFonts w:hint="cs"/>
          <w:rtl/>
        </w:rPr>
        <w:t xml:space="preserve"> פקודת הסמים במשך שנתיים מהיום.</w:t>
      </w:r>
    </w:p>
    <w:p w14:paraId="4127D297" w14:textId="77777777" w:rsidR="004669AA" w:rsidRPr="00B4402E" w:rsidRDefault="004669AA" w:rsidP="004669AA">
      <w:pPr>
        <w:spacing w:after="120" w:line="360" w:lineRule="auto"/>
        <w:ind w:left="295"/>
        <w:jc w:val="both"/>
      </w:pPr>
    </w:p>
    <w:p w14:paraId="2FC6D2DB" w14:textId="77777777" w:rsidR="004669AA" w:rsidRPr="00A9148B" w:rsidRDefault="004669AA" w:rsidP="004669AA">
      <w:pPr>
        <w:spacing w:line="360" w:lineRule="auto"/>
        <w:contextualSpacing/>
        <w:rPr>
          <w:rFonts w:ascii="Calibri" w:eastAsia="Calibri" w:hAnsi="Calibri"/>
          <w:rtl/>
        </w:rPr>
      </w:pPr>
      <w:r w:rsidRPr="00B4402E">
        <w:rPr>
          <w:rFonts w:ascii="Calibri" w:hAnsi="Calibri" w:hint="cs"/>
          <w:b/>
          <w:bCs/>
          <w:rtl/>
        </w:rPr>
        <w:t>זכות ערעור לבית המשפט המחוזי תוך 45 יום</w:t>
      </w:r>
    </w:p>
    <w:p w14:paraId="7993F9E4" w14:textId="77777777" w:rsidR="004669AA" w:rsidRPr="00B4402E" w:rsidRDefault="004669AA" w:rsidP="004669AA">
      <w:pPr>
        <w:rPr>
          <w:rFonts w:ascii="Arial" w:hAnsi="Arial"/>
          <w:rtl/>
        </w:rPr>
      </w:pPr>
    </w:p>
    <w:p w14:paraId="3CE693F8" w14:textId="77777777" w:rsidR="004669AA" w:rsidRPr="00FF3870" w:rsidRDefault="00FF3870" w:rsidP="004669AA">
      <w:pPr>
        <w:rPr>
          <w:color w:val="FFFFFF"/>
          <w:sz w:val="2"/>
          <w:szCs w:val="2"/>
          <w:rtl/>
        </w:rPr>
      </w:pPr>
      <w:r w:rsidRPr="00FF3870">
        <w:rPr>
          <w:color w:val="FFFFFF"/>
          <w:sz w:val="2"/>
          <w:szCs w:val="2"/>
          <w:rtl/>
        </w:rPr>
        <w:t>5129371</w:t>
      </w:r>
    </w:p>
    <w:p w14:paraId="74C7598C" w14:textId="77777777" w:rsidR="004669AA" w:rsidRPr="00FB0329" w:rsidRDefault="00FF3870" w:rsidP="004669AA">
      <w:pPr>
        <w:rPr>
          <w:rtl/>
        </w:rPr>
      </w:pPr>
      <w:r w:rsidRPr="00FF3870">
        <w:rPr>
          <w:rFonts w:ascii="Arial" w:hAnsi="Arial"/>
          <w:color w:val="FFFFFF"/>
          <w:sz w:val="2"/>
          <w:szCs w:val="2"/>
          <w:rtl/>
        </w:rPr>
        <w:t>54678313</w:t>
      </w:r>
      <w:r>
        <w:rPr>
          <w:rFonts w:ascii="Arial" w:hAnsi="Arial"/>
          <w:rtl/>
        </w:rPr>
        <w:t xml:space="preserve">ניתן היום,  ח' תמוז תשע"ו, 14 יולי 2016, במעמד הצדדים. </w:t>
      </w:r>
    </w:p>
    <w:p w14:paraId="1EC34281" w14:textId="77777777" w:rsidR="004669AA" w:rsidRPr="00B4402E" w:rsidRDefault="004669AA" w:rsidP="004669AA">
      <w:pPr>
        <w:jc w:val="center"/>
      </w:pPr>
      <w:r w:rsidRPr="00B4402E">
        <w:rPr>
          <w:rFonts w:hint="cs"/>
          <w:rtl/>
        </w:rPr>
        <w:t xml:space="preserve">   </w:t>
      </w:r>
      <w:r w:rsidRPr="00B4402E">
        <w:rPr>
          <w:rFonts w:hint="cs"/>
          <w:rtl/>
        </w:rPr>
        <w:tab/>
      </w:r>
      <w:r w:rsidRPr="00B4402E">
        <w:rPr>
          <w:rFonts w:hint="cs"/>
          <w:rtl/>
        </w:rPr>
        <w:tab/>
      </w:r>
      <w:r w:rsidRPr="00B4402E">
        <w:rPr>
          <w:rFonts w:hint="cs"/>
          <w:rtl/>
        </w:rPr>
        <w:tab/>
      </w:r>
      <w:r w:rsidRPr="00B4402E">
        <w:rPr>
          <w:rFonts w:hint="cs"/>
          <w:rtl/>
        </w:rPr>
        <w:tab/>
      </w:r>
      <w:r w:rsidRPr="00B4402E">
        <w:rPr>
          <w:rFonts w:hint="cs"/>
          <w:rtl/>
        </w:rPr>
        <w:tab/>
      </w:r>
    </w:p>
    <w:p w14:paraId="43DAFF0B" w14:textId="77777777" w:rsidR="004669AA" w:rsidRPr="00B4402E" w:rsidRDefault="004669AA" w:rsidP="004669AA">
      <w:pPr>
        <w:jc w:val="center"/>
        <w:rPr>
          <w:rFonts w:ascii="Arial" w:hAnsi="Arial"/>
          <w:rtl/>
        </w:rPr>
      </w:pPr>
    </w:p>
    <w:p w14:paraId="43771AF8" w14:textId="77777777" w:rsidR="004669AA" w:rsidRPr="00B4402E" w:rsidRDefault="004669AA" w:rsidP="004669AA">
      <w:pPr>
        <w:rPr>
          <w:rtl/>
        </w:rPr>
      </w:pPr>
    </w:p>
    <w:p w14:paraId="4B526AFE" w14:textId="77777777" w:rsidR="004669AA" w:rsidRPr="00B4402E" w:rsidRDefault="004669AA" w:rsidP="004669AA">
      <w:pPr>
        <w:pStyle w:val="a3"/>
        <w:jc w:val="center"/>
        <w:rPr>
          <w:rtl/>
        </w:rPr>
      </w:pPr>
    </w:p>
    <w:p w14:paraId="33DF7661" w14:textId="77777777" w:rsidR="00FF3870" w:rsidRPr="00FF3870" w:rsidRDefault="00FF3870" w:rsidP="00FF3870">
      <w:pPr>
        <w:keepNext/>
        <w:rPr>
          <w:rFonts w:ascii="David" w:hAnsi="David"/>
          <w:color w:val="000000"/>
          <w:sz w:val="22"/>
          <w:szCs w:val="22"/>
          <w:rtl/>
        </w:rPr>
      </w:pPr>
    </w:p>
    <w:p w14:paraId="1ECD347E" w14:textId="77777777" w:rsidR="00FF3870" w:rsidRPr="00FF3870" w:rsidRDefault="00FF3870" w:rsidP="00FF3870">
      <w:pPr>
        <w:keepNext/>
        <w:rPr>
          <w:rFonts w:ascii="David" w:hAnsi="David"/>
          <w:color w:val="000000"/>
          <w:sz w:val="22"/>
          <w:szCs w:val="22"/>
          <w:rtl/>
        </w:rPr>
      </w:pPr>
      <w:r w:rsidRPr="00FF3870">
        <w:rPr>
          <w:rFonts w:ascii="David" w:hAnsi="David"/>
          <w:color w:val="000000"/>
          <w:sz w:val="22"/>
          <w:szCs w:val="22"/>
          <w:rtl/>
        </w:rPr>
        <w:t>מרב גרינברג 54678313</w:t>
      </w:r>
    </w:p>
    <w:p w14:paraId="416383AA" w14:textId="77777777" w:rsidR="00FF3870" w:rsidRDefault="00FF3870" w:rsidP="00FF3870">
      <w:r w:rsidRPr="00FF3870">
        <w:rPr>
          <w:color w:val="000000"/>
          <w:rtl/>
        </w:rPr>
        <w:t>נוסח מסמך זה כפוף לשינויי ניסוח ועריכה</w:t>
      </w:r>
    </w:p>
    <w:p w14:paraId="21BEEBF3" w14:textId="77777777" w:rsidR="00FF3870" w:rsidRDefault="00FF3870" w:rsidP="00FF3870">
      <w:pPr>
        <w:rPr>
          <w:rtl/>
        </w:rPr>
      </w:pPr>
    </w:p>
    <w:p w14:paraId="346E7EED" w14:textId="77777777" w:rsidR="00FF3870" w:rsidRDefault="00FF3870" w:rsidP="00FF3870">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ED6383">
        <w:rPr>
          <w:rFonts w:hint="cs"/>
          <w:color w:val="0000FF"/>
          <w:u w:val="single"/>
          <w:rtl/>
        </w:rPr>
        <w:t xml:space="preserve"> </w:t>
      </w:r>
    </w:p>
    <w:p w14:paraId="0E08260A" w14:textId="77777777" w:rsidR="00B1215F" w:rsidRPr="00FF3870" w:rsidRDefault="00B1215F" w:rsidP="00FF3870">
      <w:pPr>
        <w:jc w:val="center"/>
        <w:rPr>
          <w:color w:val="0000FF"/>
          <w:u w:val="single"/>
        </w:rPr>
      </w:pPr>
    </w:p>
    <w:sectPr w:rsidR="00B1215F" w:rsidRPr="00FF3870" w:rsidSect="00FF3870">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68F03" w14:textId="77777777" w:rsidR="008A0CE9" w:rsidRDefault="008A0CE9">
      <w:r>
        <w:separator/>
      </w:r>
    </w:p>
  </w:endnote>
  <w:endnote w:type="continuationSeparator" w:id="0">
    <w:p w14:paraId="581500B3" w14:textId="77777777" w:rsidR="008A0CE9" w:rsidRDefault="008A0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165EA" w14:textId="77777777" w:rsidR="005C6D14" w:rsidRDefault="005C6D14" w:rsidP="00FF38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EFAD9C" w14:textId="77777777" w:rsidR="005C6D14" w:rsidRPr="00FF3870" w:rsidRDefault="005C6D14" w:rsidP="00FF3870">
    <w:pPr>
      <w:pStyle w:val="a4"/>
      <w:pBdr>
        <w:top w:val="single" w:sz="4" w:space="1" w:color="auto"/>
        <w:between w:val="single" w:sz="4" w:space="0" w:color="auto"/>
      </w:pBdr>
      <w:spacing w:after="60"/>
      <w:jc w:val="center"/>
      <w:rPr>
        <w:rFonts w:ascii="FrankRuehl" w:hAnsi="FrankRuehl" w:cs="FrankRuehl"/>
        <w:color w:val="000000"/>
      </w:rPr>
    </w:pPr>
    <w:r w:rsidRPr="00FF38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C2756" w14:textId="77777777" w:rsidR="005C6D14" w:rsidRDefault="005C6D14" w:rsidP="00FF38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1DCB">
      <w:rPr>
        <w:rFonts w:ascii="FrankRuehl" w:hAnsi="FrankRuehl" w:cs="FrankRuehl"/>
        <w:noProof/>
        <w:rtl/>
      </w:rPr>
      <w:t>1</w:t>
    </w:r>
    <w:r>
      <w:rPr>
        <w:rFonts w:ascii="FrankRuehl" w:hAnsi="FrankRuehl" w:cs="FrankRuehl"/>
        <w:rtl/>
      </w:rPr>
      <w:fldChar w:fldCharType="end"/>
    </w:r>
  </w:p>
  <w:p w14:paraId="6C1E0EE4" w14:textId="77777777" w:rsidR="005C6D14" w:rsidRPr="00FF3870" w:rsidRDefault="005C6D14" w:rsidP="00FF3870">
    <w:pPr>
      <w:pStyle w:val="a4"/>
      <w:pBdr>
        <w:top w:val="single" w:sz="4" w:space="1" w:color="auto"/>
        <w:between w:val="single" w:sz="4" w:space="0" w:color="auto"/>
      </w:pBdr>
      <w:spacing w:after="60"/>
      <w:jc w:val="center"/>
      <w:rPr>
        <w:rFonts w:ascii="FrankRuehl" w:hAnsi="FrankRuehl" w:cs="FrankRuehl"/>
        <w:color w:val="000000"/>
      </w:rPr>
    </w:pPr>
    <w:r w:rsidRPr="00FF3870">
      <w:rPr>
        <w:rFonts w:ascii="FrankRuehl" w:hAnsi="FrankRuehl" w:cs="FrankRuehl"/>
        <w:color w:val="000000"/>
      </w:rPr>
      <w:pict w14:anchorId="3015B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4893F" w14:textId="77777777" w:rsidR="008A0CE9" w:rsidRDefault="008A0CE9">
      <w:r>
        <w:separator/>
      </w:r>
    </w:p>
  </w:footnote>
  <w:footnote w:type="continuationSeparator" w:id="0">
    <w:p w14:paraId="0B06C3F9" w14:textId="77777777" w:rsidR="008A0CE9" w:rsidRDefault="008A0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49473" w14:textId="77777777" w:rsidR="005C6D14" w:rsidRPr="00FF3870" w:rsidRDefault="005C6D14" w:rsidP="00FF38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32817-12-14</w:t>
    </w:r>
    <w:r>
      <w:rPr>
        <w:rFonts w:ascii="David" w:hAnsi="David"/>
        <w:color w:val="000000"/>
        <w:sz w:val="22"/>
        <w:szCs w:val="22"/>
        <w:rtl/>
      </w:rPr>
      <w:tab/>
      <w:t xml:space="preserve"> מדינת ישראל נ' עופר אביטבול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C6AC7" w14:textId="77777777" w:rsidR="005C6D14" w:rsidRPr="00FF3870" w:rsidRDefault="005C6D14" w:rsidP="00FF38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32817-12-14</w:t>
    </w:r>
    <w:r>
      <w:rPr>
        <w:rFonts w:ascii="David" w:hAnsi="David"/>
        <w:color w:val="000000"/>
        <w:sz w:val="22"/>
        <w:szCs w:val="22"/>
        <w:rtl/>
      </w:rPr>
      <w:tab/>
      <w:t xml:space="preserve"> מדינת ישראל נ' עופר אביטבול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5EEC"/>
    <w:multiLevelType w:val="hybridMultilevel"/>
    <w:tmpl w:val="53C65C1C"/>
    <w:lvl w:ilvl="0" w:tplc="007AAF14">
      <w:start w:val="1"/>
      <w:numFmt w:val="hebrew1"/>
      <w:lvlText w:val="%1."/>
      <w:lvlJc w:val="left"/>
      <w:pPr>
        <w:ind w:left="1440" w:hanging="360"/>
      </w:pPr>
      <w:rPr>
        <w:rFonts w:cs="David"/>
        <w:b/>
        <w:bCs/>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 w15:restartNumberingAfterBreak="0">
    <w:nsid w:val="7EF56127"/>
    <w:multiLevelType w:val="hybridMultilevel"/>
    <w:tmpl w:val="BF3AB2A6"/>
    <w:lvl w:ilvl="0" w:tplc="5AB2B39C">
      <w:start w:val="1"/>
      <w:numFmt w:val="decimal"/>
      <w:lvlText w:val="%1."/>
      <w:lvlJc w:val="left"/>
      <w:pPr>
        <w:ind w:left="785"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8003483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0142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69AA"/>
    <w:rsid w:val="00174FB2"/>
    <w:rsid w:val="002D4698"/>
    <w:rsid w:val="0044153D"/>
    <w:rsid w:val="004669AA"/>
    <w:rsid w:val="005C6D14"/>
    <w:rsid w:val="007D4ACC"/>
    <w:rsid w:val="007F15DB"/>
    <w:rsid w:val="008A0CE9"/>
    <w:rsid w:val="009F30BD"/>
    <w:rsid w:val="00B1215F"/>
    <w:rsid w:val="00CE6616"/>
    <w:rsid w:val="00D41DCB"/>
    <w:rsid w:val="00ED6383"/>
    <w:rsid w:val="00EE6CFC"/>
    <w:rsid w:val="00FF3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99D10F"/>
  <w15:chartTrackingRefBased/>
  <w15:docId w15:val="{1DBB6F5B-AB6F-4D10-ABA2-FF9BBF20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69A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669AA"/>
    <w:pPr>
      <w:tabs>
        <w:tab w:val="center" w:pos="4153"/>
        <w:tab w:val="right" w:pos="8306"/>
      </w:tabs>
    </w:pPr>
  </w:style>
  <w:style w:type="paragraph" w:styleId="a4">
    <w:name w:val="footer"/>
    <w:basedOn w:val="a"/>
    <w:rsid w:val="004669AA"/>
    <w:pPr>
      <w:tabs>
        <w:tab w:val="center" w:pos="4153"/>
        <w:tab w:val="right" w:pos="8306"/>
      </w:tabs>
    </w:pPr>
  </w:style>
  <w:style w:type="character" w:styleId="a5">
    <w:name w:val="page number"/>
    <w:basedOn w:val="a0"/>
    <w:rsid w:val="004669AA"/>
  </w:style>
  <w:style w:type="paragraph" w:customStyle="1" w:styleId="ListParagraph">
    <w:name w:val="List Paragraph"/>
    <w:basedOn w:val="a"/>
    <w:rsid w:val="004669AA"/>
    <w:pPr>
      <w:ind w:left="720"/>
      <w:contextualSpacing/>
    </w:pPr>
    <w:rPr>
      <w:rFonts w:ascii="Calibri" w:hAnsi="Calibri" w:cs="Calibri"/>
      <w:sz w:val="22"/>
      <w:szCs w:val="22"/>
    </w:rPr>
  </w:style>
  <w:style w:type="paragraph" w:customStyle="1" w:styleId="ruller4">
    <w:name w:val="ruller4"/>
    <w:basedOn w:val="a"/>
    <w:rsid w:val="004669AA"/>
    <w:pPr>
      <w:overflowPunct w:val="0"/>
      <w:autoSpaceDE w:val="0"/>
      <w:autoSpaceDN w:val="0"/>
      <w:spacing w:line="360" w:lineRule="auto"/>
      <w:jc w:val="both"/>
    </w:pPr>
    <w:rPr>
      <w:rFonts w:ascii="Arial TUR" w:hAnsi="Arial TUR" w:cs="Times New Roman"/>
      <w:spacing w:val="10"/>
      <w:sz w:val="22"/>
      <w:szCs w:val="22"/>
      <w:lang w:eastAsia="he-IL"/>
    </w:rPr>
  </w:style>
  <w:style w:type="character" w:styleId="Hyperlink">
    <w:name w:val="Hyperlink"/>
    <w:rsid w:val="00FF3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8291661" TargetMode="External"/><Relationship Id="rId21" Type="http://schemas.openxmlformats.org/officeDocument/2006/relationships/hyperlink" Target="http://www.nevo.co.il/case/5786821"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j"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18107527"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2088108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0685141"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805976" TargetMode="External"/><Relationship Id="rId27" Type="http://schemas.openxmlformats.org/officeDocument/2006/relationships/hyperlink" Target="http://www.nevo.co.il/law/70301/40j" TargetMode="External"/><Relationship Id="rId30" Type="http://schemas.openxmlformats.org/officeDocument/2006/relationships/hyperlink" Target="http://www.nevo.co.il/law/70301/40ja" TargetMode="External"/><Relationship Id="rId35"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2958</Words>
  <Characters>14795</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17718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4915211</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http://www.nevo.co.il/law/70301/40j</vt:lpwstr>
      </vt:variant>
      <vt:variant>
        <vt:lpwstr/>
      </vt:variant>
      <vt:variant>
        <vt:i4>3539057</vt:i4>
      </vt:variant>
      <vt:variant>
        <vt:i4>57</vt:i4>
      </vt:variant>
      <vt:variant>
        <vt:i4>0</vt:i4>
      </vt:variant>
      <vt:variant>
        <vt:i4>5</vt:i4>
      </vt:variant>
      <vt:variant>
        <vt:lpwstr>http://www.nevo.co.il/case/8291661</vt:lpwstr>
      </vt:variant>
      <vt:variant>
        <vt:lpwstr/>
      </vt:variant>
      <vt:variant>
        <vt:i4>3473529</vt:i4>
      </vt:variant>
      <vt:variant>
        <vt:i4>54</vt:i4>
      </vt:variant>
      <vt:variant>
        <vt:i4>0</vt:i4>
      </vt:variant>
      <vt:variant>
        <vt:i4>5</vt:i4>
      </vt:variant>
      <vt:variant>
        <vt:lpwstr>http://www.nevo.co.il/case/18107527</vt:lpwstr>
      </vt:variant>
      <vt:variant>
        <vt:lpwstr/>
      </vt:variant>
      <vt:variant>
        <vt:i4>3342460</vt:i4>
      </vt:variant>
      <vt:variant>
        <vt:i4>51</vt:i4>
      </vt:variant>
      <vt:variant>
        <vt:i4>0</vt:i4>
      </vt:variant>
      <vt:variant>
        <vt:i4>5</vt:i4>
      </vt:variant>
      <vt:variant>
        <vt:lpwstr>http://www.nevo.co.il/case/20881083</vt:lpwstr>
      </vt:variant>
      <vt:variant>
        <vt:lpwstr/>
      </vt:variant>
      <vt:variant>
        <vt:i4>3473533</vt:i4>
      </vt:variant>
      <vt:variant>
        <vt:i4>48</vt:i4>
      </vt:variant>
      <vt:variant>
        <vt:i4>0</vt:i4>
      </vt:variant>
      <vt:variant>
        <vt:i4>5</vt:i4>
      </vt:variant>
      <vt:variant>
        <vt:lpwstr>http://www.nevo.co.il/case/20685141</vt:lpwstr>
      </vt:variant>
      <vt:variant>
        <vt:lpwstr/>
      </vt:variant>
      <vt:variant>
        <vt:i4>3801214</vt:i4>
      </vt:variant>
      <vt:variant>
        <vt:i4>45</vt:i4>
      </vt:variant>
      <vt:variant>
        <vt:i4>0</vt:i4>
      </vt:variant>
      <vt:variant>
        <vt:i4>5</vt:i4>
      </vt:variant>
      <vt:variant>
        <vt:lpwstr>http://www.nevo.co.il/case/5805976</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4915211</vt:i4>
      </vt:variant>
      <vt:variant>
        <vt:i4>18</vt:i4>
      </vt:variant>
      <vt:variant>
        <vt:i4>0</vt:i4>
      </vt:variant>
      <vt:variant>
        <vt:i4>5</vt:i4>
      </vt:variant>
      <vt:variant>
        <vt:lpwstr>http://www.nevo.co.il/law/70301/40j.c</vt:lpwstr>
      </vt:variant>
      <vt:variant>
        <vt:lpwstr/>
      </vt:variant>
      <vt:variant>
        <vt:i4>6619233</vt:i4>
      </vt:variant>
      <vt:variant>
        <vt:i4>15</vt:i4>
      </vt:variant>
      <vt:variant>
        <vt:i4>0</vt:i4>
      </vt:variant>
      <vt:variant>
        <vt:i4>5</vt:i4>
      </vt:variant>
      <vt:variant>
        <vt:lpwstr>http://www.nevo.co.il/law/70301/40j</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32817</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עופר אביטבול</vt:lpwstr>
  </property>
  <property fmtid="{D5CDD505-2E9C-101B-9397-08002B2CF9AE}" pid="10" name="JUDGE">
    <vt:lpwstr>מרב גרינברג</vt:lpwstr>
  </property>
  <property fmtid="{D5CDD505-2E9C-101B-9397-08002B2CF9AE}" pid="11" name="CITY">
    <vt:lpwstr>כ"ס</vt:lpwstr>
  </property>
  <property fmtid="{D5CDD505-2E9C-101B-9397-08002B2CF9AE}" pid="12" name="DATE">
    <vt:lpwstr>20160714</vt:lpwstr>
  </property>
  <property fmtid="{D5CDD505-2E9C-101B-9397-08002B2CF9AE}" pid="13" name="TYPE_N_DATE">
    <vt:lpwstr>38020160714</vt:lpwstr>
  </property>
  <property fmtid="{D5CDD505-2E9C-101B-9397-08002B2CF9AE}" pid="14" name="CASESLISTTMP1">
    <vt:lpwstr>5786821;5805976;20685141;20881083;18107527;8291661</vt:lpwstr>
  </property>
  <property fmtid="{D5CDD505-2E9C-101B-9397-08002B2CF9AE}" pid="15" name="WORDNUMPAGES">
    <vt:lpwstr>10</vt:lpwstr>
  </property>
  <property fmtid="{D5CDD505-2E9C-101B-9397-08002B2CF9AE}" pid="16" name="TYPE_ABS_DATE">
    <vt:lpwstr>380020160714</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4216/006;010</vt:lpwstr>
  </property>
  <property fmtid="{D5CDD505-2E9C-101B-9397-08002B2CF9AE}" pid="37" name="LAWLISTTMP2">
    <vt:lpwstr>70301/040c.a;040j;040j.c;40ja</vt:lpwstr>
  </property>
</Properties>
</file>