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F50C35" w:rsidRPr="00622ABC" w14:paraId="3CEAD6EE" w14:textId="77777777">
        <w:trPr>
          <w:trHeight w:hRule="exact" w:val="418"/>
          <w:jc w:val="center"/>
        </w:trPr>
        <w:tc>
          <w:tcPr>
            <w:tcW w:w="8720" w:type="dxa"/>
            <w:gridSpan w:val="3"/>
          </w:tcPr>
          <w:p w14:paraId="2CBBD518" w14:textId="77777777" w:rsidR="00F50C35" w:rsidRPr="00622ABC" w:rsidRDefault="00622ABC">
            <w:pPr>
              <w:pStyle w:val="a5"/>
              <w:tabs>
                <w:tab w:val="clear" w:pos="8306"/>
              </w:tabs>
              <w:jc w:val="center"/>
              <w:rPr>
                <w:rFonts w:ascii="Tahoma" w:hAnsi="Tahoma" w:cs="Tahoma"/>
                <w:b/>
                <w:bCs/>
                <w:color w:val="000080"/>
                <w:sz w:val="20"/>
                <w:szCs w:val="20"/>
                <w:rtl/>
              </w:rPr>
            </w:pPr>
            <w:bookmarkStart w:id="0" w:name="LastJudge"/>
            <w:r w:rsidRPr="00622ABC">
              <w:rPr>
                <w:rFonts w:ascii="Tahoma" w:hAnsi="Tahoma" w:cs="Tahoma"/>
                <w:b/>
                <w:bCs/>
                <w:color w:val="000080"/>
                <w:sz w:val="20"/>
                <w:szCs w:val="20"/>
                <w:rtl/>
              </w:rPr>
              <w:t>בית משפט השלום בנתניה</w:t>
            </w:r>
          </w:p>
        </w:tc>
      </w:tr>
      <w:tr w:rsidR="00F50C35" w:rsidRPr="00622ABC" w14:paraId="0A4A972F" w14:textId="77777777">
        <w:trPr>
          <w:trHeight w:val="337"/>
          <w:jc w:val="center"/>
        </w:trPr>
        <w:tc>
          <w:tcPr>
            <w:tcW w:w="3973" w:type="dxa"/>
          </w:tcPr>
          <w:p w14:paraId="184440CE" w14:textId="77777777" w:rsidR="00F50C35" w:rsidRPr="00622ABC" w:rsidRDefault="00622ABC">
            <w:pPr>
              <w:rPr>
                <w:b/>
                <w:bCs/>
                <w:sz w:val="26"/>
                <w:szCs w:val="26"/>
                <w:rtl/>
              </w:rPr>
            </w:pPr>
            <w:r w:rsidRPr="00622ABC">
              <w:rPr>
                <w:b/>
                <w:bCs/>
                <w:sz w:val="26"/>
                <w:szCs w:val="26"/>
                <w:rtl/>
              </w:rPr>
              <w:t>ת"פ</w:t>
            </w:r>
            <w:r w:rsidRPr="00622ABC">
              <w:rPr>
                <w:rFonts w:hint="cs"/>
                <w:b/>
                <w:bCs/>
                <w:sz w:val="26"/>
                <w:szCs w:val="26"/>
                <w:rtl/>
              </w:rPr>
              <w:t xml:space="preserve"> </w:t>
            </w:r>
            <w:r w:rsidRPr="00622ABC">
              <w:rPr>
                <w:b/>
                <w:bCs/>
                <w:sz w:val="26"/>
                <w:szCs w:val="26"/>
                <w:rtl/>
              </w:rPr>
              <w:t>37567-12-14</w:t>
            </w:r>
            <w:r w:rsidRPr="00622ABC">
              <w:rPr>
                <w:rFonts w:hint="cs"/>
                <w:b/>
                <w:bCs/>
                <w:sz w:val="26"/>
                <w:szCs w:val="26"/>
                <w:rtl/>
              </w:rPr>
              <w:t xml:space="preserve"> </w:t>
            </w:r>
            <w:r w:rsidRPr="00622ABC">
              <w:rPr>
                <w:b/>
                <w:bCs/>
                <w:sz w:val="26"/>
                <w:szCs w:val="26"/>
                <w:rtl/>
              </w:rPr>
              <w:t>מדינת ישראל נ' רוטבליט</w:t>
            </w:r>
          </w:p>
          <w:p w14:paraId="0D76D83C" w14:textId="77777777" w:rsidR="00F50C35" w:rsidRPr="00622ABC" w:rsidRDefault="00F50C35">
            <w:pPr>
              <w:rPr>
                <w:b/>
                <w:bCs/>
                <w:sz w:val="26"/>
                <w:szCs w:val="26"/>
                <w:rtl/>
              </w:rPr>
            </w:pPr>
          </w:p>
        </w:tc>
        <w:tc>
          <w:tcPr>
            <w:tcW w:w="1068" w:type="dxa"/>
          </w:tcPr>
          <w:p w14:paraId="23522E85" w14:textId="77777777" w:rsidR="00F50C35" w:rsidRPr="00622ABC" w:rsidRDefault="00F50C35">
            <w:pPr>
              <w:pStyle w:val="a5"/>
              <w:jc w:val="right"/>
              <w:rPr>
                <w:b/>
                <w:bCs/>
                <w:sz w:val="26"/>
                <w:szCs w:val="26"/>
                <w:rtl/>
              </w:rPr>
            </w:pPr>
          </w:p>
        </w:tc>
        <w:tc>
          <w:tcPr>
            <w:tcW w:w="3679" w:type="dxa"/>
          </w:tcPr>
          <w:p w14:paraId="22CF6B0D" w14:textId="77777777" w:rsidR="00F50C35" w:rsidRPr="00622ABC" w:rsidRDefault="00622ABC">
            <w:pPr>
              <w:pStyle w:val="a5"/>
              <w:tabs>
                <w:tab w:val="clear" w:pos="4153"/>
              </w:tabs>
              <w:jc w:val="right"/>
              <w:rPr>
                <w:b/>
                <w:bCs/>
                <w:sz w:val="26"/>
                <w:szCs w:val="26"/>
                <w:rtl/>
              </w:rPr>
            </w:pPr>
            <w:r w:rsidRPr="00622ABC">
              <w:rPr>
                <w:b/>
                <w:bCs/>
                <w:sz w:val="26"/>
                <w:szCs w:val="26"/>
                <w:rtl/>
              </w:rPr>
              <w:t>23 דצמבר 2015</w:t>
            </w:r>
          </w:p>
        </w:tc>
      </w:tr>
    </w:tbl>
    <w:p w14:paraId="6A96A829" w14:textId="77777777" w:rsidR="00F50C35" w:rsidRPr="00622ABC" w:rsidRDefault="00F50C35">
      <w:pPr>
        <w:pStyle w:val="a5"/>
        <w:jc w:val="center"/>
        <w:rPr>
          <w:rFonts w:ascii="Tahoma" w:hAnsi="Tahoma" w:cs="Tahoma"/>
          <w:b/>
          <w:bCs/>
          <w:color w:val="000080"/>
          <w:sz w:val="20"/>
          <w:szCs w:val="20"/>
          <w:rtl/>
        </w:rPr>
      </w:pPr>
    </w:p>
    <w:p w14:paraId="30BE0EAD" w14:textId="77777777" w:rsidR="00F50C35" w:rsidRPr="00622ABC" w:rsidRDefault="00F50C35">
      <w:pPr>
        <w:suppressLineNumbers/>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F50C35" w:rsidRPr="00622ABC" w14:paraId="79B372C3" w14:textId="77777777">
        <w:trPr>
          <w:gridAfter w:val="1"/>
          <w:wAfter w:w="55" w:type="dxa"/>
        </w:trPr>
        <w:tc>
          <w:tcPr>
            <w:tcW w:w="8719" w:type="dxa"/>
            <w:gridSpan w:val="2"/>
            <w:shd w:val="clear" w:color="auto" w:fill="auto"/>
          </w:tcPr>
          <w:p w14:paraId="0645DE44" w14:textId="77777777" w:rsidR="00F50C35" w:rsidRPr="00622ABC" w:rsidRDefault="00622ABC">
            <w:pPr>
              <w:rPr>
                <w:rFonts w:ascii="Arial" w:eastAsia="Times New Roman" w:hAnsi="Arial"/>
                <w:sz w:val="26"/>
                <w:szCs w:val="26"/>
                <w:highlight w:val="yellow"/>
              </w:rPr>
            </w:pPr>
            <w:r w:rsidRPr="00622ABC">
              <w:rPr>
                <w:rFonts w:ascii="Times New Roman" w:eastAsia="Times New Roman" w:hAnsi="Times New Roman" w:hint="cs"/>
                <w:b/>
                <w:bCs/>
                <w:sz w:val="26"/>
                <w:szCs w:val="26"/>
                <w:rtl/>
              </w:rPr>
              <w:t xml:space="preserve">בפני </w:t>
            </w:r>
            <w:r w:rsidRPr="00622ABC">
              <w:rPr>
                <w:rFonts w:ascii="Arial" w:eastAsia="Times New Roman" w:hAnsi="Arial" w:hint="cs"/>
                <w:b/>
                <w:bCs/>
                <w:sz w:val="26"/>
                <w:szCs w:val="26"/>
                <w:rtl/>
              </w:rPr>
              <w:t>כב' השופטת הבכירה איטה נחמן</w:t>
            </w:r>
          </w:p>
          <w:p w14:paraId="416C7AE5" w14:textId="77777777" w:rsidR="00F50C35" w:rsidRPr="00622ABC" w:rsidRDefault="00F50C35">
            <w:pPr>
              <w:spacing w:line="360" w:lineRule="auto"/>
              <w:jc w:val="both"/>
              <w:rPr>
                <w:rFonts w:ascii="Arial" w:eastAsia="Times New Roman" w:hAnsi="Arial" w:cs="Times New Roman"/>
                <w:rtl/>
              </w:rPr>
            </w:pPr>
          </w:p>
        </w:tc>
      </w:tr>
      <w:tr w:rsidR="00F50C35" w:rsidRPr="00622ABC" w14:paraId="1A20E0ED" w14:textId="77777777">
        <w:tc>
          <w:tcPr>
            <w:tcW w:w="2880" w:type="dxa"/>
            <w:shd w:val="clear" w:color="auto" w:fill="auto"/>
          </w:tcPr>
          <w:p w14:paraId="74469F4B" w14:textId="77777777" w:rsidR="00F50C35" w:rsidRPr="00622ABC" w:rsidRDefault="00622ABC">
            <w:pPr>
              <w:ind w:left="26"/>
              <w:rPr>
                <w:rFonts w:ascii="Times New Roman" w:eastAsia="Times New Roman" w:hAnsi="Times New Roman"/>
                <w:b/>
                <w:bCs/>
                <w:sz w:val="26"/>
                <w:szCs w:val="26"/>
                <w:rtl/>
              </w:rPr>
            </w:pPr>
            <w:bookmarkStart w:id="1" w:name="FirstAppellant"/>
            <w:r w:rsidRPr="00622ABC">
              <w:rPr>
                <w:rFonts w:ascii="Times New Roman" w:eastAsia="Times New Roman" w:hAnsi="Times New Roman" w:hint="cs"/>
                <w:b/>
                <w:bCs/>
                <w:sz w:val="26"/>
                <w:szCs w:val="26"/>
                <w:rtl/>
              </w:rPr>
              <w:t>ה</w:t>
            </w:r>
            <w:r w:rsidRPr="00622ABC">
              <w:rPr>
                <w:rFonts w:ascii="Times New Roman" w:eastAsia="Times New Roman" w:hAnsi="Times New Roman" w:hint="cs"/>
                <w:rtl/>
              </w:rPr>
              <w:t>מאשימה</w:t>
            </w:r>
          </w:p>
        </w:tc>
        <w:tc>
          <w:tcPr>
            <w:tcW w:w="5922" w:type="dxa"/>
            <w:gridSpan w:val="2"/>
            <w:shd w:val="clear" w:color="auto" w:fill="auto"/>
          </w:tcPr>
          <w:p w14:paraId="5459F535" w14:textId="77777777" w:rsidR="00F50C35" w:rsidRPr="00622ABC" w:rsidRDefault="00622ABC">
            <w:pPr>
              <w:rPr>
                <w:rFonts w:ascii="Times New Roman" w:eastAsia="Times New Roman" w:hAnsi="Times New Roman"/>
                <w:b/>
                <w:bCs/>
                <w:sz w:val="26"/>
                <w:szCs w:val="26"/>
                <w:rtl/>
              </w:rPr>
            </w:pPr>
            <w:r w:rsidRPr="00622ABC">
              <w:rPr>
                <w:rFonts w:ascii="Times New Roman" w:eastAsia="Times New Roman" w:hAnsi="Times New Roman" w:hint="cs"/>
                <w:b/>
                <w:bCs/>
                <w:sz w:val="26"/>
                <w:szCs w:val="26"/>
                <w:rtl/>
              </w:rPr>
              <w:t xml:space="preserve"> </w:t>
            </w:r>
            <w:r w:rsidRPr="00622ABC">
              <w:rPr>
                <w:rFonts w:ascii="Times New Roman" w:eastAsia="Times New Roman" w:hAnsi="Times New Roman" w:hint="cs"/>
                <w:rtl/>
              </w:rPr>
              <w:t>מדינת ישראל</w:t>
            </w:r>
          </w:p>
        </w:tc>
      </w:tr>
      <w:bookmarkEnd w:id="1"/>
      <w:tr w:rsidR="00F50C35" w:rsidRPr="00622ABC" w14:paraId="28E556BF" w14:textId="77777777">
        <w:tc>
          <w:tcPr>
            <w:tcW w:w="8802" w:type="dxa"/>
            <w:gridSpan w:val="3"/>
            <w:shd w:val="clear" w:color="auto" w:fill="auto"/>
          </w:tcPr>
          <w:p w14:paraId="7A61A26F" w14:textId="77777777" w:rsidR="00F50C35" w:rsidRPr="00622ABC" w:rsidRDefault="00F50C35">
            <w:pPr>
              <w:jc w:val="both"/>
              <w:rPr>
                <w:rFonts w:ascii="Arial" w:eastAsia="Times New Roman" w:hAnsi="Arial"/>
                <w:b/>
                <w:bCs/>
                <w:sz w:val="26"/>
                <w:szCs w:val="26"/>
                <w:rtl/>
              </w:rPr>
            </w:pPr>
          </w:p>
          <w:p w14:paraId="0EA18153" w14:textId="77777777" w:rsidR="00F50C35" w:rsidRPr="00622ABC" w:rsidRDefault="00622ABC">
            <w:pPr>
              <w:jc w:val="center"/>
              <w:rPr>
                <w:rFonts w:ascii="Arial" w:eastAsia="Times New Roman" w:hAnsi="Arial"/>
                <w:b/>
                <w:bCs/>
                <w:sz w:val="26"/>
                <w:szCs w:val="26"/>
                <w:rtl/>
              </w:rPr>
            </w:pPr>
            <w:r w:rsidRPr="00622ABC">
              <w:rPr>
                <w:rFonts w:ascii="Arial" w:eastAsia="Times New Roman" w:hAnsi="Arial"/>
                <w:b/>
                <w:bCs/>
                <w:sz w:val="26"/>
                <w:szCs w:val="26"/>
                <w:rtl/>
              </w:rPr>
              <w:t>נגד</w:t>
            </w:r>
          </w:p>
          <w:p w14:paraId="64EB1083" w14:textId="77777777" w:rsidR="00F50C35" w:rsidRPr="00622ABC" w:rsidRDefault="00F50C35">
            <w:pPr>
              <w:jc w:val="center"/>
              <w:rPr>
                <w:rFonts w:ascii="Arial" w:eastAsia="Times New Roman" w:hAnsi="Arial"/>
                <w:b/>
                <w:bCs/>
                <w:sz w:val="26"/>
                <w:szCs w:val="26"/>
              </w:rPr>
            </w:pPr>
          </w:p>
        </w:tc>
      </w:tr>
      <w:tr w:rsidR="00F50C35" w:rsidRPr="00622ABC" w14:paraId="0B42F35F" w14:textId="77777777">
        <w:tc>
          <w:tcPr>
            <w:tcW w:w="2880" w:type="dxa"/>
            <w:shd w:val="clear" w:color="auto" w:fill="auto"/>
          </w:tcPr>
          <w:p w14:paraId="013D991C" w14:textId="77777777" w:rsidR="00F50C35" w:rsidRPr="00622ABC" w:rsidRDefault="00622ABC">
            <w:pPr>
              <w:ind w:left="26"/>
              <w:rPr>
                <w:rFonts w:ascii="Times New Roman" w:eastAsia="Times New Roman" w:hAnsi="Times New Roman"/>
                <w:b/>
                <w:bCs/>
                <w:sz w:val="26"/>
                <w:szCs w:val="26"/>
                <w:rtl/>
              </w:rPr>
            </w:pPr>
            <w:r w:rsidRPr="00622ABC">
              <w:rPr>
                <w:rFonts w:ascii="Times New Roman" w:eastAsia="Times New Roman" w:hAnsi="Times New Roman" w:hint="cs"/>
                <w:b/>
                <w:bCs/>
                <w:sz w:val="26"/>
                <w:szCs w:val="26"/>
                <w:rtl/>
              </w:rPr>
              <w:t>ה</w:t>
            </w:r>
            <w:r w:rsidRPr="00622ABC">
              <w:rPr>
                <w:rFonts w:ascii="Times New Roman" w:eastAsia="Times New Roman" w:hAnsi="Times New Roman" w:hint="cs"/>
                <w:rtl/>
              </w:rPr>
              <w:t>נאשם</w:t>
            </w:r>
          </w:p>
        </w:tc>
        <w:tc>
          <w:tcPr>
            <w:tcW w:w="5922" w:type="dxa"/>
            <w:gridSpan w:val="2"/>
            <w:shd w:val="clear" w:color="auto" w:fill="auto"/>
          </w:tcPr>
          <w:p w14:paraId="332771BB" w14:textId="77777777" w:rsidR="00F50C35" w:rsidRPr="00622ABC" w:rsidRDefault="00622ABC">
            <w:pPr>
              <w:rPr>
                <w:rFonts w:ascii="Times New Roman" w:eastAsia="Times New Roman" w:hAnsi="Times New Roman"/>
                <w:b/>
                <w:bCs/>
                <w:sz w:val="26"/>
                <w:szCs w:val="26"/>
                <w:rtl/>
              </w:rPr>
            </w:pPr>
            <w:r w:rsidRPr="00622ABC">
              <w:rPr>
                <w:rFonts w:ascii="Times New Roman" w:eastAsia="Times New Roman" w:hAnsi="Times New Roman" w:hint="cs"/>
                <w:rtl/>
              </w:rPr>
              <w:t>אייל רוטבליט</w:t>
            </w:r>
          </w:p>
        </w:tc>
      </w:tr>
    </w:tbl>
    <w:p w14:paraId="227F39B9" w14:textId="77777777" w:rsidR="00F50C35" w:rsidRPr="00622ABC" w:rsidRDefault="00F50C35">
      <w:pPr>
        <w:spacing w:line="360" w:lineRule="auto"/>
        <w:jc w:val="both"/>
        <w:rPr>
          <w:rtl/>
        </w:rPr>
      </w:pPr>
    </w:p>
    <w:p w14:paraId="05D644DE" w14:textId="77777777" w:rsidR="00F50C35" w:rsidRPr="00622ABC" w:rsidRDefault="00622ABC">
      <w:pPr>
        <w:spacing w:line="360" w:lineRule="auto"/>
        <w:jc w:val="both"/>
        <w:rPr>
          <w:sz w:val="6"/>
          <w:szCs w:val="6"/>
          <w:rtl/>
        </w:rPr>
      </w:pPr>
      <w:r w:rsidRPr="00622ABC">
        <w:rPr>
          <w:sz w:val="6"/>
          <w:szCs w:val="6"/>
          <w:rtl/>
        </w:rPr>
        <w:t>&lt;#1#&gt;</w:t>
      </w:r>
    </w:p>
    <w:p w14:paraId="081C9B88" w14:textId="77777777" w:rsidR="00F50C35" w:rsidRPr="00622ABC" w:rsidRDefault="00F50C35">
      <w:pPr>
        <w:pStyle w:val="12"/>
        <w:rPr>
          <w:b w:val="0"/>
          <w:bCs w:val="0"/>
          <w:u w:val="none"/>
          <w:rtl/>
        </w:rPr>
      </w:pPr>
    </w:p>
    <w:p w14:paraId="4C8765F1" w14:textId="77777777" w:rsidR="00F50C35" w:rsidRPr="00622ABC" w:rsidRDefault="00622ABC">
      <w:pPr>
        <w:spacing w:after="160" w:line="259" w:lineRule="auto"/>
        <w:rPr>
          <w:rFonts w:ascii="Calibri" w:eastAsia="Times New Roman" w:hAnsi="Calibri"/>
          <w:b/>
          <w:bCs/>
          <w:rtl/>
        </w:rPr>
      </w:pPr>
      <w:r w:rsidRPr="00622ABC">
        <w:rPr>
          <w:rFonts w:ascii="Calibri" w:eastAsia="Times New Roman" w:hAnsi="Calibri" w:hint="eastAsia"/>
          <w:b/>
          <w:bCs/>
          <w:rtl/>
        </w:rPr>
        <w:t>נוכחים</w:t>
      </w:r>
      <w:r w:rsidRPr="00622ABC">
        <w:rPr>
          <w:rFonts w:ascii="Calibri" w:eastAsia="Times New Roman" w:hAnsi="Calibri"/>
          <w:b/>
          <w:bCs/>
          <w:rtl/>
        </w:rPr>
        <w:t>:</w:t>
      </w:r>
    </w:p>
    <w:p w14:paraId="015EB339" w14:textId="77777777" w:rsidR="00F50C35" w:rsidRPr="00622ABC" w:rsidRDefault="00622ABC">
      <w:pPr>
        <w:spacing w:after="160" w:line="259" w:lineRule="auto"/>
        <w:rPr>
          <w:rFonts w:ascii="Calibri" w:eastAsia="Times New Roman" w:hAnsi="Calibri"/>
          <w:rtl/>
        </w:rPr>
      </w:pPr>
      <w:bookmarkStart w:id="2" w:name="FirstLawyer"/>
      <w:r w:rsidRPr="00622ABC">
        <w:rPr>
          <w:rFonts w:ascii="Calibri" w:eastAsia="Times New Roman" w:hAnsi="Calibri" w:hint="eastAsia"/>
          <w:rtl/>
        </w:rPr>
        <w:t>ב</w:t>
      </w:r>
      <w:r w:rsidRPr="00622ABC">
        <w:rPr>
          <w:rFonts w:ascii="Calibri" w:eastAsia="Times New Roman" w:hAnsi="Calibri"/>
          <w:rtl/>
        </w:rPr>
        <w:t>"</w:t>
      </w:r>
      <w:r w:rsidRPr="00622ABC">
        <w:rPr>
          <w:rFonts w:ascii="Calibri" w:eastAsia="Times New Roman" w:hAnsi="Calibri" w:hint="eastAsia"/>
          <w:rtl/>
        </w:rPr>
        <w:t>כ</w:t>
      </w:r>
      <w:bookmarkEnd w:id="2"/>
      <w:r w:rsidRPr="00622ABC">
        <w:rPr>
          <w:rFonts w:ascii="Calibri" w:eastAsia="Times New Roman" w:hAnsi="Calibri"/>
          <w:rtl/>
        </w:rPr>
        <w:t xml:space="preserve"> </w:t>
      </w:r>
      <w:r w:rsidRPr="00622ABC">
        <w:rPr>
          <w:rFonts w:ascii="Calibri" w:eastAsia="Times New Roman" w:hAnsi="Calibri" w:hint="eastAsia"/>
          <w:rtl/>
        </w:rPr>
        <w:t>המאשימה</w:t>
      </w:r>
      <w:r w:rsidRPr="00622ABC">
        <w:rPr>
          <w:rFonts w:ascii="Calibri" w:eastAsia="Times New Roman" w:hAnsi="Calibri"/>
          <w:rtl/>
        </w:rPr>
        <w:t xml:space="preserve"> </w:t>
      </w:r>
      <w:r w:rsidRPr="00622ABC">
        <w:rPr>
          <w:rFonts w:ascii="Calibri" w:eastAsia="Times New Roman" w:hAnsi="Calibri" w:hint="eastAsia"/>
          <w:rtl/>
        </w:rPr>
        <w:t>עו</w:t>
      </w:r>
      <w:r w:rsidRPr="00622ABC">
        <w:rPr>
          <w:rFonts w:ascii="Calibri" w:eastAsia="Times New Roman" w:hAnsi="Calibri"/>
          <w:rtl/>
        </w:rPr>
        <w:t>"</w:t>
      </w:r>
      <w:r w:rsidRPr="00622ABC">
        <w:rPr>
          <w:rFonts w:ascii="Calibri" w:eastAsia="Times New Roman" w:hAnsi="Calibri" w:hint="eastAsia"/>
          <w:rtl/>
        </w:rPr>
        <w:t>ד</w:t>
      </w:r>
      <w:r w:rsidRPr="00622ABC">
        <w:rPr>
          <w:rFonts w:ascii="Calibri" w:eastAsia="Times New Roman" w:hAnsi="Calibri"/>
          <w:rtl/>
        </w:rPr>
        <w:t xml:space="preserve"> </w:t>
      </w:r>
      <w:r w:rsidRPr="00622ABC">
        <w:rPr>
          <w:rFonts w:ascii="Calibri" w:eastAsia="Times New Roman" w:hAnsi="Calibri" w:hint="eastAsia"/>
          <w:rtl/>
        </w:rPr>
        <w:t>יפעת</w:t>
      </w:r>
      <w:r w:rsidRPr="00622ABC">
        <w:rPr>
          <w:rFonts w:ascii="Calibri" w:eastAsia="Times New Roman" w:hAnsi="Calibri"/>
          <w:rtl/>
        </w:rPr>
        <w:t xml:space="preserve"> </w:t>
      </w:r>
      <w:r w:rsidRPr="00622ABC">
        <w:rPr>
          <w:rFonts w:ascii="Calibri" w:eastAsia="Times New Roman" w:hAnsi="Calibri" w:hint="eastAsia"/>
          <w:rtl/>
        </w:rPr>
        <w:t>פינצובר</w:t>
      </w:r>
    </w:p>
    <w:p w14:paraId="290E3347" w14:textId="77777777" w:rsidR="009326F7" w:rsidRDefault="00622ABC">
      <w:pPr>
        <w:spacing w:after="160" w:line="259" w:lineRule="auto"/>
        <w:rPr>
          <w:rFonts w:ascii="Calibri" w:eastAsia="Times New Roman" w:hAnsi="Calibri"/>
          <w:rtl/>
        </w:rPr>
      </w:pPr>
      <w:r w:rsidRPr="00622ABC">
        <w:rPr>
          <w:rFonts w:ascii="Calibri" w:eastAsia="Times New Roman" w:hAnsi="Calibri" w:hint="eastAsia"/>
          <w:rtl/>
        </w:rPr>
        <w:t>הנאשם</w:t>
      </w:r>
      <w:r w:rsidRPr="00622ABC">
        <w:rPr>
          <w:rFonts w:ascii="Calibri" w:eastAsia="Times New Roman" w:hAnsi="Calibri"/>
          <w:rtl/>
        </w:rPr>
        <w:t xml:space="preserve"> </w:t>
      </w:r>
      <w:r w:rsidRPr="00622ABC">
        <w:rPr>
          <w:rFonts w:ascii="Calibri" w:eastAsia="Times New Roman" w:hAnsi="Calibri" w:hint="cs"/>
          <w:rtl/>
        </w:rPr>
        <w:t>בעצמו וב"כ עו"ד גרוס</w:t>
      </w:r>
      <w:bookmarkStart w:id="3" w:name="LawTable"/>
      <w:bookmarkEnd w:id="3"/>
    </w:p>
    <w:p w14:paraId="20D1ECA9" w14:textId="77777777" w:rsidR="009326F7" w:rsidRPr="009326F7" w:rsidRDefault="009326F7" w:rsidP="009326F7">
      <w:pPr>
        <w:spacing w:after="120" w:line="240" w:lineRule="exact"/>
        <w:ind w:left="283" w:hanging="283"/>
        <w:jc w:val="both"/>
        <w:rPr>
          <w:rFonts w:ascii="FrankRuehl" w:eastAsia="Times New Roman" w:hAnsi="FrankRuehl" w:cs="FrankRuehl"/>
          <w:rtl/>
        </w:rPr>
      </w:pPr>
    </w:p>
    <w:p w14:paraId="3070C169" w14:textId="77777777" w:rsidR="009326F7" w:rsidRPr="009326F7" w:rsidRDefault="009326F7" w:rsidP="009326F7">
      <w:pPr>
        <w:spacing w:after="120" w:line="240" w:lineRule="exact"/>
        <w:ind w:left="283" w:hanging="283"/>
        <w:jc w:val="both"/>
        <w:rPr>
          <w:rFonts w:ascii="FrankRuehl" w:eastAsia="Times New Roman" w:hAnsi="FrankRuehl" w:cs="FrankRuehl"/>
          <w:rtl/>
        </w:rPr>
      </w:pPr>
      <w:r w:rsidRPr="009326F7">
        <w:rPr>
          <w:rFonts w:ascii="FrankRuehl" w:eastAsia="Times New Roman" w:hAnsi="FrankRuehl" w:cs="FrankRuehl" w:hint="eastAsia"/>
          <w:rtl/>
        </w:rPr>
        <w:t>חקיקה</w:t>
      </w:r>
      <w:r w:rsidRPr="009326F7">
        <w:rPr>
          <w:rFonts w:ascii="FrankRuehl" w:eastAsia="Times New Roman" w:hAnsi="FrankRuehl" w:cs="FrankRuehl"/>
          <w:rtl/>
        </w:rPr>
        <w:t xml:space="preserve"> </w:t>
      </w:r>
      <w:r w:rsidRPr="009326F7">
        <w:rPr>
          <w:rFonts w:ascii="FrankRuehl" w:eastAsia="Times New Roman" w:hAnsi="FrankRuehl" w:cs="FrankRuehl" w:hint="eastAsia"/>
          <w:rtl/>
        </w:rPr>
        <w:t>שאוזכרה</w:t>
      </w:r>
      <w:r w:rsidRPr="009326F7">
        <w:rPr>
          <w:rFonts w:ascii="FrankRuehl" w:eastAsia="Times New Roman" w:hAnsi="FrankRuehl" w:cs="FrankRuehl"/>
          <w:rtl/>
        </w:rPr>
        <w:t xml:space="preserve">: </w:t>
      </w:r>
    </w:p>
    <w:p w14:paraId="70B8A934" w14:textId="77777777" w:rsidR="009326F7" w:rsidRPr="009326F7" w:rsidRDefault="009326F7" w:rsidP="009326F7">
      <w:pPr>
        <w:spacing w:after="120" w:line="240" w:lineRule="exact"/>
        <w:ind w:left="283" w:hanging="283"/>
        <w:jc w:val="both"/>
        <w:rPr>
          <w:rFonts w:ascii="FrankRuehl" w:eastAsia="Times New Roman" w:hAnsi="FrankRuehl" w:cs="FrankRuehl"/>
          <w:rtl/>
        </w:rPr>
      </w:pPr>
      <w:hyperlink r:id="rId7" w:history="1">
        <w:r w:rsidRPr="009326F7">
          <w:rPr>
            <w:rFonts w:ascii="FrankRuehl" w:eastAsia="Times New Roman" w:hAnsi="FrankRuehl" w:cs="FrankRuehl" w:hint="eastAsia"/>
            <w:color w:val="0000FF"/>
            <w:u w:val="single"/>
            <w:rtl/>
          </w:rPr>
          <w:t>פקודת</w:t>
        </w:r>
        <w:r w:rsidRPr="009326F7">
          <w:rPr>
            <w:rFonts w:ascii="FrankRuehl" w:eastAsia="Times New Roman" w:hAnsi="FrankRuehl" w:cs="FrankRuehl"/>
            <w:color w:val="0000FF"/>
            <w:u w:val="single"/>
            <w:rtl/>
          </w:rPr>
          <w:t xml:space="preserve"> </w:t>
        </w:r>
        <w:r w:rsidRPr="009326F7">
          <w:rPr>
            <w:rFonts w:ascii="FrankRuehl" w:eastAsia="Times New Roman" w:hAnsi="FrankRuehl" w:cs="FrankRuehl" w:hint="eastAsia"/>
            <w:color w:val="0000FF"/>
            <w:u w:val="single"/>
            <w:rtl/>
          </w:rPr>
          <w:t>הסמים</w:t>
        </w:r>
        <w:r w:rsidRPr="009326F7">
          <w:rPr>
            <w:rFonts w:ascii="FrankRuehl" w:eastAsia="Times New Roman" w:hAnsi="FrankRuehl" w:cs="FrankRuehl"/>
            <w:color w:val="0000FF"/>
            <w:u w:val="single"/>
            <w:rtl/>
          </w:rPr>
          <w:t xml:space="preserve"> </w:t>
        </w:r>
        <w:r w:rsidRPr="009326F7">
          <w:rPr>
            <w:rFonts w:ascii="FrankRuehl" w:eastAsia="Times New Roman" w:hAnsi="FrankRuehl" w:cs="FrankRuehl" w:hint="eastAsia"/>
            <w:color w:val="0000FF"/>
            <w:u w:val="single"/>
            <w:rtl/>
          </w:rPr>
          <w:t>המסוכנים</w:t>
        </w:r>
        <w:r w:rsidRPr="009326F7">
          <w:rPr>
            <w:rFonts w:ascii="FrankRuehl" w:eastAsia="Times New Roman" w:hAnsi="FrankRuehl" w:cs="FrankRuehl"/>
            <w:color w:val="0000FF"/>
            <w:u w:val="single"/>
            <w:rtl/>
          </w:rPr>
          <w:t xml:space="preserve"> [</w:t>
        </w:r>
        <w:r w:rsidRPr="009326F7">
          <w:rPr>
            <w:rFonts w:ascii="FrankRuehl" w:eastAsia="Times New Roman" w:hAnsi="FrankRuehl" w:cs="FrankRuehl" w:hint="eastAsia"/>
            <w:color w:val="0000FF"/>
            <w:u w:val="single"/>
            <w:rtl/>
          </w:rPr>
          <w:t>נוסח</w:t>
        </w:r>
        <w:r w:rsidRPr="009326F7">
          <w:rPr>
            <w:rFonts w:ascii="FrankRuehl" w:eastAsia="Times New Roman" w:hAnsi="FrankRuehl" w:cs="FrankRuehl"/>
            <w:color w:val="0000FF"/>
            <w:u w:val="single"/>
            <w:rtl/>
          </w:rPr>
          <w:t xml:space="preserve"> </w:t>
        </w:r>
        <w:r w:rsidRPr="009326F7">
          <w:rPr>
            <w:rFonts w:ascii="FrankRuehl" w:eastAsia="Times New Roman" w:hAnsi="FrankRuehl" w:cs="FrankRuehl" w:hint="eastAsia"/>
            <w:color w:val="0000FF"/>
            <w:u w:val="single"/>
            <w:rtl/>
          </w:rPr>
          <w:t>חדש</w:t>
        </w:r>
        <w:r w:rsidRPr="009326F7">
          <w:rPr>
            <w:rFonts w:ascii="FrankRuehl" w:eastAsia="Times New Roman" w:hAnsi="FrankRuehl" w:cs="FrankRuehl"/>
            <w:color w:val="0000FF"/>
            <w:u w:val="single"/>
            <w:rtl/>
          </w:rPr>
          <w:t xml:space="preserve">], </w:t>
        </w:r>
        <w:r w:rsidRPr="009326F7">
          <w:rPr>
            <w:rFonts w:ascii="FrankRuehl" w:eastAsia="Times New Roman" w:hAnsi="FrankRuehl" w:cs="FrankRuehl" w:hint="eastAsia"/>
            <w:color w:val="0000FF"/>
            <w:u w:val="single"/>
            <w:rtl/>
          </w:rPr>
          <w:t>תשל</w:t>
        </w:r>
        <w:r w:rsidRPr="009326F7">
          <w:rPr>
            <w:rFonts w:ascii="FrankRuehl" w:eastAsia="Times New Roman" w:hAnsi="FrankRuehl" w:cs="FrankRuehl"/>
            <w:color w:val="0000FF"/>
            <w:u w:val="single"/>
            <w:rtl/>
          </w:rPr>
          <w:t>"</w:t>
        </w:r>
        <w:r w:rsidRPr="009326F7">
          <w:rPr>
            <w:rFonts w:ascii="FrankRuehl" w:eastAsia="Times New Roman" w:hAnsi="FrankRuehl" w:cs="FrankRuehl" w:hint="eastAsia"/>
            <w:color w:val="0000FF"/>
            <w:u w:val="single"/>
            <w:rtl/>
          </w:rPr>
          <w:t>ג</w:t>
        </w:r>
        <w:r w:rsidRPr="009326F7">
          <w:rPr>
            <w:rFonts w:ascii="FrankRuehl" w:eastAsia="Times New Roman" w:hAnsi="FrankRuehl" w:cs="FrankRuehl"/>
            <w:color w:val="0000FF"/>
            <w:u w:val="single"/>
            <w:rtl/>
          </w:rPr>
          <w:t>-1973</w:t>
        </w:r>
      </w:hyperlink>
      <w:r w:rsidRPr="009326F7">
        <w:rPr>
          <w:rFonts w:ascii="FrankRuehl" w:eastAsia="Times New Roman" w:hAnsi="FrankRuehl" w:cs="FrankRuehl"/>
          <w:rtl/>
        </w:rPr>
        <w:t xml:space="preserve">: </w:t>
      </w:r>
      <w:r w:rsidRPr="009326F7">
        <w:rPr>
          <w:rFonts w:ascii="FrankRuehl" w:eastAsia="Times New Roman" w:hAnsi="FrankRuehl" w:cs="FrankRuehl" w:hint="eastAsia"/>
          <w:rtl/>
        </w:rPr>
        <w:t>סע</w:t>
      </w:r>
      <w:r w:rsidRPr="009326F7">
        <w:rPr>
          <w:rFonts w:ascii="FrankRuehl" w:eastAsia="Times New Roman" w:hAnsi="FrankRuehl" w:cs="FrankRuehl"/>
          <w:rtl/>
        </w:rPr>
        <w:t xml:space="preserve">'  </w:t>
      </w:r>
      <w:hyperlink r:id="rId8" w:history="1">
        <w:r w:rsidRPr="009326F7">
          <w:rPr>
            <w:rFonts w:ascii="FrankRuehl" w:eastAsia="Times New Roman" w:hAnsi="FrankRuehl" w:cs="FrankRuehl"/>
            <w:color w:val="0000FF"/>
            <w:u w:val="single"/>
            <w:rtl/>
          </w:rPr>
          <w:t>6</w:t>
        </w:r>
      </w:hyperlink>
    </w:p>
    <w:p w14:paraId="77402018" w14:textId="77777777" w:rsidR="009326F7" w:rsidRPr="009326F7" w:rsidRDefault="009326F7" w:rsidP="009326F7">
      <w:pPr>
        <w:spacing w:after="120" w:line="240" w:lineRule="exact"/>
        <w:ind w:left="283" w:hanging="283"/>
        <w:jc w:val="both"/>
        <w:rPr>
          <w:rFonts w:ascii="FrankRuehl" w:eastAsia="Times New Roman" w:hAnsi="FrankRuehl" w:cs="FrankRuehl"/>
          <w:rtl/>
        </w:rPr>
      </w:pPr>
      <w:hyperlink r:id="rId9" w:history="1">
        <w:r w:rsidRPr="009326F7">
          <w:rPr>
            <w:rFonts w:ascii="FrankRuehl" w:eastAsia="Times New Roman" w:hAnsi="FrankRuehl" w:cs="FrankRuehl" w:hint="eastAsia"/>
            <w:color w:val="0000FF"/>
            <w:u w:val="single"/>
            <w:rtl/>
          </w:rPr>
          <w:t>חוק</w:t>
        </w:r>
        <w:r w:rsidRPr="009326F7">
          <w:rPr>
            <w:rFonts w:ascii="FrankRuehl" w:eastAsia="Times New Roman" w:hAnsi="FrankRuehl" w:cs="FrankRuehl"/>
            <w:color w:val="0000FF"/>
            <w:u w:val="single"/>
            <w:rtl/>
          </w:rPr>
          <w:t xml:space="preserve"> </w:t>
        </w:r>
        <w:r w:rsidRPr="009326F7">
          <w:rPr>
            <w:rFonts w:ascii="FrankRuehl" w:eastAsia="Times New Roman" w:hAnsi="FrankRuehl" w:cs="FrankRuehl" w:hint="eastAsia"/>
            <w:color w:val="0000FF"/>
            <w:u w:val="single"/>
            <w:rtl/>
          </w:rPr>
          <w:t>העונשין</w:t>
        </w:r>
        <w:r w:rsidRPr="009326F7">
          <w:rPr>
            <w:rFonts w:ascii="FrankRuehl" w:eastAsia="Times New Roman" w:hAnsi="FrankRuehl" w:cs="FrankRuehl"/>
            <w:color w:val="0000FF"/>
            <w:u w:val="single"/>
            <w:rtl/>
          </w:rPr>
          <w:t xml:space="preserve">, </w:t>
        </w:r>
        <w:r w:rsidRPr="009326F7">
          <w:rPr>
            <w:rFonts w:ascii="FrankRuehl" w:eastAsia="Times New Roman" w:hAnsi="FrankRuehl" w:cs="FrankRuehl" w:hint="eastAsia"/>
            <w:color w:val="0000FF"/>
            <w:u w:val="single"/>
            <w:rtl/>
          </w:rPr>
          <w:t>תשל</w:t>
        </w:r>
        <w:r w:rsidRPr="009326F7">
          <w:rPr>
            <w:rFonts w:ascii="FrankRuehl" w:eastAsia="Times New Roman" w:hAnsi="FrankRuehl" w:cs="FrankRuehl"/>
            <w:color w:val="0000FF"/>
            <w:u w:val="single"/>
            <w:rtl/>
          </w:rPr>
          <w:t>"</w:t>
        </w:r>
        <w:r w:rsidRPr="009326F7">
          <w:rPr>
            <w:rFonts w:ascii="FrankRuehl" w:eastAsia="Times New Roman" w:hAnsi="FrankRuehl" w:cs="FrankRuehl" w:hint="eastAsia"/>
            <w:color w:val="0000FF"/>
            <w:u w:val="single"/>
            <w:rtl/>
          </w:rPr>
          <w:t>ז</w:t>
        </w:r>
        <w:r w:rsidRPr="009326F7">
          <w:rPr>
            <w:rFonts w:ascii="FrankRuehl" w:eastAsia="Times New Roman" w:hAnsi="FrankRuehl" w:cs="FrankRuehl"/>
            <w:color w:val="0000FF"/>
            <w:u w:val="single"/>
            <w:rtl/>
          </w:rPr>
          <w:t>-1977</w:t>
        </w:r>
      </w:hyperlink>
      <w:r w:rsidRPr="009326F7">
        <w:rPr>
          <w:rFonts w:ascii="FrankRuehl" w:eastAsia="Times New Roman" w:hAnsi="FrankRuehl" w:cs="FrankRuehl"/>
          <w:rtl/>
        </w:rPr>
        <w:t xml:space="preserve">: </w:t>
      </w:r>
      <w:r w:rsidRPr="009326F7">
        <w:rPr>
          <w:rFonts w:ascii="FrankRuehl" w:eastAsia="Times New Roman" w:hAnsi="FrankRuehl" w:cs="FrankRuehl" w:hint="eastAsia"/>
          <w:rtl/>
        </w:rPr>
        <w:t>סע</w:t>
      </w:r>
      <w:r w:rsidRPr="009326F7">
        <w:rPr>
          <w:rFonts w:ascii="FrankRuehl" w:eastAsia="Times New Roman" w:hAnsi="FrankRuehl" w:cs="FrankRuehl"/>
          <w:rtl/>
        </w:rPr>
        <w:t xml:space="preserve">'  </w:t>
      </w:r>
      <w:hyperlink r:id="rId10" w:history="1">
        <w:r w:rsidRPr="009326F7">
          <w:rPr>
            <w:rFonts w:ascii="FrankRuehl" w:eastAsia="Times New Roman" w:hAnsi="FrankRuehl" w:cs="FrankRuehl"/>
            <w:color w:val="0000FF"/>
            <w:u w:val="single"/>
            <w:rtl/>
          </w:rPr>
          <w:t xml:space="preserve">40 </w:t>
        </w:r>
        <w:r w:rsidRPr="009326F7">
          <w:rPr>
            <w:rFonts w:ascii="FrankRuehl" w:eastAsia="Times New Roman" w:hAnsi="FrankRuehl" w:cs="FrankRuehl" w:hint="eastAsia"/>
            <w:color w:val="0000FF"/>
            <w:u w:val="single"/>
            <w:rtl/>
          </w:rPr>
          <w:t>ב</w:t>
        </w:r>
        <w:r w:rsidRPr="009326F7">
          <w:rPr>
            <w:rFonts w:ascii="FrankRuehl" w:eastAsia="Times New Roman" w:hAnsi="FrankRuehl" w:cs="FrankRuehl"/>
            <w:color w:val="0000FF"/>
            <w:u w:val="single"/>
            <w:rtl/>
          </w:rPr>
          <w:t>'</w:t>
        </w:r>
      </w:hyperlink>
      <w:r w:rsidRPr="009326F7">
        <w:rPr>
          <w:rFonts w:ascii="FrankRuehl" w:eastAsia="Times New Roman" w:hAnsi="FrankRuehl" w:cs="FrankRuehl"/>
          <w:rtl/>
        </w:rPr>
        <w:t xml:space="preserve">, </w:t>
      </w:r>
      <w:hyperlink r:id="rId11" w:history="1">
        <w:r w:rsidRPr="009326F7">
          <w:rPr>
            <w:rFonts w:ascii="FrankRuehl" w:eastAsia="Times New Roman" w:hAnsi="FrankRuehl" w:cs="FrankRuehl"/>
            <w:color w:val="0000FF"/>
            <w:u w:val="single"/>
            <w:rtl/>
          </w:rPr>
          <w:t xml:space="preserve">40 </w:t>
        </w:r>
        <w:r w:rsidRPr="009326F7">
          <w:rPr>
            <w:rFonts w:ascii="FrankRuehl" w:eastAsia="Times New Roman" w:hAnsi="FrankRuehl" w:cs="FrankRuehl" w:hint="eastAsia"/>
            <w:color w:val="0000FF"/>
            <w:u w:val="single"/>
            <w:rtl/>
          </w:rPr>
          <w:t>ג</w:t>
        </w:r>
        <w:r w:rsidRPr="009326F7">
          <w:rPr>
            <w:rFonts w:ascii="FrankRuehl" w:eastAsia="Times New Roman" w:hAnsi="FrankRuehl" w:cs="FrankRuehl"/>
            <w:color w:val="0000FF"/>
            <w:u w:val="single"/>
            <w:rtl/>
          </w:rPr>
          <w:t>' (</w:t>
        </w:r>
        <w:r w:rsidRPr="009326F7">
          <w:rPr>
            <w:rFonts w:ascii="FrankRuehl" w:eastAsia="Times New Roman" w:hAnsi="FrankRuehl" w:cs="FrankRuehl" w:hint="eastAsia"/>
            <w:color w:val="0000FF"/>
            <w:u w:val="single"/>
            <w:rtl/>
          </w:rPr>
          <w:t>א</w:t>
        </w:r>
        <w:r w:rsidRPr="009326F7">
          <w:rPr>
            <w:rFonts w:ascii="FrankRuehl" w:eastAsia="Times New Roman" w:hAnsi="FrankRuehl" w:cs="FrankRuehl"/>
            <w:color w:val="0000FF"/>
            <w:u w:val="single"/>
            <w:rtl/>
          </w:rPr>
          <w:t>)</w:t>
        </w:r>
      </w:hyperlink>
      <w:r w:rsidRPr="009326F7">
        <w:rPr>
          <w:rFonts w:ascii="FrankRuehl" w:eastAsia="Times New Roman" w:hAnsi="FrankRuehl" w:cs="FrankRuehl"/>
          <w:rtl/>
        </w:rPr>
        <w:t xml:space="preserve">, </w:t>
      </w:r>
      <w:hyperlink r:id="rId12" w:history="1">
        <w:r w:rsidRPr="009326F7">
          <w:rPr>
            <w:rFonts w:ascii="FrankRuehl" w:eastAsia="Times New Roman" w:hAnsi="FrankRuehl" w:cs="FrankRuehl"/>
            <w:color w:val="0000FF"/>
            <w:u w:val="single"/>
            <w:rtl/>
          </w:rPr>
          <w:t>40</w:t>
        </w:r>
        <w:r w:rsidRPr="009326F7">
          <w:rPr>
            <w:rFonts w:ascii="FrankRuehl" w:eastAsia="Times New Roman" w:hAnsi="FrankRuehl" w:cs="FrankRuehl" w:hint="eastAsia"/>
            <w:color w:val="0000FF"/>
            <w:u w:val="single"/>
            <w:rtl/>
          </w:rPr>
          <w:t>ד</w:t>
        </w:r>
        <w:r w:rsidRPr="009326F7">
          <w:rPr>
            <w:rFonts w:ascii="FrankRuehl" w:eastAsia="Times New Roman" w:hAnsi="FrankRuehl" w:cs="FrankRuehl"/>
            <w:color w:val="0000FF"/>
            <w:u w:val="single"/>
            <w:rtl/>
          </w:rPr>
          <w:t>(</w:t>
        </w:r>
        <w:r w:rsidRPr="009326F7">
          <w:rPr>
            <w:rFonts w:ascii="FrankRuehl" w:eastAsia="Times New Roman" w:hAnsi="FrankRuehl" w:cs="FrankRuehl" w:hint="eastAsia"/>
            <w:color w:val="0000FF"/>
            <w:u w:val="single"/>
            <w:rtl/>
          </w:rPr>
          <w:t>א</w:t>
        </w:r>
        <w:r w:rsidRPr="009326F7">
          <w:rPr>
            <w:rFonts w:ascii="FrankRuehl" w:eastAsia="Times New Roman" w:hAnsi="FrankRuehl" w:cs="FrankRuehl"/>
            <w:color w:val="0000FF"/>
            <w:u w:val="single"/>
            <w:rtl/>
          </w:rPr>
          <w:t>)</w:t>
        </w:r>
      </w:hyperlink>
      <w:r w:rsidRPr="009326F7">
        <w:rPr>
          <w:rFonts w:ascii="FrankRuehl" w:eastAsia="Times New Roman" w:hAnsi="FrankRuehl" w:cs="FrankRuehl"/>
          <w:rtl/>
        </w:rPr>
        <w:t xml:space="preserve">, </w:t>
      </w:r>
      <w:hyperlink r:id="rId13" w:history="1">
        <w:r w:rsidRPr="009326F7">
          <w:rPr>
            <w:rFonts w:ascii="FrankRuehl" w:eastAsia="Times New Roman" w:hAnsi="FrankRuehl" w:cs="FrankRuehl"/>
            <w:color w:val="0000FF"/>
            <w:u w:val="single"/>
            <w:rtl/>
          </w:rPr>
          <w:t>40</w:t>
        </w:r>
        <w:r w:rsidRPr="009326F7">
          <w:rPr>
            <w:rFonts w:ascii="FrankRuehl" w:eastAsia="Times New Roman" w:hAnsi="FrankRuehl" w:cs="FrankRuehl" w:hint="eastAsia"/>
            <w:color w:val="0000FF"/>
            <w:u w:val="single"/>
            <w:rtl/>
          </w:rPr>
          <w:t>יא</w:t>
        </w:r>
      </w:hyperlink>
    </w:p>
    <w:p w14:paraId="721C2609" w14:textId="77777777" w:rsidR="009326F7" w:rsidRPr="009326F7" w:rsidRDefault="009326F7" w:rsidP="009326F7">
      <w:pPr>
        <w:spacing w:after="120" w:line="240" w:lineRule="exact"/>
        <w:ind w:left="283" w:hanging="283"/>
        <w:jc w:val="both"/>
        <w:rPr>
          <w:rFonts w:ascii="FrankRuehl" w:eastAsia="Times New Roman" w:hAnsi="FrankRuehl" w:cs="FrankRuehl"/>
          <w:rtl/>
        </w:rPr>
      </w:pPr>
    </w:p>
    <w:p w14:paraId="3CEC2812" w14:textId="77777777" w:rsidR="009326F7" w:rsidRPr="009326F7" w:rsidRDefault="009326F7">
      <w:pPr>
        <w:spacing w:after="160" w:line="259" w:lineRule="auto"/>
        <w:rPr>
          <w:rFonts w:ascii="Calibri" w:eastAsia="Times New Roman" w:hAnsi="Calibri"/>
          <w:rtl/>
        </w:rPr>
      </w:pPr>
      <w:bookmarkStart w:id="4" w:name="LawTable_End"/>
      <w:bookmarkEnd w:id="4"/>
    </w:p>
    <w:p w14:paraId="4ACA1DAB" w14:textId="77777777" w:rsidR="009326F7" w:rsidRPr="009326F7" w:rsidRDefault="009326F7">
      <w:pPr>
        <w:spacing w:after="160" w:line="259" w:lineRule="auto"/>
        <w:rPr>
          <w:rFonts w:ascii="Calibri" w:eastAsia="Times New Roman" w:hAnsi="Calibri"/>
          <w:rtl/>
        </w:rPr>
      </w:pPr>
    </w:p>
    <w:p w14:paraId="46E10EE0" w14:textId="77777777" w:rsidR="00F50C35" w:rsidRPr="009326F7" w:rsidRDefault="00F50C35">
      <w:pPr>
        <w:spacing w:after="160" w:line="259" w:lineRule="auto"/>
        <w:rPr>
          <w:rFonts w:ascii="Calibri" w:eastAsia="Times New Roman" w:hAnsi="Calibri"/>
          <w:rtl/>
        </w:rPr>
      </w:pPr>
    </w:p>
    <w:p w14:paraId="4304747A" w14:textId="77777777" w:rsidR="00622ABC" w:rsidRPr="00622ABC" w:rsidRDefault="00622ABC" w:rsidP="00622ABC">
      <w:pPr>
        <w:spacing w:line="360" w:lineRule="auto"/>
        <w:jc w:val="center"/>
        <w:rPr>
          <w:rFonts w:ascii="Arial" w:hAnsi="Arial"/>
          <w:b/>
          <w:bCs/>
          <w:sz w:val="28"/>
          <w:szCs w:val="28"/>
          <w:u w:val="single"/>
          <w:rtl/>
        </w:rPr>
      </w:pPr>
      <w:bookmarkStart w:id="5" w:name="PsakDin"/>
      <w:bookmarkEnd w:id="0"/>
      <w:r w:rsidRPr="00622ABC">
        <w:rPr>
          <w:rFonts w:ascii="Arial" w:hAnsi="Arial"/>
          <w:b/>
          <w:bCs/>
          <w:sz w:val="28"/>
          <w:szCs w:val="28"/>
          <w:u w:val="single"/>
          <w:rtl/>
        </w:rPr>
        <w:t>גזר דין</w:t>
      </w:r>
    </w:p>
    <w:bookmarkEnd w:id="5"/>
    <w:p w14:paraId="1CF542A4" w14:textId="77777777" w:rsidR="00F50C35" w:rsidRDefault="00F50C35">
      <w:pPr>
        <w:spacing w:line="360" w:lineRule="auto"/>
        <w:jc w:val="both"/>
      </w:pPr>
    </w:p>
    <w:p w14:paraId="080A4AA6" w14:textId="77777777" w:rsidR="00F50C35" w:rsidRDefault="00622ABC">
      <w:pPr>
        <w:spacing w:line="360" w:lineRule="auto"/>
        <w:ind w:left="720" w:hanging="720"/>
        <w:jc w:val="both"/>
        <w:rPr>
          <w:rtl/>
        </w:rPr>
      </w:pPr>
      <w:r>
        <w:rPr>
          <w:rFonts w:hint="cs"/>
          <w:rtl/>
        </w:rPr>
        <w:t>1.</w:t>
      </w:r>
      <w:r>
        <w:rPr>
          <w:rFonts w:hint="cs"/>
          <w:rtl/>
        </w:rPr>
        <w:tab/>
      </w:r>
      <w:bookmarkStart w:id="6" w:name="ABSTRACT_START"/>
      <w:bookmarkEnd w:id="6"/>
      <w:r>
        <w:rPr>
          <w:rFonts w:hint="cs"/>
          <w:rtl/>
        </w:rPr>
        <w:t xml:space="preserve">הנאשם הורשע, על פי הודאתו, בעובדות כתב האישום המתוקן, המייחס לו עבירה של גידול סמים מסוכנים, עבירה על </w:t>
      </w:r>
      <w:hyperlink r:id="rId14" w:history="1">
        <w:r w:rsidR="00384890" w:rsidRPr="00384890">
          <w:rPr>
            <w:color w:val="0000FF"/>
            <w:u w:val="single"/>
            <w:rtl/>
          </w:rPr>
          <w:t>סעיף 6</w:t>
        </w:r>
      </w:hyperlink>
      <w:r>
        <w:rPr>
          <w:rFonts w:hint="cs"/>
          <w:rtl/>
        </w:rPr>
        <w:t xml:space="preserve"> ב</w:t>
      </w:r>
      <w:hyperlink r:id="rId15" w:history="1">
        <w:r w:rsidRPr="00622ABC">
          <w:rPr>
            <w:color w:val="0000FF"/>
            <w:u w:val="single"/>
            <w:rtl/>
          </w:rPr>
          <w:t>פקודת הסמים המסוכנים</w:t>
        </w:r>
      </w:hyperlink>
      <w:r>
        <w:rPr>
          <w:rFonts w:hint="cs"/>
          <w:rtl/>
        </w:rPr>
        <w:t xml:space="preserve"> (הנוסח החדש), תשל"ג-1973 (להלן: "הפקודה").</w:t>
      </w:r>
    </w:p>
    <w:p w14:paraId="0DDE7735" w14:textId="77777777" w:rsidR="00F50C35" w:rsidRDefault="00F50C35">
      <w:pPr>
        <w:spacing w:line="360" w:lineRule="auto"/>
        <w:jc w:val="both"/>
        <w:rPr>
          <w:rtl/>
        </w:rPr>
      </w:pPr>
      <w:bookmarkStart w:id="7" w:name="ABSTRACT_END"/>
      <w:bookmarkEnd w:id="7"/>
    </w:p>
    <w:p w14:paraId="2A8FE8DF" w14:textId="77777777" w:rsidR="00F50C35" w:rsidRDefault="00622ABC">
      <w:pPr>
        <w:spacing w:line="360" w:lineRule="auto"/>
        <w:ind w:left="720" w:hanging="720"/>
        <w:jc w:val="both"/>
        <w:rPr>
          <w:rtl/>
        </w:rPr>
      </w:pPr>
      <w:r>
        <w:rPr>
          <w:rFonts w:hint="cs"/>
          <w:rtl/>
        </w:rPr>
        <w:t>2.</w:t>
      </w:r>
      <w:r>
        <w:rPr>
          <w:rFonts w:hint="cs"/>
          <w:rtl/>
        </w:rPr>
        <w:tab/>
        <w:t>מהחלק הכללי לכתב האישום עולה כי במועד הרלוונטי לכתב האישום, התגורר הנאשם בבית ברחוב השחף 8 במכמורת (להלן: "הבית"). במועד הרלוונטי החזיק הנאשם, בחצר הבית, מספר חממות לגידול דגים (להלן: "החממות").</w:t>
      </w:r>
    </w:p>
    <w:p w14:paraId="6DE58AD3" w14:textId="77777777" w:rsidR="00F50C35" w:rsidRDefault="00622ABC">
      <w:pPr>
        <w:spacing w:line="360" w:lineRule="auto"/>
        <w:ind w:left="720" w:hanging="720"/>
        <w:jc w:val="both"/>
        <w:rPr>
          <w:rtl/>
        </w:rPr>
      </w:pPr>
      <w:r>
        <w:rPr>
          <w:rFonts w:hint="cs"/>
          <w:rtl/>
        </w:rPr>
        <w:tab/>
        <w:t>בתאריך 25.11.14 ניתנו על ידי כב' השופט אריאל ברגנר מבית משפט השלום בפתח תקווה צווי חיפוש שמספרם 54362-11-14 ו-54374-11-14 אשר כללו, בין היתר, את הבית החצר והחממות (להלן: "הצווים").</w:t>
      </w:r>
    </w:p>
    <w:p w14:paraId="1A0BBC5D" w14:textId="77777777" w:rsidR="00F50C35" w:rsidRDefault="00622ABC">
      <w:pPr>
        <w:spacing w:line="360" w:lineRule="auto"/>
        <w:ind w:left="720" w:hanging="720"/>
        <w:jc w:val="both"/>
        <w:rPr>
          <w:rtl/>
        </w:rPr>
      </w:pPr>
      <w:r>
        <w:rPr>
          <w:rFonts w:hint="cs"/>
          <w:rtl/>
        </w:rPr>
        <w:tab/>
      </w:r>
      <w:r>
        <w:rPr>
          <w:rFonts w:hint="cs"/>
          <w:rtl/>
        </w:rPr>
        <w:tab/>
      </w:r>
    </w:p>
    <w:p w14:paraId="4F45EB10" w14:textId="77777777" w:rsidR="00F50C35" w:rsidRDefault="00622ABC">
      <w:pPr>
        <w:numPr>
          <w:ilvl w:val="0"/>
          <w:numId w:val="2"/>
        </w:numPr>
        <w:spacing w:line="360" w:lineRule="auto"/>
        <w:jc w:val="both"/>
        <w:rPr>
          <w:rtl/>
        </w:rPr>
      </w:pPr>
      <w:r>
        <w:rPr>
          <w:rFonts w:hint="cs"/>
          <w:rtl/>
        </w:rPr>
        <w:lastRenderedPageBreak/>
        <w:t>מעובדות כתב האישום עולה כי בתאריך 14.12.14 בשעה 13:32, או בסמוך לכך, הגיעו השוטרים יאיר פרויליך, הטלי בן יהוד וחדד לידור לבית הנאשם כדי לבצע הצווים.</w:t>
      </w:r>
    </w:p>
    <w:p w14:paraId="4857B641" w14:textId="77777777" w:rsidR="00F50C35" w:rsidRDefault="00622ABC">
      <w:pPr>
        <w:spacing w:line="360" w:lineRule="auto"/>
        <w:ind w:left="1080"/>
        <w:jc w:val="both"/>
        <w:rPr>
          <w:rtl/>
        </w:rPr>
      </w:pPr>
      <w:r>
        <w:rPr>
          <w:rFonts w:hint="cs"/>
          <w:rtl/>
        </w:rPr>
        <w:t xml:space="preserve">בנסיבות האמורות לעיל, החזיק וגידל הנאשם בחממה, 58 שתילים של סם מסוג קנבוס במשקל 4.85 ק"ג נטו. השתילים נשקלו פחות מ- 24 שעות לאחר שהוצאו מהמקום. </w:t>
      </w:r>
    </w:p>
    <w:p w14:paraId="67F7B59A" w14:textId="77777777" w:rsidR="00F50C35" w:rsidRDefault="00F50C35">
      <w:pPr>
        <w:spacing w:line="360" w:lineRule="auto"/>
        <w:jc w:val="both"/>
        <w:rPr>
          <w:rtl/>
        </w:rPr>
      </w:pPr>
    </w:p>
    <w:p w14:paraId="24FEB48E" w14:textId="77777777" w:rsidR="00F50C35" w:rsidRDefault="00622ABC">
      <w:pPr>
        <w:spacing w:line="360" w:lineRule="auto"/>
        <w:ind w:left="720" w:hanging="720"/>
        <w:jc w:val="both"/>
        <w:rPr>
          <w:rtl/>
        </w:rPr>
      </w:pPr>
      <w:r>
        <w:rPr>
          <w:rFonts w:hint="cs"/>
          <w:rtl/>
        </w:rPr>
        <w:t>3.</w:t>
      </w:r>
      <w:r>
        <w:rPr>
          <w:rFonts w:hint="cs"/>
          <w:rtl/>
        </w:rPr>
        <w:tab/>
        <w:t xml:space="preserve">הצדדים הגיעו להסדר טיעון, לפיו הנאשם הודה והורשע בעובדות כתב האישום המתוקן, והופנה לקבלת תסקיר שירות המבחן, אשר לבקשת ההגנה יתייחס גם לאפשרות ביטול ההרשעה. המאשימה הצהירה כי עמדתה היא למאסר בפועל. </w:t>
      </w:r>
    </w:p>
    <w:p w14:paraId="5A617CBB" w14:textId="77777777" w:rsidR="00F50C35" w:rsidRDefault="00F50C35">
      <w:pPr>
        <w:spacing w:line="360" w:lineRule="auto"/>
        <w:jc w:val="both"/>
        <w:rPr>
          <w:rtl/>
        </w:rPr>
      </w:pPr>
    </w:p>
    <w:p w14:paraId="68FB0745" w14:textId="77777777" w:rsidR="00F50C35" w:rsidRDefault="00622ABC">
      <w:pPr>
        <w:spacing w:line="360" w:lineRule="auto"/>
        <w:ind w:left="720" w:hanging="720"/>
        <w:jc w:val="both"/>
        <w:rPr>
          <w:rtl/>
        </w:rPr>
      </w:pPr>
      <w:r>
        <w:rPr>
          <w:rFonts w:hint="cs"/>
          <w:rtl/>
        </w:rPr>
        <w:t>4.</w:t>
      </w:r>
      <w:r>
        <w:rPr>
          <w:rFonts w:hint="cs"/>
          <w:rtl/>
        </w:rPr>
        <w:tab/>
        <w:t>לתיק בית המשפט הוגש תסקיר שירות המבחן ממנו עלה כי הנאשם בן 45, גרוש ואב לשתי ילדות בנות 16 ו-13. מתגורר עם בת זוגתו וילדיה, הוא למד מקצוע מדעי הים, ועובד בעסק לייצוא דגי נוי, שבבעלות אביו. הנאשם התגייס לצבא ושירת כחמש שנים בחיל הים, השתחרר מצה"ל בדרגת סרן ושירת במילואים לאורך השנים (הציג בפני שירות המבחן אישורים רלוונטיים). לאחר שירותו הצבאי, הנאשם עבד כעשר שנים בעסק עצמאי בתחום הבניה, לדבריו ,העסק נקלע לקשיים ונסגר, מצבו הכלכלי של הנאשם הורע ובהמשך הוא הוכרז כפושט רגל וכיום הוא נמצא בהסדר החזרת חובותיו.</w:t>
      </w:r>
    </w:p>
    <w:p w14:paraId="0152CD25" w14:textId="77777777" w:rsidR="00F50C35" w:rsidRDefault="00622ABC">
      <w:pPr>
        <w:spacing w:line="360" w:lineRule="auto"/>
        <w:ind w:left="720" w:hanging="720"/>
        <w:jc w:val="both"/>
        <w:rPr>
          <w:rtl/>
        </w:rPr>
      </w:pPr>
      <w:r>
        <w:rPr>
          <w:rFonts w:hint="cs"/>
          <w:rtl/>
        </w:rPr>
        <w:tab/>
        <w:t>הנאשם גדל במשפחה שמנתה 5 נפשות, אחיו הבכור נפטר לפני כעשרים שנה בתאונת דרכים כשהוא בן 18 ואמו נפטרה לפני כ-4 שנים ממחלת הסרטן.</w:t>
      </w:r>
      <w:r>
        <w:rPr>
          <w:rFonts w:hint="cs"/>
          <w:rtl/>
        </w:rPr>
        <w:tab/>
      </w:r>
    </w:p>
    <w:p w14:paraId="6094A735" w14:textId="77777777" w:rsidR="00F50C35" w:rsidRDefault="00622ABC">
      <w:pPr>
        <w:spacing w:line="360" w:lineRule="auto"/>
        <w:ind w:left="720"/>
        <w:jc w:val="both"/>
        <w:rPr>
          <w:rtl/>
        </w:rPr>
      </w:pPr>
      <w:r>
        <w:rPr>
          <w:rFonts w:hint="cs"/>
          <w:rtl/>
        </w:rPr>
        <w:t xml:space="preserve">בפני שירות המבחן, הנאשם תיאר כי מותו הפתאומי של אחיו גרם לו למשבר רגשי, כשניכר כי חווה חווית אובדן אשר טרם עובדה. </w:t>
      </w:r>
    </w:p>
    <w:p w14:paraId="41DF80E2" w14:textId="77777777" w:rsidR="00F50C35" w:rsidRDefault="00622ABC">
      <w:pPr>
        <w:spacing w:line="360" w:lineRule="auto"/>
        <w:ind w:left="720"/>
        <w:jc w:val="both"/>
        <w:rPr>
          <w:rtl/>
        </w:rPr>
      </w:pPr>
      <w:r>
        <w:rPr>
          <w:rFonts w:hint="cs"/>
          <w:rtl/>
        </w:rPr>
        <w:t xml:space="preserve">שירות המבחן ציין כי לחובת הנאשם שתי הרשעות קודמות בין השנים 1999-2004, בגין ביצוע עבירות מתחום המיסים והסמים, בגינן נידון לעונשי מאסר של תנאי וקנס. </w:t>
      </w:r>
    </w:p>
    <w:p w14:paraId="3660413C" w14:textId="77777777" w:rsidR="00F50C35" w:rsidRDefault="00622ABC">
      <w:pPr>
        <w:spacing w:line="360" w:lineRule="auto"/>
        <w:ind w:left="720"/>
        <w:jc w:val="both"/>
        <w:rPr>
          <w:rtl/>
        </w:rPr>
      </w:pPr>
      <w:r>
        <w:rPr>
          <w:rFonts w:hint="cs"/>
          <w:rtl/>
        </w:rPr>
        <w:t xml:space="preserve">הנאשם הופנה לשירות המבחן בשלב מעצרו ושירות המבחן התרשם כי הוא החל השימוש בסמים על רקע קשיים רגשיים. לצד זאת העריך שירות המבחן כי הנאשם ער באופן ראשוני לחומרת מצבו ולצורך בהשתלבותו בטיפול. על כן, משהתרשם שירות המבחן באופן חיובי מהמפקחים המוצעים, המליץ על שחרורו ממעצר והעמדתו בפיקוח מעצר של שירות המבחן. במסגרת פיקוח המעצר, הנאשם השתלב בטיפול ביחידה העירונית לפגעי סמים בנתניה, בית "חוסן". תחילה במרכז יום ולאחר ועדת אבחון הוחלט כי ימשיך בטיפול הפרטני. </w:t>
      </w:r>
    </w:p>
    <w:p w14:paraId="25B35A30" w14:textId="77777777" w:rsidR="00F50C35" w:rsidRDefault="00622ABC">
      <w:pPr>
        <w:spacing w:line="360" w:lineRule="auto"/>
        <w:ind w:firstLine="720"/>
        <w:jc w:val="both"/>
        <w:rPr>
          <w:rtl/>
        </w:rPr>
      </w:pPr>
      <w:r>
        <w:rPr>
          <w:rFonts w:hint="cs"/>
          <w:rtl/>
        </w:rPr>
        <w:t>ממרכז חוסן נמסר לשירות המבחן כי הנאשם מגיע בזמן, משתף פעולה באופן מלא ומוסר</w:t>
      </w:r>
      <w:r>
        <w:rPr>
          <w:rFonts w:hint="cs"/>
          <w:rtl/>
        </w:rPr>
        <w:tab/>
        <w:t xml:space="preserve">בדיקות שתן המעידות על ניקיונו מסמים. </w:t>
      </w:r>
    </w:p>
    <w:p w14:paraId="6C97B089" w14:textId="77777777" w:rsidR="00F50C35" w:rsidRDefault="00622ABC">
      <w:pPr>
        <w:spacing w:line="360" w:lineRule="auto"/>
        <w:ind w:left="720"/>
        <w:jc w:val="both"/>
        <w:rPr>
          <w:rtl/>
        </w:rPr>
      </w:pPr>
      <w:r>
        <w:rPr>
          <w:rFonts w:hint="cs"/>
          <w:rtl/>
        </w:rPr>
        <w:t>בהתייחסותו לעבירה דנן, נטל הנאשם אחריות מלאה על המיוחס לו, תיאר בפני שירות המבחן כי בגיל 26, החל להשתמש לראשונה בסם מסוג קנאביס, במסגרת חברתית ובאופן מזדמן כשבהמשך השימוש הפך ליומיומי.</w:t>
      </w:r>
    </w:p>
    <w:p w14:paraId="125C7474" w14:textId="77777777" w:rsidR="00F50C35" w:rsidRDefault="00622ABC">
      <w:pPr>
        <w:spacing w:line="360" w:lineRule="auto"/>
        <w:ind w:left="720"/>
        <w:jc w:val="both"/>
        <w:rPr>
          <w:rtl/>
        </w:rPr>
      </w:pPr>
      <w:r>
        <w:rPr>
          <w:rFonts w:hint="cs"/>
          <w:rtl/>
        </w:rPr>
        <w:t xml:space="preserve">הנאשם מסר לשירות המבחן כי גידל את הסמים לשימושו האישי על מנת שלא להתרועע עם גורמים שוליים. שירות המבחן ציין כי ניכר  שכיום הנאשם ער לחומרת מעשיו והביע חרטה ובושה על האופן בו פעל. לדברי הנאשם בפני שירות המבחן, מאז מעורבותו בתיק </w:t>
      </w:r>
      <w:r>
        <w:rPr>
          <w:rFonts w:hint="cs"/>
          <w:rtl/>
        </w:rPr>
        <w:lastRenderedPageBreak/>
        <w:t xml:space="preserve">דנן, נמנע משימוש בסמים, בייחוד כשהבין כי המחירים אותם משלם בעקבות התנהלותו הבעייתית היו משמעותיים. </w:t>
      </w:r>
    </w:p>
    <w:p w14:paraId="7FEC4334" w14:textId="77777777" w:rsidR="00F50C35" w:rsidRDefault="00622ABC">
      <w:pPr>
        <w:spacing w:line="360" w:lineRule="auto"/>
        <w:ind w:left="720"/>
        <w:jc w:val="both"/>
        <w:rPr>
          <w:rtl/>
        </w:rPr>
      </w:pPr>
      <w:r>
        <w:rPr>
          <w:rFonts w:hint="cs"/>
          <w:rtl/>
        </w:rPr>
        <w:t>שירות המבחן שקל את גורמי הסיכון והסיכוי במצבו של הנאשם והעריך כי כיום הצטמצם הסיכון להישנות התנהגות בעייתית מצד הנאשם.</w:t>
      </w:r>
    </w:p>
    <w:p w14:paraId="25DB2385" w14:textId="77777777" w:rsidR="00F50C35" w:rsidRDefault="00622ABC">
      <w:pPr>
        <w:spacing w:line="360" w:lineRule="auto"/>
        <w:ind w:left="720"/>
        <w:jc w:val="both"/>
        <w:rPr>
          <w:rtl/>
        </w:rPr>
      </w:pPr>
      <w:r>
        <w:rPr>
          <w:rFonts w:hint="cs"/>
          <w:rtl/>
        </w:rPr>
        <w:t>התרשמות שירות המבחן מהנאשם, חיובית, כשלא גובשו באישיותו מאפיינים עברייניים.</w:t>
      </w:r>
    </w:p>
    <w:p w14:paraId="62EE6215" w14:textId="77777777" w:rsidR="00F50C35" w:rsidRDefault="00622ABC">
      <w:pPr>
        <w:spacing w:line="360" w:lineRule="auto"/>
        <w:ind w:left="720"/>
        <w:jc w:val="both"/>
        <w:rPr>
          <w:rtl/>
        </w:rPr>
      </w:pPr>
      <w:r>
        <w:rPr>
          <w:rFonts w:hint="cs"/>
          <w:rtl/>
        </w:rPr>
        <w:t xml:space="preserve">בעניין ההרשעה, הנאשם הביע חשש מהרשעה בפלילים, שלדבריו יש בה כדי לחבל בשמו הטוב ובעבודתו, אך לא הציג בפני שירות המבחן כל מסמך המעיד כי עלולה להיגרם לו פגיעה קונקרטית בעבודתו כיום. </w:t>
      </w:r>
    </w:p>
    <w:p w14:paraId="6E35A561" w14:textId="77777777" w:rsidR="00F50C35" w:rsidRDefault="00622ABC">
      <w:pPr>
        <w:spacing w:line="360" w:lineRule="auto"/>
        <w:ind w:left="720"/>
        <w:jc w:val="both"/>
        <w:rPr>
          <w:rtl/>
        </w:rPr>
      </w:pPr>
      <w:r>
        <w:rPr>
          <w:rFonts w:hint="cs"/>
          <w:rtl/>
        </w:rPr>
        <w:t xml:space="preserve">נוכח אלו, המליץ שירות המבחן להשית על הנאשם ענישה שיקומית, בדמות צו של"צ בהיקף רחב של 350 שעות וכן לשקול בחיוב ביטול הרשעתו בכפוף לצו מבחן. </w:t>
      </w:r>
    </w:p>
    <w:p w14:paraId="1B166DB5" w14:textId="77777777" w:rsidR="00F50C35" w:rsidRDefault="00622ABC">
      <w:pPr>
        <w:spacing w:line="360" w:lineRule="auto"/>
        <w:jc w:val="both"/>
        <w:rPr>
          <w:rtl/>
        </w:rPr>
      </w:pPr>
      <w:r>
        <w:rPr>
          <w:rFonts w:hint="cs"/>
          <w:rtl/>
        </w:rPr>
        <w:tab/>
      </w:r>
    </w:p>
    <w:p w14:paraId="467B68C8" w14:textId="77777777" w:rsidR="00F50C35" w:rsidRDefault="00622ABC">
      <w:pPr>
        <w:spacing w:line="360" w:lineRule="auto"/>
        <w:ind w:left="720" w:hanging="720"/>
        <w:jc w:val="both"/>
        <w:rPr>
          <w:rtl/>
        </w:rPr>
      </w:pPr>
      <w:r>
        <w:rPr>
          <w:rFonts w:hint="cs"/>
          <w:rtl/>
        </w:rPr>
        <w:t>5.</w:t>
      </w:r>
      <w:r>
        <w:rPr>
          <w:rFonts w:hint="cs"/>
          <w:rtl/>
        </w:rPr>
        <w:tab/>
        <w:t>הנאשם הופנה לממונה על עבודות השרות לקבלת חוות דעת באם הוא כשיר לבצע עונש מאסר בתנאי עבודות שרות. מחוות הדעת שהתקבלה עולה כי הנאשם אכן כשיר לריצוי עבודות שירות.</w:t>
      </w:r>
    </w:p>
    <w:p w14:paraId="076FAB0F" w14:textId="77777777" w:rsidR="00F50C35" w:rsidRDefault="00F50C35">
      <w:pPr>
        <w:spacing w:line="360" w:lineRule="auto"/>
        <w:jc w:val="both"/>
        <w:rPr>
          <w:rtl/>
        </w:rPr>
      </w:pPr>
    </w:p>
    <w:p w14:paraId="62020F3A" w14:textId="77777777" w:rsidR="00F50C35" w:rsidRDefault="00622ABC">
      <w:pPr>
        <w:spacing w:line="360" w:lineRule="auto"/>
        <w:ind w:left="720" w:hanging="720"/>
        <w:jc w:val="both"/>
        <w:rPr>
          <w:rtl/>
        </w:rPr>
      </w:pPr>
      <w:r>
        <w:rPr>
          <w:rFonts w:hint="cs"/>
          <w:rtl/>
        </w:rPr>
        <w:t>6.</w:t>
      </w:r>
      <w:r>
        <w:rPr>
          <w:rFonts w:hint="cs"/>
          <w:rtl/>
        </w:rPr>
        <w:tab/>
        <w:t xml:space="preserve">ב"כ המאשימה, בטיעוניה לעונש, הפנתה לחומרת מעשיו של הנאשם, שבאה לידי ביטוי בכמות השתילים של הסמים ומשקלם וכן לערך החברתי בו פגע הנאשם במעשיו. לגישת ב"כ המאשימה המלצת שירות המבחן אינה מתיישבת עם מתחמי הענישה שנקבעו בפסיקה ולא עם עברו הפלילי של הנאשם. לגישת ב"כ המאשימה הנאשם לא עומד בתנאים הקבועים בפסיקה לצורך סיום הליך ללא הרשעה, כגון פגיעה קונקרטית, וכן בשל חומרת העבירה. </w:t>
      </w:r>
    </w:p>
    <w:p w14:paraId="040F076E" w14:textId="77777777" w:rsidR="00F50C35" w:rsidRDefault="00622ABC">
      <w:pPr>
        <w:spacing w:line="360" w:lineRule="auto"/>
        <w:ind w:left="720" w:hanging="720"/>
        <w:jc w:val="both"/>
        <w:rPr>
          <w:rtl/>
        </w:rPr>
      </w:pPr>
      <w:r>
        <w:rPr>
          <w:rFonts w:hint="cs"/>
          <w:rtl/>
        </w:rPr>
        <w:tab/>
        <w:t>עוד לגישת ב"כ המאשימה, מתחם העונש ההולם בגין עבירות של גידול סמים מתחיל ממאסר בפועל, גם לנאשמים שהם צעירים ונעדרי עבר פלילי, שגם בהינתן הליך שיקומי בית המשפט לא נמנע מהשתת עונש מאסר בפועל. כמו כן, הפנתה ב"כ המאשימה לאמור בתסקיר שירות המבחן אודות האפשרות שהנאשם עלול לעשות שימוש בסמים במצבי דחק ומשבר.</w:t>
      </w:r>
    </w:p>
    <w:p w14:paraId="4F9CB4E4" w14:textId="77777777" w:rsidR="00F50C35" w:rsidRDefault="00622ABC">
      <w:pPr>
        <w:spacing w:line="360" w:lineRule="auto"/>
        <w:ind w:left="720" w:hanging="720"/>
        <w:jc w:val="both"/>
        <w:rPr>
          <w:rtl/>
        </w:rPr>
      </w:pPr>
      <w:r>
        <w:rPr>
          <w:rFonts w:hint="cs"/>
          <w:rtl/>
        </w:rPr>
        <w:tab/>
        <w:t xml:space="preserve">נוכח אלו, ולאחר ששקילת מצבו של הנאשם, עברו הפלילי והעובדה שהודה במיוחס לו וחסך זמן שיפוטי, עתרה ב"כ המאשימה להשית על הנאשם עונש מאסר בפועל שיכול וירוצה בעבודות שירות ברף העליון, מאסר על תנאי, קנס, פסילה בפועל ופסילה על תנאי.  </w:t>
      </w:r>
    </w:p>
    <w:p w14:paraId="49D475EE" w14:textId="77777777" w:rsidR="00F50C35" w:rsidRDefault="00F50C35">
      <w:pPr>
        <w:spacing w:line="360" w:lineRule="auto"/>
        <w:jc w:val="both"/>
        <w:rPr>
          <w:rtl/>
        </w:rPr>
      </w:pPr>
    </w:p>
    <w:p w14:paraId="76BD02E6" w14:textId="77777777" w:rsidR="00F50C35" w:rsidRDefault="00622ABC">
      <w:pPr>
        <w:spacing w:line="360" w:lineRule="auto"/>
        <w:ind w:left="720" w:hanging="720"/>
        <w:jc w:val="both"/>
        <w:rPr>
          <w:rtl/>
        </w:rPr>
      </w:pPr>
      <w:r>
        <w:rPr>
          <w:rFonts w:hint="cs"/>
          <w:rtl/>
        </w:rPr>
        <w:t>7.</w:t>
      </w:r>
      <w:r>
        <w:rPr>
          <w:rFonts w:hint="cs"/>
          <w:rtl/>
        </w:rPr>
        <w:tab/>
        <w:t>ב"כ הנאשם, בטיעוניו לעונש, טען כי במספר מקרים דומים בתי המשפט סיימו הליך ללא הרשעת הנאשם – הציג בהקשר זה כתבות מהעיתונים. הסנגור הוסיף כי הנאשם נענש כבר ועוד בטרם הרשעתו עת היה עצור בגין התיק דנן לראשונה בחייו למשך 3 שבועות, בהמשך הוא שהה במעצר בית למשך 6 חודשים, מתוכם חודש במעצר בית מלא אצל קרובי משפחה ומשכך, נפגע העסק בו עבד ודגי הנוי שגידל לייצוא, מתו.</w:t>
      </w:r>
    </w:p>
    <w:p w14:paraId="4C2530C8" w14:textId="77777777" w:rsidR="00F50C35" w:rsidRDefault="00622ABC">
      <w:pPr>
        <w:spacing w:line="360" w:lineRule="auto"/>
        <w:ind w:left="720" w:hanging="720"/>
        <w:jc w:val="both"/>
        <w:rPr>
          <w:rtl/>
        </w:rPr>
      </w:pPr>
      <w:r>
        <w:rPr>
          <w:rFonts w:hint="cs"/>
          <w:rtl/>
        </w:rPr>
        <w:tab/>
        <w:t xml:space="preserve">הסנגור טען כי  כמות הסמים שנועדה לשימוש ביחס לסמים שגידל הנאשם, הינה קטנה מאוד. הוסיף כי הנאשם יכול היה לבקש רישיון למריחואנה רפואית אך בת זוגו מתנגדת לכך. </w:t>
      </w:r>
    </w:p>
    <w:p w14:paraId="49CD52FB" w14:textId="77777777" w:rsidR="00F50C35" w:rsidRDefault="00622ABC">
      <w:pPr>
        <w:spacing w:line="360" w:lineRule="auto"/>
        <w:ind w:left="720" w:hanging="720"/>
        <w:jc w:val="both"/>
        <w:rPr>
          <w:rtl/>
        </w:rPr>
      </w:pPr>
      <w:r>
        <w:rPr>
          <w:rFonts w:hint="cs"/>
          <w:rtl/>
        </w:rPr>
        <w:tab/>
        <w:t xml:space="preserve">הסנגור הפנה לשיתוף הפעולה המלא מצד הנאשם עם ההליך הטיפולי ועם שירות המבחן והגיש המלצות מ"בית חוסן" (ענ/1 ו-ענ/2). עוד הוסיף הסנגור כי הנאשם התנדב בבית חוסן והקים שם בריכה של דגי נוי. </w:t>
      </w:r>
    </w:p>
    <w:p w14:paraId="64F5375B" w14:textId="77777777" w:rsidR="00F50C35" w:rsidRDefault="00622ABC">
      <w:pPr>
        <w:spacing w:line="360" w:lineRule="auto"/>
        <w:ind w:left="720" w:hanging="720"/>
        <w:jc w:val="both"/>
        <w:rPr>
          <w:rtl/>
        </w:rPr>
      </w:pPr>
      <w:r>
        <w:rPr>
          <w:rFonts w:hint="cs"/>
          <w:rtl/>
        </w:rPr>
        <w:tab/>
        <w:t>לדברי הסנגור, קיים חרם בעולם על מדינת ישראל וכיום ,במידה והנאשם יורשע ,אזי, בעידן האינטרנט, ניתן לגלות זאת ובזמן קצר, בכל העולם וכך ייפגעו עסקיו.</w:t>
      </w:r>
    </w:p>
    <w:p w14:paraId="2E598589" w14:textId="77777777" w:rsidR="00F50C35" w:rsidRDefault="00622ABC">
      <w:pPr>
        <w:spacing w:line="360" w:lineRule="auto"/>
        <w:ind w:left="720" w:hanging="720"/>
        <w:jc w:val="both"/>
        <w:rPr>
          <w:rtl/>
        </w:rPr>
      </w:pPr>
      <w:r>
        <w:rPr>
          <w:rFonts w:hint="cs"/>
          <w:rtl/>
        </w:rPr>
        <w:tab/>
        <w:t xml:space="preserve">תוך הפניה לאסמכתאות בהן בתי המשפט נמנעו מהרשעת נאשמים בעבירות חמורות יותר, עתר הסנגור לבטל הרשעת הנאשם ולאמץ המלצת שירות המבחן.     </w:t>
      </w:r>
    </w:p>
    <w:p w14:paraId="3B64ACB1" w14:textId="77777777" w:rsidR="00F50C35" w:rsidRDefault="00F50C35">
      <w:pPr>
        <w:spacing w:line="360" w:lineRule="auto"/>
        <w:ind w:left="720" w:hanging="720"/>
        <w:jc w:val="both"/>
        <w:rPr>
          <w:rtl/>
        </w:rPr>
      </w:pPr>
    </w:p>
    <w:p w14:paraId="2041C690" w14:textId="77777777" w:rsidR="00F50C35" w:rsidRDefault="00622ABC">
      <w:pPr>
        <w:spacing w:line="360" w:lineRule="auto"/>
        <w:ind w:left="720" w:hanging="720"/>
        <w:jc w:val="both"/>
        <w:rPr>
          <w:rtl/>
        </w:rPr>
      </w:pPr>
      <w:r>
        <w:rPr>
          <w:rFonts w:hint="cs"/>
          <w:rtl/>
        </w:rPr>
        <w:t>8.</w:t>
      </w:r>
      <w:r>
        <w:rPr>
          <w:rFonts w:hint="cs"/>
          <w:rtl/>
        </w:rPr>
        <w:tab/>
        <w:t>הנאשם, בדבריו האחרונים, מסר כי הוא מרגיש שכבר קיבל עונש כבד, ציין כי הוא בהליך שיקום ב"בית חוסן" ומתכוון להמשיך שם. הוסיף כי אין בכוונתו לשוב לשימוש בסמים בחיים. עוד הוסיף כי הוא משלם מזונות 4,000 ₪ בחודש ועונש של עבודות שירות לא יאפשר לו לשלם מזונו וביקש התחשבות בית המשפט בו.</w:t>
      </w:r>
    </w:p>
    <w:p w14:paraId="166B4800" w14:textId="77777777" w:rsidR="00F50C35" w:rsidRDefault="00F50C35">
      <w:pPr>
        <w:spacing w:line="360" w:lineRule="auto"/>
        <w:rPr>
          <w:rtl/>
        </w:rPr>
      </w:pPr>
    </w:p>
    <w:p w14:paraId="2CB5D8A1" w14:textId="77777777" w:rsidR="00F50C35" w:rsidRDefault="00622ABC">
      <w:pPr>
        <w:spacing w:line="360" w:lineRule="auto"/>
        <w:jc w:val="both"/>
        <w:rPr>
          <w:b/>
          <w:bCs/>
          <w:u w:val="single"/>
          <w:rtl/>
        </w:rPr>
      </w:pPr>
      <w:r>
        <w:rPr>
          <w:rFonts w:hint="cs"/>
          <w:b/>
          <w:bCs/>
          <w:u w:val="single"/>
          <w:rtl/>
        </w:rPr>
        <w:t>שאלת הרשעת הנאשם:</w:t>
      </w:r>
    </w:p>
    <w:p w14:paraId="57446DE8" w14:textId="77777777" w:rsidR="00F50C35" w:rsidRDefault="00F50C35">
      <w:pPr>
        <w:spacing w:line="360" w:lineRule="auto"/>
        <w:jc w:val="both"/>
        <w:rPr>
          <w:b/>
          <w:bCs/>
          <w:u w:val="single"/>
          <w:rtl/>
        </w:rPr>
      </w:pPr>
    </w:p>
    <w:p w14:paraId="773939D1" w14:textId="77777777" w:rsidR="00F50C35" w:rsidRDefault="00622ABC">
      <w:pPr>
        <w:spacing w:line="360" w:lineRule="auto"/>
        <w:ind w:left="720" w:hanging="720"/>
        <w:jc w:val="both"/>
        <w:rPr>
          <w:rtl/>
        </w:rPr>
      </w:pPr>
      <w:r>
        <w:rPr>
          <w:rFonts w:hint="cs"/>
          <w:rtl/>
        </w:rPr>
        <w:t>9.</w:t>
      </w:r>
      <w:r>
        <w:rPr>
          <w:rFonts w:hint="cs"/>
          <w:rtl/>
        </w:rPr>
        <w:tab/>
        <w:t>לאחר שהתרשמתי מטענות הצדדים, המלצת שירות המבחן ומכלול נסיבות העניין, נחה דעתי כי יש להותיר את הרשעת הנאשם על כנה.</w:t>
      </w:r>
    </w:p>
    <w:p w14:paraId="696BED47" w14:textId="77777777" w:rsidR="00F50C35" w:rsidRDefault="00622ABC">
      <w:pPr>
        <w:spacing w:line="360" w:lineRule="auto"/>
        <w:ind w:left="720"/>
        <w:jc w:val="both"/>
      </w:pPr>
      <w:r>
        <w:rPr>
          <w:rFonts w:hint="cs"/>
          <w:rtl/>
        </w:rPr>
        <w:t>הכלל הוא, כי משעבר נאשם עבירה המיוחסת לו בכתב האישום, הוא יורשע וייענש כהוראת האינטרס הציבורי ולשם הגשמת מטרות הענישה.</w:t>
      </w:r>
    </w:p>
    <w:p w14:paraId="6C7A9B6D" w14:textId="77777777" w:rsidR="00F50C35" w:rsidRDefault="00F50C35">
      <w:pPr>
        <w:spacing w:line="360" w:lineRule="auto"/>
        <w:jc w:val="both"/>
      </w:pPr>
    </w:p>
    <w:p w14:paraId="36A98E3F" w14:textId="77777777" w:rsidR="00F50C35" w:rsidRDefault="00622ABC">
      <w:pPr>
        <w:spacing w:line="360" w:lineRule="auto"/>
        <w:ind w:firstLine="720"/>
        <w:jc w:val="both"/>
        <w:rPr>
          <w:rFonts w:ascii="Times New Roman" w:hAnsi="Times New Roman"/>
          <w:rtl/>
        </w:rPr>
      </w:pPr>
      <w:r>
        <w:rPr>
          <w:rFonts w:hint="cs"/>
          <w:rtl/>
        </w:rPr>
        <w:t>ב</w:t>
      </w:r>
      <w:hyperlink r:id="rId16" w:history="1">
        <w:r w:rsidRPr="00622ABC">
          <w:rPr>
            <w:color w:val="0000FF"/>
            <w:u w:val="single"/>
            <w:rtl/>
          </w:rPr>
          <w:t>ע"פ 2513/96 מ"י נ' שמש, פד"י נ</w:t>
        </w:r>
      </w:hyperlink>
      <w:r>
        <w:rPr>
          <w:rFonts w:hint="cs"/>
          <w:rtl/>
        </w:rPr>
        <w:t xml:space="preserve"> (3) 682, נפסק כי:</w:t>
      </w:r>
    </w:p>
    <w:p w14:paraId="21C2E539" w14:textId="77777777" w:rsidR="00F50C35" w:rsidRDefault="00F50C35">
      <w:pPr>
        <w:spacing w:line="360" w:lineRule="auto"/>
        <w:jc w:val="both"/>
        <w:rPr>
          <w:rtl/>
        </w:rPr>
      </w:pPr>
    </w:p>
    <w:p w14:paraId="4CE0897B" w14:textId="77777777" w:rsidR="00F50C35" w:rsidRDefault="00622ABC">
      <w:pPr>
        <w:spacing w:line="360" w:lineRule="auto"/>
        <w:ind w:left="1440" w:right="851"/>
        <w:jc w:val="both"/>
        <w:rPr>
          <w:rtl/>
        </w:rPr>
      </w:pPr>
      <w:r>
        <w:rPr>
          <w:rFonts w:hint="cs"/>
          <w:rtl/>
        </w:rPr>
        <w:t>"</w:t>
      </w:r>
      <w:r>
        <w:rPr>
          <w:rFonts w:hint="cs"/>
          <w:b/>
          <w:bCs/>
          <w:rtl/>
        </w:rPr>
        <w:t>שורת הדין מחייבת כי מי שהובא לדין ונמצא אשם, יורשע בעבירות שיוחסו לו. זהו הכלל. הסמכות הנתונה לבית המשפט להסתפק במבחן מבלי להרשיעו בדין, יפה למקרים מיוחדים ויוצאי דופן. שימוש בסמכות הזאת כאשר אין צידוק ממשי להמנע מהרשעה מפר את הכלל. בכך נפגעת גם שורת שוויון לפני החוק.</w:t>
      </w:r>
      <w:r>
        <w:rPr>
          <w:rFonts w:hint="cs"/>
          <w:rtl/>
        </w:rPr>
        <w:t>" (שם בעמ' 638)</w:t>
      </w:r>
    </w:p>
    <w:p w14:paraId="5D07225A" w14:textId="77777777" w:rsidR="00F50C35" w:rsidRDefault="00F50C35">
      <w:pPr>
        <w:spacing w:line="360" w:lineRule="auto"/>
        <w:ind w:left="1440" w:right="851"/>
        <w:jc w:val="both"/>
        <w:rPr>
          <w:rtl/>
        </w:rPr>
      </w:pPr>
    </w:p>
    <w:p w14:paraId="75BDBB65" w14:textId="77777777" w:rsidR="00F50C35" w:rsidRDefault="00622ABC">
      <w:pPr>
        <w:spacing w:line="360" w:lineRule="auto"/>
        <w:ind w:firstLine="720"/>
        <w:jc w:val="both"/>
        <w:rPr>
          <w:rtl/>
        </w:rPr>
      </w:pPr>
      <w:r>
        <w:rPr>
          <w:rFonts w:hint="cs"/>
          <w:rtl/>
        </w:rPr>
        <w:t>ב</w:t>
      </w:r>
      <w:hyperlink r:id="rId17" w:history="1">
        <w:r w:rsidRPr="00622ABC">
          <w:rPr>
            <w:color w:val="0000FF"/>
            <w:u w:val="single"/>
            <w:rtl/>
          </w:rPr>
          <w:t>ע"פ 2083/96</w:t>
        </w:r>
      </w:hyperlink>
      <w:r>
        <w:rPr>
          <w:rFonts w:hint="cs"/>
          <w:rtl/>
        </w:rPr>
        <w:t xml:space="preserve"> </w:t>
      </w:r>
      <w:r>
        <w:rPr>
          <w:rFonts w:hint="cs"/>
          <w:b/>
          <w:bCs/>
          <w:rtl/>
        </w:rPr>
        <w:t>כתב נ' מ"י</w:t>
      </w:r>
      <w:r>
        <w:rPr>
          <w:rFonts w:hint="cs"/>
          <w:rtl/>
        </w:rPr>
        <w:t>, פדי נב (3) 337, נקבע כך:</w:t>
      </w:r>
    </w:p>
    <w:p w14:paraId="0ACB16B1" w14:textId="77777777" w:rsidR="00F50C35" w:rsidRDefault="00F50C35">
      <w:pPr>
        <w:spacing w:line="360" w:lineRule="auto"/>
        <w:ind w:firstLine="720"/>
        <w:jc w:val="both"/>
        <w:rPr>
          <w:rtl/>
        </w:rPr>
      </w:pPr>
    </w:p>
    <w:p w14:paraId="2C3247AA" w14:textId="77777777" w:rsidR="00F50C35" w:rsidRDefault="00622ABC">
      <w:pPr>
        <w:spacing w:line="360" w:lineRule="auto"/>
        <w:ind w:left="1440" w:right="851"/>
        <w:jc w:val="both"/>
        <w:rPr>
          <w:rtl/>
        </w:rPr>
      </w:pPr>
      <w:r>
        <w:rPr>
          <w:rFonts w:hint="cs"/>
          <w:rtl/>
        </w:rPr>
        <w:t>"</w:t>
      </w:r>
      <w:r>
        <w:rPr>
          <w:rFonts w:hint="cs"/>
          <w:b/>
          <w:bCs/>
          <w:rtl/>
        </w:rPr>
        <w:t>...הימנעות מהרשעה אפשרית אפוא בהצטבר שני גורמים: ראשית,  על ההרשעה לפגוע פגיעה חמורה בשיקום הנאשם, ושנית, סוג העבירה מאפשר לוותר בנסיבות המקרה המסוים על ההרשעה בלי לפגוע באופן מהותי בשיקולי הענישה האחרים המפורטים לעיל</w:t>
      </w:r>
      <w:r>
        <w:rPr>
          <w:rFonts w:hint="cs"/>
          <w:rtl/>
        </w:rPr>
        <w:t xml:space="preserve">". (שם בעמ' 342) </w:t>
      </w:r>
    </w:p>
    <w:p w14:paraId="1FF4038D" w14:textId="77777777" w:rsidR="00F50C35" w:rsidRDefault="00F50C35">
      <w:pPr>
        <w:spacing w:line="360" w:lineRule="auto"/>
        <w:ind w:right="851"/>
        <w:jc w:val="both"/>
        <w:rPr>
          <w:rtl/>
        </w:rPr>
      </w:pPr>
    </w:p>
    <w:p w14:paraId="6F38F3F0" w14:textId="77777777" w:rsidR="00F50C35" w:rsidRDefault="00622ABC">
      <w:pPr>
        <w:spacing w:line="360" w:lineRule="auto"/>
        <w:ind w:right="851"/>
        <w:jc w:val="both"/>
        <w:rPr>
          <w:rtl/>
        </w:rPr>
      </w:pPr>
      <w:r>
        <w:rPr>
          <w:rFonts w:hint="cs"/>
          <w:rtl/>
        </w:rPr>
        <w:tab/>
        <w:t>וב</w:t>
      </w:r>
      <w:hyperlink r:id="rId18" w:history="1">
        <w:r w:rsidRPr="00622ABC">
          <w:rPr>
            <w:color w:val="0000FF"/>
            <w:u w:val="single"/>
            <w:rtl/>
          </w:rPr>
          <w:t>רע"פ 54/15</w:t>
        </w:r>
      </w:hyperlink>
      <w:r>
        <w:rPr>
          <w:rFonts w:hint="cs"/>
          <w:rtl/>
        </w:rPr>
        <w:t xml:space="preserve"> </w:t>
      </w:r>
      <w:r>
        <w:rPr>
          <w:rFonts w:hint="cs"/>
          <w:b/>
          <w:bCs/>
          <w:rtl/>
        </w:rPr>
        <w:t>פלוני נ' מ"י</w:t>
      </w:r>
      <w:r>
        <w:rPr>
          <w:rFonts w:hint="cs"/>
          <w:rtl/>
        </w:rPr>
        <w:t>, (מיום 27.1.15), חזר בית המשפט העליון והדגיש כי:</w:t>
      </w:r>
    </w:p>
    <w:p w14:paraId="76F33578" w14:textId="77777777" w:rsidR="00F50C35" w:rsidRDefault="00F50C35">
      <w:pPr>
        <w:spacing w:line="360" w:lineRule="auto"/>
        <w:ind w:right="851"/>
        <w:jc w:val="both"/>
        <w:rPr>
          <w:rtl/>
        </w:rPr>
      </w:pPr>
    </w:p>
    <w:p w14:paraId="6B574363" w14:textId="77777777" w:rsidR="00F50C35" w:rsidRDefault="00622ABC">
      <w:pPr>
        <w:spacing w:line="360" w:lineRule="auto"/>
        <w:ind w:left="1440" w:right="851"/>
        <w:jc w:val="both"/>
        <w:rPr>
          <w:rtl/>
        </w:rPr>
      </w:pPr>
      <w:r>
        <w:rPr>
          <w:rFonts w:hint="cs"/>
          <w:rtl/>
        </w:rPr>
        <w:t>"</w:t>
      </w:r>
      <w:r>
        <w:rPr>
          <w:rFonts w:hint="cs"/>
          <w:b/>
          <w:bCs/>
          <w:rtl/>
        </w:rPr>
        <w:t>בכל הנוגע לשאלה שעניינה הפגיעה בצורכי שיקומו של הנאשם, נקבע, כי אין מקום להסתפק ב"</w:t>
      </w:r>
      <w:r>
        <w:rPr>
          <w:rFonts w:hint="cs"/>
          <w:b/>
          <w:bCs/>
          <w:sz w:val="28"/>
          <w:rtl/>
        </w:rPr>
        <w:t>תרחיש תיאורטי</w:t>
      </w:r>
      <w:r>
        <w:rPr>
          <w:rFonts w:hint="cs"/>
          <w:b/>
          <w:bCs/>
          <w:rtl/>
        </w:rPr>
        <w:t xml:space="preserve">", ויש להצביע על קיומו של נזק </w:t>
      </w:r>
      <w:r>
        <w:rPr>
          <w:rFonts w:hint="cs"/>
          <w:b/>
          <w:bCs/>
          <w:sz w:val="28"/>
          <w:rtl/>
        </w:rPr>
        <w:t>"מוחשי וקונקרטי"</w:t>
      </w:r>
      <w:r>
        <w:rPr>
          <w:rFonts w:hint="cs"/>
          <w:b/>
          <w:bCs/>
          <w:rtl/>
        </w:rPr>
        <w:t xml:space="preserve"> אשר צפוי לנאשם כתוצאה מעצם ההרשעה </w:t>
      </w:r>
      <w:r>
        <w:rPr>
          <w:rFonts w:ascii="Century" w:hAnsi="Century" w:hint="cs"/>
          <w:b/>
          <w:bCs/>
          <w:rtl/>
        </w:rPr>
        <w:t>(</w:t>
      </w:r>
      <w:hyperlink r:id="rId19" w:history="1">
        <w:r w:rsidRPr="00622ABC">
          <w:rPr>
            <w:b/>
            <w:bCs/>
            <w:color w:val="0000FF"/>
            <w:u w:val="single"/>
            <w:rtl/>
          </w:rPr>
          <w:t>רע"פ 1439/13</w:t>
        </w:r>
      </w:hyperlink>
      <w:r>
        <w:rPr>
          <w:rFonts w:ascii="FrankRuehl" w:hAnsi="FrankRuehl" w:hint="cs"/>
          <w:b/>
          <w:bCs/>
          <w:color w:val="000000"/>
          <w:sz w:val="28"/>
          <w:rtl/>
        </w:rPr>
        <w:t xml:space="preserve"> ‏</w:t>
      </w:r>
      <w:r>
        <w:rPr>
          <w:rFonts w:hint="cs"/>
          <w:b/>
          <w:bCs/>
          <w:sz w:val="28"/>
          <w:rtl/>
        </w:rPr>
        <w:t>קשת נ' מדינת ישראל</w:t>
      </w:r>
      <w:r>
        <w:rPr>
          <w:rFonts w:ascii="FrankRuehl" w:hAnsi="FrankRuehl" w:hint="cs"/>
          <w:b/>
          <w:bCs/>
          <w:color w:val="000000"/>
          <w:sz w:val="28"/>
          <w:rtl/>
        </w:rPr>
        <w:t xml:space="preserve"> (4.3.2013); </w:t>
      </w:r>
      <w:hyperlink r:id="rId20" w:history="1">
        <w:r w:rsidRPr="00622ABC">
          <w:rPr>
            <w:b/>
            <w:bCs/>
            <w:color w:val="0000FF"/>
            <w:u w:val="single"/>
            <w:rtl/>
          </w:rPr>
          <w:t>רע"פ 8627/12</w:t>
        </w:r>
      </w:hyperlink>
      <w:r>
        <w:rPr>
          <w:rFonts w:ascii="FrankRuehl" w:hAnsi="FrankRuehl" w:hint="cs"/>
          <w:b/>
          <w:bCs/>
          <w:sz w:val="28"/>
          <w:rtl/>
        </w:rPr>
        <w:t xml:space="preserve"> </w:t>
      </w:r>
      <w:r>
        <w:rPr>
          <w:rFonts w:hint="cs"/>
          <w:b/>
          <w:bCs/>
          <w:sz w:val="28"/>
          <w:rtl/>
        </w:rPr>
        <w:t>הנסב נ' מדינת ישראל</w:t>
      </w:r>
      <w:r>
        <w:rPr>
          <w:rFonts w:ascii="FrankRuehl" w:hAnsi="FrankRuehl" w:hint="cs"/>
          <w:b/>
          <w:bCs/>
          <w:color w:val="000000"/>
          <w:sz w:val="28"/>
          <w:rtl/>
        </w:rPr>
        <w:t xml:space="preserve"> (31.12.2012)).</w:t>
      </w:r>
      <w:r>
        <w:rPr>
          <w:rFonts w:ascii="FrankRuehl" w:hAnsi="FrankRuehl" w:hint="cs"/>
          <w:color w:val="000000"/>
          <w:sz w:val="28"/>
          <w:rtl/>
        </w:rPr>
        <w:t>"</w:t>
      </w:r>
    </w:p>
    <w:p w14:paraId="0DC1247B" w14:textId="77777777" w:rsidR="00F50C35" w:rsidRDefault="00F50C35">
      <w:pPr>
        <w:spacing w:line="360" w:lineRule="auto"/>
        <w:ind w:left="1440" w:right="851"/>
        <w:jc w:val="both"/>
        <w:rPr>
          <w:rtl/>
        </w:rPr>
      </w:pPr>
    </w:p>
    <w:p w14:paraId="45A12B5F" w14:textId="77777777" w:rsidR="00F50C35" w:rsidRDefault="00622ABC">
      <w:pPr>
        <w:spacing w:line="360" w:lineRule="auto"/>
        <w:ind w:left="720"/>
        <w:contextualSpacing/>
        <w:jc w:val="both"/>
        <w:rPr>
          <w:rtl/>
        </w:rPr>
      </w:pPr>
      <w:r>
        <w:rPr>
          <w:rFonts w:hint="cs"/>
          <w:rtl/>
        </w:rPr>
        <w:t xml:space="preserve">בית המשפט משתמש בסמכותו שלא להרשיע נאשם בנסיבות יוצאות דופן, בהן אין יחס סביר בין הנזק הצפוי לנאשם מן ההרשעה, לבין חומרתה של העבירה. התרשמתי כי נסיבות שכאלו אינן מתקיימות בעניינו של הנאשם שבפניי. </w:t>
      </w:r>
    </w:p>
    <w:p w14:paraId="5309A730" w14:textId="77777777" w:rsidR="00F50C35" w:rsidRDefault="00622ABC">
      <w:pPr>
        <w:spacing w:line="360" w:lineRule="auto"/>
        <w:ind w:left="720"/>
        <w:jc w:val="both"/>
        <w:rPr>
          <w:rFonts w:ascii="Times New Roman" w:hAnsi="Times New Roman"/>
          <w:rtl/>
        </w:rPr>
      </w:pPr>
      <w:r>
        <w:rPr>
          <w:rFonts w:hint="cs"/>
          <w:rtl/>
        </w:rPr>
        <w:t>הנאשם לא הצביע על נזק קונקרטי שעלול להיגרם לשיקומו מעצם הרשעתו ואין די באפשרות פגיעה תעסוקתית עתידית או פגיעה בדימוי העצמי על מנת לבטל הרשעה.</w:t>
      </w:r>
    </w:p>
    <w:p w14:paraId="345FC7D0" w14:textId="77777777" w:rsidR="00F50C35" w:rsidRDefault="00622ABC">
      <w:pPr>
        <w:spacing w:line="360" w:lineRule="auto"/>
        <w:ind w:left="720"/>
        <w:jc w:val="both"/>
        <w:rPr>
          <w:rtl/>
        </w:rPr>
      </w:pPr>
      <w:r>
        <w:rPr>
          <w:rFonts w:hint="cs"/>
          <w:rtl/>
        </w:rPr>
        <w:t xml:space="preserve">בנוסף, חומרת העבירה, שבאה לידי ביטוי בין היתר בכמות הסמים, אינה מאפשרת נקיטת גישה כה סלחנית עד כדי ביטול הרשעת הנאשם. עבירות מהסוג הזה שביצע הנאשם מחייבות ענישה מוחשית שתדגיש את הסלידה שחשה החברה ממי שפוגע במלחמה שמנהלת החברה בנגע הסמים ענישה מוחשית זו אינה אפשרית ללא הרשעת הנאשם. </w:t>
      </w:r>
    </w:p>
    <w:p w14:paraId="59813534" w14:textId="77777777" w:rsidR="00F50C35" w:rsidRDefault="00622ABC">
      <w:pPr>
        <w:spacing w:line="360" w:lineRule="auto"/>
        <w:ind w:left="720"/>
        <w:contextualSpacing/>
        <w:jc w:val="both"/>
        <w:rPr>
          <w:rtl/>
        </w:rPr>
      </w:pPr>
      <w:r>
        <w:rPr>
          <w:rFonts w:hint="cs"/>
          <w:rtl/>
        </w:rPr>
        <w:t xml:space="preserve">לאלו יש להוסיף, כי הנאשם אינו נעדר עבר פלילי, ולחובתו שתי הרשעות קודמות, שאחת מהן הינה מתחום הסמים, כך שפגיעה בנאשם הייתה עלולה להיגרם , אם בכלל, מהרשעותיו הקודמות ולא מהרשעתו זו. בנסיבות אלה, הראיות שביקש הסנגור לצרף אינן רלוונטיות. </w:t>
      </w:r>
    </w:p>
    <w:p w14:paraId="4CE2E009" w14:textId="77777777" w:rsidR="00F50C35" w:rsidRDefault="00F50C35">
      <w:pPr>
        <w:spacing w:line="360" w:lineRule="auto"/>
        <w:ind w:left="720"/>
        <w:contextualSpacing/>
        <w:jc w:val="both"/>
        <w:rPr>
          <w:rtl/>
        </w:rPr>
      </w:pPr>
    </w:p>
    <w:p w14:paraId="36B9926F" w14:textId="77777777" w:rsidR="00F50C35" w:rsidRDefault="00622ABC">
      <w:pPr>
        <w:spacing w:line="360" w:lineRule="auto"/>
        <w:ind w:left="720"/>
        <w:contextualSpacing/>
        <w:jc w:val="both"/>
        <w:rPr>
          <w:rtl/>
        </w:rPr>
      </w:pPr>
      <w:r>
        <w:rPr>
          <w:rFonts w:hint="cs"/>
          <w:rtl/>
        </w:rPr>
        <w:t>על כן, לא מצאתי כי הנאשם עומד בתנאים הקבועים בפסיקה לצורך ביטול הרשעתו.</w:t>
      </w:r>
    </w:p>
    <w:p w14:paraId="08338C03" w14:textId="77777777" w:rsidR="00F50C35" w:rsidRDefault="00F50C35">
      <w:pPr>
        <w:spacing w:line="360" w:lineRule="auto"/>
        <w:jc w:val="both"/>
        <w:rPr>
          <w:rFonts w:ascii="Times New Roman" w:hAnsi="Times New Roman"/>
          <w:rtl/>
        </w:rPr>
      </w:pPr>
    </w:p>
    <w:p w14:paraId="3C8F00D8" w14:textId="77777777" w:rsidR="00F50C35" w:rsidRDefault="00622ABC">
      <w:pPr>
        <w:spacing w:line="360" w:lineRule="auto"/>
        <w:jc w:val="both"/>
        <w:rPr>
          <w:b/>
          <w:bCs/>
          <w:u w:val="single"/>
          <w:rtl/>
        </w:rPr>
      </w:pPr>
      <w:r>
        <w:rPr>
          <w:rFonts w:hint="cs"/>
          <w:b/>
          <w:bCs/>
          <w:u w:val="single"/>
          <w:rtl/>
        </w:rPr>
        <w:t>דיון</w:t>
      </w:r>
    </w:p>
    <w:p w14:paraId="55202952" w14:textId="77777777" w:rsidR="00F50C35" w:rsidRDefault="00F50C35">
      <w:pPr>
        <w:spacing w:line="360" w:lineRule="auto"/>
        <w:jc w:val="both"/>
        <w:rPr>
          <w:b/>
          <w:bCs/>
          <w:u w:val="single"/>
          <w:rtl/>
        </w:rPr>
      </w:pPr>
    </w:p>
    <w:p w14:paraId="4DDE1A3C" w14:textId="77777777" w:rsidR="00F50C35" w:rsidRDefault="00622ABC">
      <w:pPr>
        <w:spacing w:line="360" w:lineRule="auto"/>
        <w:ind w:left="720" w:hanging="720"/>
        <w:jc w:val="both"/>
        <w:rPr>
          <w:rtl/>
        </w:rPr>
      </w:pPr>
      <w:r>
        <w:rPr>
          <w:rFonts w:hint="cs"/>
          <w:rtl/>
        </w:rPr>
        <w:t>9.</w:t>
      </w:r>
      <w:r>
        <w:rPr>
          <w:rFonts w:hint="cs"/>
          <w:rtl/>
        </w:rPr>
        <w:tab/>
        <w:t xml:space="preserve">כמצוות המחוקק בסעיף </w:t>
      </w:r>
      <w:hyperlink r:id="rId21" w:history="1">
        <w:r w:rsidR="00384890" w:rsidRPr="00384890">
          <w:rPr>
            <w:color w:val="0000FF"/>
            <w:u w:val="single"/>
            <w:rtl/>
          </w:rPr>
          <w:t>40 ג' (א)</w:t>
        </w:r>
      </w:hyperlink>
      <w:r>
        <w:rPr>
          <w:rFonts w:hint="cs"/>
          <w:rtl/>
        </w:rPr>
        <w:t xml:space="preserve"> בחוק, בקביעת מתחם העונש ההולם את מעשה העבירה שביצע הנאשם, בהתאם לעיקרון המנחה הקבוע בסעיף </w:t>
      </w:r>
      <w:hyperlink r:id="rId22" w:history="1">
        <w:r w:rsidR="00384890" w:rsidRPr="00384890">
          <w:rPr>
            <w:color w:val="0000FF"/>
            <w:u w:val="single"/>
            <w:rtl/>
          </w:rPr>
          <w:t>40 ב'</w:t>
        </w:r>
      </w:hyperlink>
      <w:r>
        <w:rPr>
          <w:rFonts w:hint="cs"/>
          <w:rtl/>
        </w:rPr>
        <w:t xml:space="preserve"> בחוק, יש להתחשב בערך החברתי שנפגע מביצוע העבירה, במידת הפגיעה בו, במדיניות הענישה הנהוגה ובנסיבות הקשורות בביצוע העבירה. </w:t>
      </w:r>
    </w:p>
    <w:p w14:paraId="5CA15BC4" w14:textId="77777777" w:rsidR="00F50C35" w:rsidRDefault="00F50C35">
      <w:pPr>
        <w:spacing w:line="360" w:lineRule="auto"/>
        <w:jc w:val="both"/>
        <w:rPr>
          <w:rtl/>
        </w:rPr>
      </w:pPr>
    </w:p>
    <w:p w14:paraId="354A6497" w14:textId="77777777" w:rsidR="00F50C35" w:rsidRDefault="00622ABC">
      <w:pPr>
        <w:spacing w:line="360" w:lineRule="auto"/>
        <w:jc w:val="both"/>
        <w:rPr>
          <w:b/>
          <w:bCs/>
          <w:u w:val="single"/>
          <w:rtl/>
        </w:rPr>
      </w:pPr>
      <w:r>
        <w:rPr>
          <w:rFonts w:hint="cs"/>
          <w:b/>
          <w:bCs/>
          <w:u w:val="single"/>
          <w:rtl/>
        </w:rPr>
        <w:t>הערך החברתי שנפגע</w:t>
      </w:r>
    </w:p>
    <w:p w14:paraId="0201CE66" w14:textId="77777777" w:rsidR="00F50C35" w:rsidRDefault="00F50C35">
      <w:pPr>
        <w:spacing w:line="360" w:lineRule="auto"/>
        <w:jc w:val="both"/>
        <w:rPr>
          <w:rtl/>
        </w:rPr>
      </w:pPr>
    </w:p>
    <w:p w14:paraId="1A57D4DB" w14:textId="77777777" w:rsidR="00F50C35" w:rsidRDefault="00622ABC">
      <w:pPr>
        <w:spacing w:line="360" w:lineRule="auto"/>
        <w:ind w:left="720" w:hanging="720"/>
        <w:jc w:val="both"/>
        <w:rPr>
          <w:rtl/>
        </w:rPr>
      </w:pPr>
      <w:r>
        <w:rPr>
          <w:rFonts w:hint="cs"/>
          <w:rtl/>
        </w:rPr>
        <w:t>10.</w:t>
      </w:r>
      <w:r>
        <w:rPr>
          <w:rFonts w:hint="cs"/>
          <w:rtl/>
        </w:rPr>
        <w:tab/>
        <w:t>במעשיו פגע הנאשם בערכים חברתיים בדמות שמירה על שלום ובטחון הציבור מפני פגיעתם הקשה של הסמים המסוכנים.</w:t>
      </w:r>
    </w:p>
    <w:p w14:paraId="368D9912" w14:textId="77777777" w:rsidR="00F50C35" w:rsidRDefault="00F50C35">
      <w:pPr>
        <w:spacing w:line="360" w:lineRule="auto"/>
        <w:ind w:left="720" w:hanging="720"/>
        <w:jc w:val="both"/>
        <w:rPr>
          <w:rtl/>
        </w:rPr>
      </w:pPr>
    </w:p>
    <w:p w14:paraId="71362B44" w14:textId="77777777" w:rsidR="00F50C35" w:rsidRDefault="00F50C35">
      <w:pPr>
        <w:spacing w:line="360" w:lineRule="auto"/>
        <w:jc w:val="both"/>
        <w:rPr>
          <w:rFonts w:ascii="Times New Roman" w:hAnsi="Times New Roman"/>
          <w:rtl/>
        </w:rPr>
      </w:pPr>
    </w:p>
    <w:p w14:paraId="4626C6D7" w14:textId="77777777" w:rsidR="00F50C35" w:rsidRDefault="00622ABC">
      <w:pPr>
        <w:spacing w:line="360" w:lineRule="auto"/>
        <w:jc w:val="both"/>
        <w:rPr>
          <w:b/>
          <w:bCs/>
          <w:u w:val="single"/>
          <w:rtl/>
        </w:rPr>
      </w:pPr>
      <w:r>
        <w:rPr>
          <w:rFonts w:hint="cs"/>
          <w:b/>
          <w:bCs/>
          <w:u w:val="single"/>
          <w:rtl/>
        </w:rPr>
        <w:t>מדיניות הענישה הנהוגה ומתחם העונש ההולם</w:t>
      </w:r>
    </w:p>
    <w:p w14:paraId="58A6F8C0" w14:textId="77777777" w:rsidR="00F50C35" w:rsidRDefault="00F50C35">
      <w:pPr>
        <w:spacing w:line="360" w:lineRule="auto"/>
        <w:jc w:val="both"/>
        <w:rPr>
          <w:rtl/>
        </w:rPr>
      </w:pPr>
    </w:p>
    <w:p w14:paraId="18A1C501" w14:textId="77777777" w:rsidR="00F50C35" w:rsidRDefault="00622ABC">
      <w:pPr>
        <w:spacing w:line="360" w:lineRule="auto"/>
        <w:ind w:left="720" w:hanging="720"/>
        <w:jc w:val="both"/>
        <w:rPr>
          <w:rtl/>
        </w:rPr>
      </w:pPr>
      <w:r>
        <w:rPr>
          <w:rFonts w:hint="cs"/>
          <w:rtl/>
        </w:rPr>
        <w:t>11.</w:t>
      </w:r>
      <w:r>
        <w:rPr>
          <w:rFonts w:hint="cs"/>
          <w:rtl/>
        </w:rPr>
        <w:tab/>
        <w:t xml:space="preserve">מדיניות הענישה הנהוגה בעבירות בהן הורשע הנאשם, מתחשבת בצורך במאבק בנגע הסמים ובתפקיד בית המשפט, בהעברת מסר מתבקש, באמצעות השתת עונשים חמורים על מי שפוגע במעשיו במאבק בנגע זה. </w:t>
      </w:r>
    </w:p>
    <w:p w14:paraId="110F7662" w14:textId="77777777" w:rsidR="00F50C35" w:rsidRDefault="00F50C35">
      <w:pPr>
        <w:spacing w:line="360" w:lineRule="auto"/>
        <w:jc w:val="both"/>
        <w:rPr>
          <w:rtl/>
        </w:rPr>
      </w:pPr>
    </w:p>
    <w:p w14:paraId="193D37DD" w14:textId="77777777" w:rsidR="00F50C35" w:rsidRDefault="00622ABC">
      <w:pPr>
        <w:spacing w:line="360" w:lineRule="auto"/>
        <w:ind w:left="720"/>
        <w:jc w:val="both"/>
        <w:rPr>
          <w:rtl/>
        </w:rPr>
      </w:pPr>
      <w:r>
        <w:rPr>
          <w:rFonts w:hint="cs"/>
          <w:rtl/>
        </w:rPr>
        <w:t>יפים לענייננו הדברים שנקבעו ב</w:t>
      </w:r>
      <w:hyperlink r:id="rId23" w:history="1">
        <w:r w:rsidRPr="00622ABC">
          <w:rPr>
            <w:color w:val="0000FF"/>
            <w:u w:val="single"/>
            <w:rtl/>
          </w:rPr>
          <w:t>ע"פ (מחוזי י-ם) 1987-04-10</w:t>
        </w:r>
      </w:hyperlink>
      <w:r>
        <w:rPr>
          <w:rFonts w:hint="cs"/>
          <w:rtl/>
        </w:rPr>
        <w:t xml:space="preserve"> </w:t>
      </w:r>
      <w:r>
        <w:rPr>
          <w:rFonts w:hint="cs"/>
          <w:b/>
          <w:bCs/>
          <w:rtl/>
        </w:rPr>
        <w:t>מ"י נ' אלוני</w:t>
      </w:r>
      <w:r>
        <w:rPr>
          <w:rFonts w:hint="cs"/>
          <w:rtl/>
        </w:rPr>
        <w:t xml:space="preserve"> (מיום 28.6.10):</w:t>
      </w:r>
    </w:p>
    <w:p w14:paraId="5C94DDD8" w14:textId="77777777" w:rsidR="00F50C35" w:rsidRDefault="00F50C35">
      <w:pPr>
        <w:spacing w:line="360" w:lineRule="auto"/>
        <w:ind w:left="720"/>
        <w:jc w:val="both"/>
        <w:rPr>
          <w:rtl/>
        </w:rPr>
      </w:pPr>
    </w:p>
    <w:p w14:paraId="560F8906" w14:textId="77777777" w:rsidR="00F50C35" w:rsidRDefault="00622ABC">
      <w:pPr>
        <w:spacing w:line="360" w:lineRule="auto"/>
        <w:ind w:left="1440" w:right="1134"/>
        <w:jc w:val="both"/>
        <w:rPr>
          <w:rtl/>
        </w:rPr>
      </w:pPr>
      <w:r>
        <w:rPr>
          <w:rFonts w:hint="cs"/>
          <w:rtl/>
        </w:rPr>
        <w:t>"</w:t>
      </w:r>
      <w:r>
        <w:rPr>
          <w:rFonts w:hint="cs"/>
          <w:b/>
          <w:bCs/>
          <w:rtl/>
        </w:rPr>
        <w:t>סבורים אנו, אפוא, כי יש צורך להחמיר עם עבריינים המגדלים סמים בחצרותיהם. כך הם פני הדברים לגבי עבריינים בעלי עבר פלילי וכך הם פני הדברים גם כלפי מי שזו לו הרשעה ראשונה. נזכיר את הידוע, כי עבירות הסמים חמורות הן בעיקר נוכח הנזק הרב שהן גורמות לציבור ולחברה, ואיש לא יחלוק על כך כי במלחמה סיזיפית זו שומה על בית המשפט לתרום את חלקו בדרך של הכבדה בהטלת עונשים מרתיעים</w:t>
      </w:r>
      <w:r>
        <w:rPr>
          <w:rFonts w:hint="cs"/>
          <w:rtl/>
        </w:rPr>
        <w:t>."</w:t>
      </w:r>
    </w:p>
    <w:p w14:paraId="2D08980D" w14:textId="77777777" w:rsidR="00F50C35" w:rsidRDefault="00F50C35">
      <w:pPr>
        <w:spacing w:line="360" w:lineRule="auto"/>
        <w:jc w:val="both"/>
        <w:rPr>
          <w:rtl/>
        </w:rPr>
      </w:pPr>
    </w:p>
    <w:p w14:paraId="3DBE01A4" w14:textId="77777777" w:rsidR="00F50C35" w:rsidRDefault="00622ABC">
      <w:pPr>
        <w:spacing w:line="360" w:lineRule="auto"/>
        <w:ind w:left="720"/>
        <w:jc w:val="both"/>
        <w:rPr>
          <w:rtl/>
        </w:rPr>
      </w:pPr>
      <w:r>
        <w:rPr>
          <w:rFonts w:hint="cs"/>
          <w:rtl/>
        </w:rPr>
        <w:t>אשר לפגיעה בערך המוגן בדמות ביטחונו של הציבור, יפים לענייננו דברי כב' השופט ברסלר-גונן, ב</w:t>
      </w:r>
      <w:hyperlink r:id="rId24" w:history="1">
        <w:r w:rsidRPr="00622ABC">
          <w:rPr>
            <w:color w:val="0000FF"/>
            <w:u w:val="single"/>
            <w:rtl/>
          </w:rPr>
          <w:t>ת"פ (שלום ב"ש) 11284-07-12</w:t>
        </w:r>
      </w:hyperlink>
      <w:r>
        <w:rPr>
          <w:rFonts w:hint="cs"/>
          <w:rtl/>
        </w:rPr>
        <w:t xml:space="preserve"> </w:t>
      </w:r>
      <w:r>
        <w:rPr>
          <w:rFonts w:hint="cs"/>
          <w:b/>
          <w:bCs/>
          <w:rtl/>
        </w:rPr>
        <w:t>מ"י נ' לוי</w:t>
      </w:r>
      <w:r>
        <w:rPr>
          <w:rFonts w:hint="cs"/>
          <w:rtl/>
        </w:rPr>
        <w:t xml:space="preserve"> (מיום 16.9.13):</w:t>
      </w:r>
    </w:p>
    <w:p w14:paraId="3D51BF07" w14:textId="77777777" w:rsidR="00F50C35" w:rsidRDefault="00F50C35">
      <w:pPr>
        <w:spacing w:line="360" w:lineRule="auto"/>
        <w:jc w:val="both"/>
        <w:rPr>
          <w:rtl/>
        </w:rPr>
      </w:pPr>
    </w:p>
    <w:p w14:paraId="041A5034" w14:textId="77777777" w:rsidR="00F50C35" w:rsidRDefault="00622ABC">
      <w:pPr>
        <w:spacing w:line="360" w:lineRule="auto"/>
        <w:ind w:left="1440" w:right="1276"/>
        <w:jc w:val="both"/>
        <w:rPr>
          <w:rtl/>
        </w:rPr>
      </w:pPr>
      <w:r>
        <w:rPr>
          <w:rFonts w:hint="cs"/>
          <w:rtl/>
        </w:rPr>
        <w:t>"</w:t>
      </w:r>
      <w:r>
        <w:rPr>
          <w:rFonts w:hint="cs"/>
          <w:b/>
          <w:bCs/>
          <w:rtl/>
        </w:rPr>
        <w:t>גם אם פועל אדם בדלת אמותיו שלו, בביתו ומבצרו, עדיין ישנן פעולות שלא נסכים, כחברה, שתבוצענה אף במסגרת זו. גידול הסם היא אחת מאלו, ועל כל אחד מאתנו לשאול עצמו כיצד היה חש והאם היה בטחונו מתעצם, מתערער או אפילו לא נפגע כלל, אילו שכנו לדלת, האדם בחצר הסמוך, היה מקים חממה כפי שהקים הנאשם</w:t>
      </w:r>
      <w:r>
        <w:rPr>
          <w:rFonts w:hint="cs"/>
          <w:rtl/>
        </w:rPr>
        <w:t>."</w:t>
      </w:r>
    </w:p>
    <w:p w14:paraId="00839A82" w14:textId="77777777" w:rsidR="00F50C35" w:rsidRDefault="00F50C35">
      <w:pPr>
        <w:spacing w:line="360" w:lineRule="auto"/>
        <w:jc w:val="both"/>
        <w:rPr>
          <w:rFonts w:ascii="Times New Roman" w:hAnsi="Times New Roman"/>
          <w:rtl/>
        </w:rPr>
      </w:pPr>
    </w:p>
    <w:p w14:paraId="53CB28DE" w14:textId="77777777" w:rsidR="00F50C35" w:rsidRDefault="00622ABC">
      <w:pPr>
        <w:spacing w:line="360" w:lineRule="auto"/>
        <w:jc w:val="both"/>
        <w:rPr>
          <w:rtl/>
        </w:rPr>
      </w:pPr>
      <w:r>
        <w:rPr>
          <w:rFonts w:hint="cs"/>
          <w:rtl/>
        </w:rPr>
        <w:t>בעבירה של גידול סמים מסוכנים, השיתו בתי המשפט עונשים מגוונים, כך למשל:</w:t>
      </w:r>
    </w:p>
    <w:p w14:paraId="33EBBCF8" w14:textId="77777777" w:rsidR="00F50C35" w:rsidRDefault="00F50C35">
      <w:pPr>
        <w:spacing w:line="360" w:lineRule="auto"/>
        <w:jc w:val="both"/>
        <w:rPr>
          <w:rtl/>
        </w:rPr>
      </w:pPr>
    </w:p>
    <w:p w14:paraId="75BD3FBF" w14:textId="77777777" w:rsidR="00F50C35" w:rsidRDefault="00622ABC">
      <w:pPr>
        <w:numPr>
          <w:ilvl w:val="1"/>
          <w:numId w:val="1"/>
        </w:numPr>
        <w:tabs>
          <w:tab w:val="num" w:pos="1286"/>
        </w:tabs>
        <w:spacing w:after="120" w:line="360" w:lineRule="auto"/>
        <w:ind w:left="1286" w:hanging="540"/>
        <w:jc w:val="both"/>
        <w:rPr>
          <w:sz w:val="26"/>
          <w:rtl/>
        </w:rPr>
      </w:pPr>
      <w:r>
        <w:rPr>
          <w:rFonts w:hint="cs"/>
          <w:sz w:val="26"/>
          <w:rtl/>
        </w:rPr>
        <w:t>ב</w:t>
      </w:r>
      <w:hyperlink r:id="rId25" w:history="1">
        <w:r w:rsidRPr="00622ABC">
          <w:rPr>
            <w:color w:val="0000FF"/>
            <w:sz w:val="26"/>
            <w:u w:val="single"/>
            <w:rtl/>
          </w:rPr>
          <w:t>עפ"ג (מח' ת"א) 17155-07-10</w:t>
        </w:r>
      </w:hyperlink>
      <w:r>
        <w:rPr>
          <w:rFonts w:hint="cs"/>
          <w:sz w:val="26"/>
          <w:rtl/>
        </w:rPr>
        <w:t xml:space="preserve"> </w:t>
      </w:r>
      <w:r>
        <w:rPr>
          <w:rFonts w:hint="cs"/>
          <w:b/>
          <w:bCs/>
          <w:sz w:val="26"/>
          <w:rtl/>
        </w:rPr>
        <w:t xml:space="preserve">מ"י נ' נסים </w:t>
      </w:r>
      <w:r>
        <w:rPr>
          <w:rFonts w:hint="cs"/>
          <w:sz w:val="26"/>
          <w:rtl/>
        </w:rPr>
        <w:t xml:space="preserve">(מיום 1.11.10) התקבל ערעור המדינה על קולת עונשו של נאשם שהורשע בגידול של שתילי קנבוס במשקל של למעלה מ- 11 ק"ג. עונשו של נאשם 1 הועמד על 9 חודשי מאסר (חלף 6 חודשים). עונשו של נאשם 2 נותר על כנו (6 חודשי עבודות שירות). </w:t>
      </w:r>
    </w:p>
    <w:p w14:paraId="7843716D" w14:textId="77777777" w:rsidR="00F50C35" w:rsidRDefault="00622ABC">
      <w:pPr>
        <w:numPr>
          <w:ilvl w:val="1"/>
          <w:numId w:val="1"/>
        </w:numPr>
        <w:tabs>
          <w:tab w:val="num" w:pos="1286"/>
        </w:tabs>
        <w:spacing w:after="120" w:line="360" w:lineRule="auto"/>
        <w:ind w:left="1286" w:hanging="540"/>
        <w:jc w:val="both"/>
        <w:rPr>
          <w:sz w:val="26"/>
        </w:rPr>
      </w:pPr>
      <w:r>
        <w:rPr>
          <w:rFonts w:hint="cs"/>
          <w:sz w:val="26"/>
          <w:rtl/>
        </w:rPr>
        <w:t>ב</w:t>
      </w:r>
      <w:hyperlink r:id="rId26" w:history="1">
        <w:r w:rsidRPr="00622ABC">
          <w:rPr>
            <w:color w:val="0000FF"/>
            <w:sz w:val="26"/>
            <w:u w:val="single"/>
            <w:rtl/>
          </w:rPr>
          <w:t>ת"פ (ק"ג) 62268-10-13</w:t>
        </w:r>
      </w:hyperlink>
      <w:r>
        <w:rPr>
          <w:rFonts w:hint="cs"/>
          <w:sz w:val="26"/>
          <w:rtl/>
        </w:rPr>
        <w:t xml:space="preserve"> </w:t>
      </w:r>
      <w:r>
        <w:rPr>
          <w:rFonts w:hint="cs"/>
          <w:b/>
          <w:bCs/>
          <w:sz w:val="26"/>
          <w:rtl/>
        </w:rPr>
        <w:t xml:space="preserve">מ"י נ' אליהו </w:t>
      </w:r>
      <w:r>
        <w:rPr>
          <w:rFonts w:hint="cs"/>
          <w:sz w:val="26"/>
          <w:rtl/>
        </w:rPr>
        <w:t xml:space="preserve">(מיום 30.11.14) הורשע נאשם בגידול סמים מסוג קנבוס במשקל 10.9 ק"ג, ונדון ל- 10 חודשי מאסר בפועל, לצד קנס בסך 5,000 ₪. </w:t>
      </w:r>
    </w:p>
    <w:p w14:paraId="4E636A4B" w14:textId="77777777" w:rsidR="00F50C35" w:rsidRDefault="00622ABC">
      <w:pPr>
        <w:numPr>
          <w:ilvl w:val="1"/>
          <w:numId w:val="1"/>
        </w:numPr>
        <w:tabs>
          <w:tab w:val="num" w:pos="1286"/>
        </w:tabs>
        <w:spacing w:after="120" w:line="360" w:lineRule="auto"/>
        <w:ind w:left="1286" w:hanging="540"/>
        <w:jc w:val="both"/>
        <w:rPr>
          <w:sz w:val="26"/>
        </w:rPr>
      </w:pPr>
      <w:hyperlink r:id="rId27" w:history="1">
        <w:r w:rsidRPr="00622ABC">
          <w:rPr>
            <w:color w:val="0000FF"/>
            <w:u w:val="single"/>
            <w:rtl/>
          </w:rPr>
          <w:t>ע"פ 20712-03-13</w:t>
        </w:r>
      </w:hyperlink>
      <w:r>
        <w:rPr>
          <w:rFonts w:hint="cs"/>
          <w:rtl/>
        </w:rPr>
        <w:t xml:space="preserve"> </w:t>
      </w:r>
      <w:r>
        <w:rPr>
          <w:rFonts w:hint="cs"/>
          <w:b/>
          <w:bCs/>
          <w:rtl/>
        </w:rPr>
        <w:t>בן רחמים נ' מ"י</w:t>
      </w:r>
      <w:r>
        <w:rPr>
          <w:rFonts w:hint="cs"/>
          <w:rtl/>
        </w:rPr>
        <w:t xml:space="preserve"> (מיום 16.5.13) בית המשפט המחוזי דחה את ערעור הנאשם על חומרת העונש ואת ערעור המדינה על קולת העונש. הנאשם הורשע על-פי הודאתו בגידול סם מסוכן ובשימוש והחזקת סם שלא לצריכה עצמית. הנאשם גידל שתילי קנבוס במשקל של למעלה מ-</w:t>
      </w:r>
      <w:smartTag w:uri="urn:schemas-microsoft-com:office:smarttags" w:element="metricconverter">
        <w:smartTagPr>
          <w:attr w:name="ProductID" w:val="20 ק&quot;ג"/>
        </w:smartTagPr>
        <w:r>
          <w:rPr>
            <w:rFonts w:hint="cs"/>
            <w:rtl/>
          </w:rPr>
          <w:t>20 ק"ג</w:t>
        </w:r>
      </w:smartTag>
      <w:r>
        <w:rPr>
          <w:rFonts w:hint="cs"/>
          <w:rtl/>
        </w:rPr>
        <w:t xml:space="preserve"> נטו והחזיק קנבוס במשקל </w:t>
      </w:r>
      <w:smartTag w:uri="urn:schemas-microsoft-com:office:smarttags" w:element="metricconverter">
        <w:smartTagPr>
          <w:attr w:name="ProductID" w:val="184 גרם"/>
        </w:smartTagPr>
        <w:r>
          <w:rPr>
            <w:rFonts w:hint="cs"/>
            <w:rtl/>
          </w:rPr>
          <w:t>184 גרם</w:t>
        </w:r>
      </w:smartTag>
      <w:r>
        <w:rPr>
          <w:rFonts w:hint="cs"/>
          <w:rtl/>
        </w:rPr>
        <w:t xml:space="preserve"> נטו. מתחם העונש שנקבע נע בין 5 ל-20 חודשי מאסר לריצוי בפועל. בהתחשב במעצרו הממושך של הנאשם, עברו הפלילי הנקי והודאתו, נגזר דינו ל-11 חודשי מאסר בפועל לצד מאסר על תנאי וקנס.</w:t>
      </w:r>
    </w:p>
    <w:p w14:paraId="56F19749" w14:textId="77777777" w:rsidR="00F50C35" w:rsidRDefault="00622ABC">
      <w:pPr>
        <w:numPr>
          <w:ilvl w:val="1"/>
          <w:numId w:val="1"/>
        </w:numPr>
        <w:tabs>
          <w:tab w:val="num" w:pos="1286"/>
        </w:tabs>
        <w:spacing w:after="120" w:line="360" w:lineRule="auto"/>
        <w:ind w:left="1286" w:hanging="540"/>
        <w:jc w:val="both"/>
        <w:rPr>
          <w:sz w:val="26"/>
        </w:rPr>
      </w:pPr>
      <w:hyperlink r:id="rId28" w:history="1">
        <w:r w:rsidRPr="00622ABC">
          <w:rPr>
            <w:color w:val="0000FF"/>
            <w:u w:val="single"/>
            <w:rtl/>
          </w:rPr>
          <w:t>ת"פ 27605-04-11</w:t>
        </w:r>
      </w:hyperlink>
      <w:r>
        <w:rPr>
          <w:rFonts w:hint="cs"/>
          <w:rtl/>
        </w:rPr>
        <w:t xml:space="preserve"> </w:t>
      </w:r>
      <w:r>
        <w:rPr>
          <w:rFonts w:hint="cs"/>
          <w:b/>
          <w:bCs/>
          <w:rtl/>
        </w:rPr>
        <w:t>מ"י נ' סבג</w:t>
      </w:r>
      <w:r>
        <w:rPr>
          <w:rFonts w:hint="cs"/>
          <w:rtl/>
        </w:rPr>
        <w:t xml:space="preserve"> (מיום 13.2.14) הנאשם הורשע על-פי הודאתו בגידול סם מסוכן והחזקת סם לצריכה עצמית. הנאשם גידל סם מסוג קנבוס בתוך מעבדה שהקים בביתו במשקל </w:t>
      </w:r>
      <w:smartTag w:uri="urn:schemas-microsoft-com:office:smarttags" w:element="metricconverter">
        <w:smartTagPr>
          <w:attr w:name="ProductID" w:val="3.6 ק&quot;ג"/>
        </w:smartTagPr>
        <w:r>
          <w:rPr>
            <w:rFonts w:hint="cs"/>
            <w:rtl/>
          </w:rPr>
          <w:t>3.6 ק"ג</w:t>
        </w:r>
      </w:smartTag>
      <w:r>
        <w:rPr>
          <w:rFonts w:hint="cs"/>
          <w:rtl/>
        </w:rPr>
        <w:t xml:space="preserve"> נטו וכן החזיק </w:t>
      </w:r>
      <w:smartTag w:uri="urn:schemas-microsoft-com:office:smarttags" w:element="metricconverter">
        <w:smartTagPr>
          <w:attr w:name="ProductID" w:val="7.27 גרם"/>
        </w:smartTagPr>
        <w:r>
          <w:rPr>
            <w:rFonts w:hint="cs"/>
            <w:rtl/>
          </w:rPr>
          <w:t>7.27 גרם</w:t>
        </w:r>
      </w:smartTag>
      <w:r>
        <w:rPr>
          <w:rFonts w:hint="cs"/>
          <w:rtl/>
        </w:rPr>
        <w:t xml:space="preserve"> של סם מסוג קנבוס. לנאשם הרשעה יחידה משנת 1995, ביצע העבירות לשימושו העצמי והשתלב בטיפול לגמילה מסמים. בית המשפט השית על הנאשם 6 חודשי מאסר בפועל, מאסר על תנאי ופסילת רישיון נהיגה.</w:t>
      </w:r>
    </w:p>
    <w:p w14:paraId="0D45B5C5" w14:textId="77777777" w:rsidR="00F50C35" w:rsidRDefault="00F50C35">
      <w:pPr>
        <w:spacing w:after="120" w:line="360" w:lineRule="auto"/>
        <w:ind w:left="1286"/>
        <w:jc w:val="both"/>
        <w:rPr>
          <w:sz w:val="26"/>
        </w:rPr>
      </w:pPr>
    </w:p>
    <w:p w14:paraId="465B0FC5" w14:textId="77777777" w:rsidR="00F50C35" w:rsidRDefault="00622ABC">
      <w:pPr>
        <w:spacing w:line="360" w:lineRule="auto"/>
        <w:ind w:left="720" w:hanging="720"/>
        <w:jc w:val="both"/>
        <w:rPr>
          <w:b/>
          <w:bCs/>
          <w:rtl/>
        </w:rPr>
      </w:pPr>
      <w:r>
        <w:rPr>
          <w:rFonts w:hint="cs"/>
          <w:rtl/>
        </w:rPr>
        <w:t>12.</w:t>
      </w:r>
      <w:r>
        <w:rPr>
          <w:rFonts w:hint="cs"/>
          <w:rtl/>
        </w:rPr>
        <w:tab/>
      </w:r>
      <w:r>
        <w:rPr>
          <w:rFonts w:hint="cs"/>
          <w:b/>
          <w:bCs/>
          <w:rtl/>
        </w:rPr>
        <w:t xml:space="preserve">מכל המפורט, אני קובעת כי מתחם העונש ההולם הינו החל מ-6 חודשי מאסר בפועל ועד ל-18 חודשי מאסר בפועל, מאסר על תנאי, קנס פסילת רישיון נהיגה ופסילה רישיון על תנאי.  </w:t>
      </w:r>
    </w:p>
    <w:p w14:paraId="2E78E42A" w14:textId="77777777" w:rsidR="00F50C35" w:rsidRDefault="00F50C35">
      <w:pPr>
        <w:spacing w:line="360" w:lineRule="auto"/>
        <w:ind w:left="720" w:hanging="720"/>
        <w:jc w:val="both"/>
        <w:rPr>
          <w:rFonts w:ascii="Times New Roman" w:hAnsi="Times New Roman"/>
          <w:b/>
          <w:bCs/>
        </w:rPr>
      </w:pPr>
    </w:p>
    <w:p w14:paraId="6ED5F2CD" w14:textId="77777777" w:rsidR="00F50C35" w:rsidRDefault="00622ABC">
      <w:pPr>
        <w:spacing w:line="360" w:lineRule="auto"/>
        <w:jc w:val="both"/>
        <w:rPr>
          <w:b/>
          <w:bCs/>
          <w:u w:val="single"/>
          <w:rtl/>
        </w:rPr>
      </w:pPr>
      <w:r>
        <w:rPr>
          <w:rFonts w:hint="cs"/>
          <w:b/>
          <w:bCs/>
          <w:u w:val="single"/>
          <w:rtl/>
        </w:rPr>
        <w:t>חריגה ממתחם העונש הראוי</w:t>
      </w:r>
    </w:p>
    <w:p w14:paraId="20D0909F" w14:textId="77777777" w:rsidR="00F50C35" w:rsidRDefault="00F50C35">
      <w:pPr>
        <w:spacing w:line="360" w:lineRule="auto"/>
        <w:jc w:val="both"/>
        <w:rPr>
          <w:rtl/>
        </w:rPr>
      </w:pPr>
    </w:p>
    <w:p w14:paraId="7C48D7D5" w14:textId="77777777" w:rsidR="00F50C35" w:rsidRDefault="00622ABC">
      <w:pPr>
        <w:spacing w:line="360" w:lineRule="auto"/>
        <w:ind w:left="720" w:hanging="720"/>
        <w:jc w:val="both"/>
        <w:rPr>
          <w:rtl/>
        </w:rPr>
      </w:pPr>
      <w:r>
        <w:rPr>
          <w:rFonts w:hint="cs"/>
          <w:rtl/>
        </w:rPr>
        <w:t>13.</w:t>
      </w:r>
      <w:r>
        <w:rPr>
          <w:rFonts w:hint="cs"/>
          <w:rtl/>
        </w:rPr>
        <w:tab/>
      </w:r>
      <w:hyperlink r:id="rId29" w:history="1">
        <w:r w:rsidR="00384890" w:rsidRPr="00384890">
          <w:rPr>
            <w:color w:val="0000FF"/>
            <w:u w:val="single"/>
            <w:rtl/>
          </w:rPr>
          <w:t>סעיף 40ד(א)</w:t>
        </w:r>
      </w:hyperlink>
      <w:r>
        <w:rPr>
          <w:rFonts w:hint="cs"/>
          <w:rtl/>
        </w:rPr>
        <w:t xml:space="preserve"> בחוק קובע כי חריגה ממתחם העונש ההולם תהא אך אם בית-המשפט מצא כי הנאשם השתקם או כי יש סיכוי של ממש שישתקם.</w:t>
      </w:r>
    </w:p>
    <w:p w14:paraId="118D0FCD" w14:textId="77777777" w:rsidR="00F50C35" w:rsidRDefault="00622ABC">
      <w:pPr>
        <w:spacing w:line="360" w:lineRule="auto"/>
        <w:ind w:left="720" w:hanging="720"/>
        <w:jc w:val="both"/>
        <w:rPr>
          <w:rtl/>
        </w:rPr>
      </w:pPr>
      <w:r>
        <w:rPr>
          <w:rFonts w:hint="cs"/>
          <w:rtl/>
        </w:rPr>
        <w:tab/>
        <w:t xml:space="preserve">במקרה שבפניי אכן מדובר במי שהשתקם, הוא שיתף פעולה באופן מלא בהליך טיפולי והפסיק שימוש בסמים. חריגה ממתחם העונש ההולם תבוא  לידי ביטוי בהשתת עונש לריצוי בעבודות שירות כעתירת המאשימה המתונה בנסיבות העניין, אך לא בקבלת עתירת ההגנה.  </w:t>
      </w:r>
    </w:p>
    <w:p w14:paraId="6BA3E40B" w14:textId="77777777" w:rsidR="00F50C35" w:rsidRDefault="00F50C35">
      <w:pPr>
        <w:spacing w:line="360" w:lineRule="auto"/>
        <w:jc w:val="both"/>
        <w:rPr>
          <w:b/>
          <w:bCs/>
          <w:u w:val="single"/>
          <w:rtl/>
        </w:rPr>
      </w:pPr>
    </w:p>
    <w:p w14:paraId="09705929" w14:textId="77777777" w:rsidR="00F50C35" w:rsidRDefault="00622ABC">
      <w:pPr>
        <w:spacing w:line="360" w:lineRule="auto"/>
        <w:jc w:val="both"/>
        <w:rPr>
          <w:b/>
          <w:bCs/>
          <w:u w:val="single"/>
          <w:rtl/>
        </w:rPr>
      </w:pPr>
      <w:r>
        <w:rPr>
          <w:rFonts w:hint="cs"/>
          <w:b/>
          <w:bCs/>
          <w:u w:val="single"/>
          <w:rtl/>
        </w:rPr>
        <w:t>נסיבות הקשורות בביצוע העבירה</w:t>
      </w:r>
    </w:p>
    <w:p w14:paraId="36192162" w14:textId="77777777" w:rsidR="00F50C35" w:rsidRDefault="00F50C35">
      <w:pPr>
        <w:spacing w:line="360" w:lineRule="auto"/>
        <w:jc w:val="both"/>
        <w:rPr>
          <w:rtl/>
        </w:rPr>
      </w:pPr>
    </w:p>
    <w:p w14:paraId="7D227BDF" w14:textId="77777777" w:rsidR="00F50C35" w:rsidRDefault="00622ABC">
      <w:pPr>
        <w:spacing w:line="360" w:lineRule="auto"/>
        <w:jc w:val="both"/>
        <w:rPr>
          <w:rtl/>
        </w:rPr>
      </w:pPr>
      <w:r>
        <w:rPr>
          <w:rFonts w:hint="cs"/>
          <w:rtl/>
        </w:rPr>
        <w:t>14.</w:t>
      </w:r>
      <w:r>
        <w:rPr>
          <w:rFonts w:hint="cs"/>
          <w:rtl/>
        </w:rPr>
        <w:tab/>
        <w:t>במסגרת הנסיבות הקשורות לביצוע העבירה יש לקחת בחשבון את קיום הנסיבות הבאות:</w:t>
      </w:r>
    </w:p>
    <w:p w14:paraId="2EF720F5" w14:textId="77777777" w:rsidR="00F50C35" w:rsidRDefault="00622ABC">
      <w:pPr>
        <w:spacing w:line="360" w:lineRule="auto"/>
        <w:ind w:left="720"/>
        <w:jc w:val="both"/>
        <w:rPr>
          <w:rtl/>
        </w:rPr>
      </w:pPr>
      <w:r>
        <w:rPr>
          <w:rFonts w:hint="cs"/>
          <w:b/>
          <w:bCs/>
          <w:rtl/>
        </w:rPr>
        <w:t xml:space="preserve">התכנון שקדם לביצוע העבירה; </w:t>
      </w:r>
      <w:r>
        <w:rPr>
          <w:rFonts w:hint="cs"/>
          <w:rtl/>
        </w:rPr>
        <w:t>גידול סמים מצריך הצטיידות בציוד מיוחד וטיפול מיוחד כך שאין ספק כי הנאשם תכנן מעשיו.</w:t>
      </w:r>
    </w:p>
    <w:p w14:paraId="59B83616" w14:textId="77777777" w:rsidR="00F50C35" w:rsidRDefault="00622ABC">
      <w:pPr>
        <w:spacing w:line="360" w:lineRule="auto"/>
        <w:ind w:left="720"/>
        <w:jc w:val="both"/>
        <w:rPr>
          <w:rtl/>
        </w:rPr>
      </w:pPr>
      <w:r>
        <w:rPr>
          <w:rFonts w:hint="cs"/>
          <w:b/>
          <w:bCs/>
          <w:rtl/>
        </w:rPr>
        <w:t xml:space="preserve">חלקו היחסי של הנאשם בביצוע העבירה; </w:t>
      </w:r>
      <w:r>
        <w:rPr>
          <w:rFonts w:hint="cs"/>
          <w:rtl/>
        </w:rPr>
        <w:t>הינו עיקרי ובלעדי.</w:t>
      </w:r>
    </w:p>
    <w:p w14:paraId="0AFFD717" w14:textId="77777777" w:rsidR="00F50C35" w:rsidRDefault="00622ABC">
      <w:pPr>
        <w:spacing w:line="360" w:lineRule="auto"/>
        <w:ind w:left="720"/>
        <w:jc w:val="both"/>
        <w:rPr>
          <w:rtl/>
        </w:rPr>
      </w:pPr>
      <w:r>
        <w:rPr>
          <w:rFonts w:hint="cs"/>
          <w:b/>
          <w:bCs/>
          <w:rtl/>
        </w:rPr>
        <w:t xml:space="preserve">הנזק שהיה צפוי להיגרם מביצוע העבירה; </w:t>
      </w:r>
      <w:r>
        <w:rPr>
          <w:rFonts w:hint="cs"/>
          <w:rtl/>
        </w:rPr>
        <w:t xml:space="preserve">גידול סמים בכמות כזו שהנאשם גידל שעלול להיות מופץ בקרב החברה היה יכול לגרום לנזקים חמורים, אף אם טען הנאשם כי הסמים נועדו לשימושו העצמי. </w:t>
      </w:r>
    </w:p>
    <w:p w14:paraId="13EB52D1" w14:textId="77777777" w:rsidR="00F50C35" w:rsidRDefault="00622ABC">
      <w:pPr>
        <w:spacing w:line="360" w:lineRule="auto"/>
        <w:ind w:left="720"/>
        <w:jc w:val="both"/>
        <w:rPr>
          <w:rtl/>
        </w:rPr>
      </w:pPr>
      <w:r>
        <w:rPr>
          <w:rFonts w:hint="cs"/>
          <w:b/>
          <w:bCs/>
          <w:rtl/>
        </w:rPr>
        <w:t xml:space="preserve">הסיבות שהביאו את הנאשם לבצע את העבירה; </w:t>
      </w:r>
      <w:r>
        <w:rPr>
          <w:rFonts w:hint="cs"/>
          <w:rtl/>
        </w:rPr>
        <w:t>הינן התמכרותו לסמים וטענתו כי גידל את הסמים לצורך שימושו העצמי.</w:t>
      </w:r>
    </w:p>
    <w:p w14:paraId="45D4DE03" w14:textId="77777777" w:rsidR="00F50C35" w:rsidRDefault="00622ABC">
      <w:pPr>
        <w:spacing w:line="360" w:lineRule="auto"/>
        <w:ind w:left="720"/>
        <w:jc w:val="both"/>
        <w:rPr>
          <w:b/>
          <w:bCs/>
          <w:rtl/>
        </w:rPr>
      </w:pPr>
      <w:r>
        <w:rPr>
          <w:rFonts w:hint="cs"/>
          <w:rtl/>
        </w:rPr>
        <w:t>לא נגרעה</w:t>
      </w:r>
      <w:r>
        <w:rPr>
          <w:rFonts w:hint="cs"/>
          <w:b/>
          <w:bCs/>
          <w:rtl/>
        </w:rPr>
        <w:t xml:space="preserve"> יכולתו של הנאשם להבין את אשר הוא עושה, את הפסול שבמעשהו או את משמעות מעשהו, הוא אינו קרוב לסייג לאחריות הפלילית והיה יכול להימנע מהמעשה עליו הייתה לו שליטה מלאה. </w:t>
      </w:r>
    </w:p>
    <w:p w14:paraId="1255FAE0" w14:textId="77777777" w:rsidR="00F50C35" w:rsidRDefault="00F50C35">
      <w:pPr>
        <w:spacing w:line="360" w:lineRule="auto"/>
        <w:jc w:val="both"/>
        <w:rPr>
          <w:b/>
          <w:bCs/>
          <w:rtl/>
        </w:rPr>
      </w:pPr>
    </w:p>
    <w:p w14:paraId="0786186E" w14:textId="77777777" w:rsidR="00F50C35" w:rsidRDefault="00622ABC">
      <w:pPr>
        <w:spacing w:line="360" w:lineRule="auto"/>
        <w:jc w:val="both"/>
        <w:rPr>
          <w:b/>
          <w:bCs/>
          <w:u w:val="single"/>
          <w:rtl/>
        </w:rPr>
      </w:pPr>
      <w:r>
        <w:rPr>
          <w:rFonts w:hint="cs"/>
          <w:b/>
          <w:bCs/>
          <w:u w:val="single"/>
          <w:rtl/>
        </w:rPr>
        <w:t>נסיבות שאינן קשורות בביצוע העבירה</w:t>
      </w:r>
    </w:p>
    <w:p w14:paraId="3E63D827" w14:textId="77777777" w:rsidR="00F50C35" w:rsidRDefault="00F50C35">
      <w:pPr>
        <w:spacing w:line="360" w:lineRule="auto"/>
        <w:jc w:val="both"/>
        <w:rPr>
          <w:rtl/>
        </w:rPr>
      </w:pPr>
    </w:p>
    <w:p w14:paraId="17681FBF" w14:textId="77777777" w:rsidR="00F50C35" w:rsidRDefault="00622ABC">
      <w:pPr>
        <w:spacing w:line="360" w:lineRule="auto"/>
        <w:ind w:left="720" w:hanging="720"/>
        <w:jc w:val="both"/>
        <w:rPr>
          <w:rtl/>
        </w:rPr>
      </w:pPr>
      <w:r>
        <w:rPr>
          <w:rFonts w:hint="cs"/>
          <w:rtl/>
        </w:rPr>
        <w:t>15.</w:t>
      </w:r>
      <w:r>
        <w:rPr>
          <w:rFonts w:hint="cs"/>
          <w:rtl/>
        </w:rPr>
        <w:tab/>
        <w:t xml:space="preserve">כמצווה על בית המשפט </w:t>
      </w:r>
      <w:hyperlink r:id="rId30" w:history="1">
        <w:r w:rsidR="00384890" w:rsidRPr="00384890">
          <w:rPr>
            <w:color w:val="0000FF"/>
            <w:u w:val="single"/>
            <w:rtl/>
          </w:rPr>
          <w:t>בסעיף 40יא</w:t>
        </w:r>
      </w:hyperlink>
      <w:r>
        <w:rPr>
          <w:rFonts w:hint="cs"/>
          <w:rtl/>
        </w:rPr>
        <w:t xml:space="preserve"> בחוק יש לקחת בחשבון, בעת ענישת הנאשם, את נסיבותיו האישיות אשר אינן קשורות בביצוע העבירה. במקרה דנן נסיבות אלו נלמדות מטיעוני ההגנה, מתסקיר שירות המבחן ומדברי הנאשם.</w:t>
      </w:r>
    </w:p>
    <w:p w14:paraId="1096921F" w14:textId="77777777" w:rsidR="00F50C35" w:rsidRDefault="00622ABC">
      <w:pPr>
        <w:spacing w:line="360" w:lineRule="auto"/>
        <w:ind w:left="720"/>
        <w:jc w:val="both"/>
        <w:rPr>
          <w:b/>
          <w:bCs/>
          <w:rtl/>
        </w:rPr>
      </w:pPr>
      <w:r>
        <w:rPr>
          <w:rFonts w:hint="cs"/>
          <w:rtl/>
        </w:rPr>
        <w:t>מדובר בנאשם בן 46, נסיבותיו המשפחתיות פורטו בתסקיר שירות המבחן, עונש מאסר ולו בדרך עבודות שירות יפגע כלכלית בו ובבני משפחתו, אך אין המדובר בפגיעה חמורה שאינה מוצדקת בנסיבות העניין.</w:t>
      </w:r>
      <w:r>
        <w:rPr>
          <w:rFonts w:hint="cs"/>
          <w:b/>
          <w:bCs/>
        </w:rPr>
        <w:t xml:space="preserve"> </w:t>
      </w:r>
      <w:r>
        <w:rPr>
          <w:rFonts w:hint="cs"/>
          <w:rtl/>
        </w:rPr>
        <w:t>הנזקים שנגרמו לנאשם מביצוע העבירה פורטו על ידי ההגנה, כגון שהייתו במעצר לראשונה בחייו וכן שחרורו למעצר בית בהמשך. הנאשם נטל אחריות על מעשיו, הודה במיוחס לו, שיתף פעולה עם שירות המבחן וכן השתלב בהליך טיפולי וכך הפסיק שימוש בסמים. לחובת הנאשם שתי הרשעות קודמות, בעבירות מתחומי המסים והסמים בגינן הושתו עליו עונשים צופים פני עתיד.</w:t>
      </w:r>
    </w:p>
    <w:p w14:paraId="7B70576C" w14:textId="77777777" w:rsidR="00F50C35" w:rsidRDefault="00F50C35">
      <w:pPr>
        <w:spacing w:line="360" w:lineRule="auto"/>
        <w:jc w:val="both"/>
        <w:rPr>
          <w:rtl/>
        </w:rPr>
      </w:pPr>
    </w:p>
    <w:p w14:paraId="1FD6B1DD" w14:textId="77777777" w:rsidR="00F50C35" w:rsidRDefault="00622ABC">
      <w:pPr>
        <w:spacing w:line="360" w:lineRule="auto"/>
        <w:jc w:val="both"/>
        <w:rPr>
          <w:rtl/>
        </w:rPr>
      </w:pPr>
      <w:r>
        <w:rPr>
          <w:rFonts w:hint="cs"/>
          <w:rtl/>
        </w:rPr>
        <w:t>16.</w:t>
      </w:r>
      <w:r>
        <w:rPr>
          <w:rFonts w:hint="cs"/>
          <w:rtl/>
        </w:rPr>
        <w:tab/>
        <w:t>לאור האמור לעיל הנני משיתה על הנאשם את העונשים הבאים:</w:t>
      </w:r>
    </w:p>
    <w:p w14:paraId="0A7226DB" w14:textId="77777777" w:rsidR="00F50C35" w:rsidRDefault="00F50C35">
      <w:pPr>
        <w:spacing w:line="360" w:lineRule="auto"/>
        <w:jc w:val="both"/>
        <w:rPr>
          <w:rtl/>
        </w:rPr>
      </w:pPr>
    </w:p>
    <w:p w14:paraId="5849628B" w14:textId="77777777" w:rsidR="00F50C35" w:rsidRDefault="00622ABC">
      <w:pPr>
        <w:numPr>
          <w:ilvl w:val="0"/>
          <w:numId w:val="3"/>
        </w:numPr>
        <w:spacing w:line="360" w:lineRule="auto"/>
        <w:jc w:val="both"/>
        <w:rPr>
          <w:rtl/>
        </w:rPr>
      </w:pPr>
      <w:r>
        <w:rPr>
          <w:rFonts w:hint="cs"/>
          <w:rtl/>
        </w:rPr>
        <w:t>מאסר בפועל למשך 6 חודשים בניכוי ימי מעצרו 14/12/14 – 5/1/15.</w:t>
      </w:r>
    </w:p>
    <w:p w14:paraId="1256572D" w14:textId="77777777" w:rsidR="00F50C35" w:rsidRDefault="00622ABC">
      <w:pPr>
        <w:spacing w:line="360" w:lineRule="auto"/>
        <w:jc w:val="both"/>
        <w:rPr>
          <w:rtl/>
        </w:rPr>
      </w:pPr>
      <w:r>
        <w:rPr>
          <w:rFonts w:hint="cs"/>
          <w:rtl/>
        </w:rPr>
        <w:tab/>
      </w:r>
    </w:p>
    <w:p w14:paraId="155B034F" w14:textId="77777777" w:rsidR="00F50C35" w:rsidRDefault="00622ABC">
      <w:pPr>
        <w:spacing w:line="360" w:lineRule="auto"/>
        <w:ind w:left="1080"/>
        <w:jc w:val="both"/>
        <w:rPr>
          <w:rtl/>
        </w:rPr>
      </w:pPr>
      <w:r>
        <w:rPr>
          <w:rFonts w:hint="cs"/>
          <w:rtl/>
        </w:rPr>
        <w:t>לאחר קבלת חוות דעת הממונה על עבודות השירות, לפיה, הנאשם יכול לעבוד בכל עבודת שירות ללא מגבלה וניתנת המלצה על ידי הממונה להציב הנדון בעבודת שירות ציבורית,  אני מורה כדלקמן:</w:t>
      </w:r>
    </w:p>
    <w:p w14:paraId="5F9ABCBF" w14:textId="77777777" w:rsidR="00F50C35" w:rsidRDefault="00F50C35">
      <w:pPr>
        <w:spacing w:line="360" w:lineRule="auto"/>
        <w:ind w:left="1440"/>
        <w:jc w:val="both"/>
        <w:rPr>
          <w:rtl/>
        </w:rPr>
      </w:pPr>
    </w:p>
    <w:p w14:paraId="4E47DD6D" w14:textId="77777777" w:rsidR="00F50C35" w:rsidRDefault="00622ABC">
      <w:pPr>
        <w:spacing w:line="360" w:lineRule="auto"/>
        <w:ind w:left="1080"/>
        <w:jc w:val="both"/>
        <w:rPr>
          <w:rtl/>
        </w:rPr>
      </w:pPr>
      <w:r>
        <w:rPr>
          <w:rFonts w:hint="cs"/>
          <w:rtl/>
        </w:rPr>
        <w:t>הנאשם ירצה את עבודות השירות במקום העבודה: המועצה המקומית אבן יהודה,  ברח' המייסדים 53, 5 ימים בשבוע, 8.5 שעות יומיות.</w:t>
      </w:r>
    </w:p>
    <w:p w14:paraId="360689F9" w14:textId="77777777" w:rsidR="00F50C35" w:rsidRDefault="00622ABC">
      <w:pPr>
        <w:spacing w:line="360" w:lineRule="auto"/>
        <w:ind w:left="1440"/>
        <w:jc w:val="both"/>
        <w:rPr>
          <w:rtl/>
        </w:rPr>
      </w:pPr>
      <w:r>
        <w:rPr>
          <w:rFonts w:hint="cs"/>
          <w:rtl/>
        </w:rPr>
        <w:t xml:space="preserve"> </w:t>
      </w:r>
    </w:p>
    <w:p w14:paraId="33E7D419" w14:textId="77777777" w:rsidR="00F50C35" w:rsidRDefault="00622ABC">
      <w:pPr>
        <w:spacing w:line="360" w:lineRule="auto"/>
        <w:ind w:left="1080"/>
        <w:jc w:val="both"/>
        <w:rPr>
          <w:rtl/>
        </w:rPr>
      </w:pPr>
      <w:r>
        <w:rPr>
          <w:rFonts w:hint="cs"/>
          <w:rtl/>
        </w:rPr>
        <w:t>הנאשם הביע את הסכמתו למקום העבודה הנ"ל להמרת המאסר בפועל בעבודות שירות. הריני קובעת, שהנאשם יישא את עונש המאסר שהוטל עליו בתיק זה ולמשך תקופה של 6 חודשים בעבודות שירות.</w:t>
      </w:r>
    </w:p>
    <w:p w14:paraId="5FC0973A" w14:textId="77777777" w:rsidR="00F50C35" w:rsidRDefault="00F50C35">
      <w:pPr>
        <w:spacing w:line="360" w:lineRule="auto"/>
        <w:ind w:left="1440"/>
        <w:jc w:val="both"/>
        <w:rPr>
          <w:rtl/>
        </w:rPr>
      </w:pPr>
    </w:p>
    <w:p w14:paraId="7A76653B" w14:textId="77777777" w:rsidR="00F50C35" w:rsidRDefault="00622ABC">
      <w:pPr>
        <w:spacing w:line="360" w:lineRule="auto"/>
        <w:ind w:left="1080"/>
        <w:jc w:val="both"/>
        <w:rPr>
          <w:rtl/>
        </w:rPr>
      </w:pPr>
      <w:r>
        <w:rPr>
          <w:rFonts w:hint="cs"/>
          <w:rtl/>
        </w:rPr>
        <w:t>תחילת ריצוי עבודות השירות ביום 24.1.16 והנאשם יתייצב בפני המפקח על עבודות השרות בשעה 08:00 לצורך קליטה והצבה במפקדת גוש מרכז ת.ד 81 רמלה.</w:t>
      </w:r>
    </w:p>
    <w:p w14:paraId="2B168E7B" w14:textId="77777777" w:rsidR="00F50C35" w:rsidRDefault="00F50C35">
      <w:pPr>
        <w:spacing w:line="360" w:lineRule="auto"/>
        <w:ind w:left="1440"/>
        <w:jc w:val="both"/>
        <w:rPr>
          <w:rtl/>
        </w:rPr>
      </w:pPr>
    </w:p>
    <w:p w14:paraId="1B64DCE0" w14:textId="77777777" w:rsidR="00F50C35" w:rsidRDefault="00622ABC">
      <w:pPr>
        <w:spacing w:line="360" w:lineRule="auto"/>
        <w:ind w:left="1080"/>
        <w:jc w:val="both"/>
        <w:rPr>
          <w:rtl/>
        </w:rPr>
      </w:pPr>
      <w:r>
        <w:rPr>
          <w:rFonts w:hint="cs"/>
          <w:rtl/>
        </w:rPr>
        <w:t>הובהר לנאשם כי עליו לעדכן את משרד הממונה בכל שינוי אם יחול בכתובת מגוריו, וכי עליו לעמוד בתנאי הפיקוח וביקורות הפתע וכל הפרה בעבודות השירות תביא להפסקה מנהלית ולריצוי העונש במאסר ממש.</w:t>
      </w:r>
    </w:p>
    <w:p w14:paraId="077A4F33" w14:textId="77777777" w:rsidR="00F50C35" w:rsidRDefault="00F50C35">
      <w:pPr>
        <w:spacing w:line="360" w:lineRule="auto"/>
        <w:ind w:left="1440"/>
        <w:jc w:val="both"/>
        <w:rPr>
          <w:rtl/>
        </w:rPr>
      </w:pPr>
    </w:p>
    <w:p w14:paraId="7A3D187D" w14:textId="77777777" w:rsidR="00F50C35" w:rsidRDefault="00622ABC">
      <w:pPr>
        <w:spacing w:line="360" w:lineRule="auto"/>
        <w:ind w:left="1080"/>
        <w:jc w:val="both"/>
        <w:rPr>
          <w:rtl/>
        </w:rPr>
      </w:pPr>
      <w:r>
        <w:rPr>
          <w:rFonts w:hint="cs"/>
          <w:rtl/>
        </w:rPr>
        <w:t>בנוסף, הנני מורה על עיכוב יציאה מן הארץ, ובאם הנאשם מחזיק בדרכון עליו להפקידו בתחנת משטרת נתניה.</w:t>
      </w:r>
    </w:p>
    <w:p w14:paraId="14E15FC2" w14:textId="77777777" w:rsidR="00F50C35" w:rsidRDefault="00F50C35">
      <w:pPr>
        <w:spacing w:line="360" w:lineRule="auto"/>
        <w:ind w:left="1080"/>
        <w:jc w:val="both"/>
        <w:rPr>
          <w:rtl/>
        </w:rPr>
      </w:pPr>
    </w:p>
    <w:p w14:paraId="25236221" w14:textId="77777777" w:rsidR="00F50C35" w:rsidRDefault="00622ABC">
      <w:pPr>
        <w:spacing w:line="360" w:lineRule="auto"/>
        <w:ind w:left="1080"/>
        <w:jc w:val="both"/>
        <w:rPr>
          <w:rtl/>
        </w:rPr>
      </w:pPr>
      <w:r>
        <w:rPr>
          <w:rFonts w:hint="cs"/>
          <w:rtl/>
        </w:rPr>
        <w:t>אם אין ברשותו דרכון עליו להפקיד במזכירות בית המשפט תצהיר חלף דרכון.</w:t>
      </w:r>
    </w:p>
    <w:p w14:paraId="59785EDC" w14:textId="77777777" w:rsidR="00F50C35" w:rsidRDefault="00F50C35">
      <w:pPr>
        <w:spacing w:line="360" w:lineRule="auto"/>
        <w:ind w:left="1440"/>
        <w:jc w:val="both"/>
        <w:rPr>
          <w:rtl/>
        </w:rPr>
      </w:pPr>
    </w:p>
    <w:p w14:paraId="79DBF3B6" w14:textId="77777777" w:rsidR="00F50C35" w:rsidRDefault="00622ABC">
      <w:pPr>
        <w:spacing w:line="360" w:lineRule="auto"/>
        <w:ind w:left="360" w:firstLine="720"/>
        <w:jc w:val="both"/>
        <w:rPr>
          <w:rtl/>
        </w:rPr>
      </w:pPr>
      <w:r>
        <w:rPr>
          <w:rFonts w:hint="cs"/>
          <w:rtl/>
        </w:rPr>
        <w:t>לא יתייצב הנאשם לריצוי המאסר בעבודות שירות - תיחתם פקודת מאסר.</w:t>
      </w:r>
    </w:p>
    <w:p w14:paraId="06218C80" w14:textId="77777777" w:rsidR="00F50C35" w:rsidRDefault="00F50C35">
      <w:pPr>
        <w:spacing w:line="360" w:lineRule="auto"/>
        <w:jc w:val="both"/>
        <w:rPr>
          <w:b/>
          <w:bCs/>
          <w:rtl/>
        </w:rPr>
      </w:pPr>
    </w:p>
    <w:p w14:paraId="5017B5E2" w14:textId="77777777" w:rsidR="00F50C35" w:rsidRDefault="00622ABC">
      <w:pPr>
        <w:numPr>
          <w:ilvl w:val="0"/>
          <w:numId w:val="3"/>
        </w:numPr>
        <w:spacing w:line="360" w:lineRule="auto"/>
        <w:jc w:val="both"/>
        <w:rPr>
          <w:rtl/>
        </w:rPr>
      </w:pPr>
      <w:r>
        <w:rPr>
          <w:rFonts w:hint="cs"/>
          <w:rtl/>
        </w:rPr>
        <w:t>מאסר על תנאי למשך  6 חודשים והנאשם לא יישא עונש זה אלא אם יעבור בתוך 3 שנים מהיום עבירות פקודת הסמים מסוג פשע.</w:t>
      </w:r>
      <w:r>
        <w:rPr>
          <w:rFonts w:hint="cs"/>
          <w:rtl/>
        </w:rPr>
        <w:tab/>
      </w:r>
    </w:p>
    <w:p w14:paraId="38A97F76" w14:textId="77777777" w:rsidR="00F50C35" w:rsidRDefault="00F50C35">
      <w:pPr>
        <w:spacing w:line="360" w:lineRule="auto"/>
        <w:jc w:val="both"/>
        <w:rPr>
          <w:rtl/>
        </w:rPr>
      </w:pPr>
    </w:p>
    <w:p w14:paraId="598B9BF8" w14:textId="77777777" w:rsidR="00F50C35" w:rsidRDefault="00622ABC">
      <w:pPr>
        <w:numPr>
          <w:ilvl w:val="0"/>
          <w:numId w:val="3"/>
        </w:numPr>
        <w:spacing w:line="360" w:lineRule="auto"/>
        <w:jc w:val="both"/>
        <w:rPr>
          <w:rtl/>
        </w:rPr>
      </w:pPr>
      <w:r>
        <w:rPr>
          <w:rFonts w:hint="cs"/>
          <w:rtl/>
        </w:rPr>
        <w:t>קנס כספי בסך 1500 ₪ או 15 ימי מאסר תמורתו.</w:t>
      </w:r>
    </w:p>
    <w:p w14:paraId="5BEB6B95" w14:textId="77777777" w:rsidR="00F50C35" w:rsidRDefault="00622ABC">
      <w:pPr>
        <w:spacing w:line="360" w:lineRule="auto"/>
        <w:jc w:val="both"/>
        <w:rPr>
          <w:rtl/>
        </w:rPr>
      </w:pPr>
      <w:r>
        <w:rPr>
          <w:rFonts w:hint="cs"/>
          <w:rtl/>
        </w:rPr>
        <w:tab/>
      </w:r>
    </w:p>
    <w:p w14:paraId="718B21F2" w14:textId="77777777" w:rsidR="00F50C35" w:rsidRDefault="00622ABC">
      <w:pPr>
        <w:spacing w:line="360" w:lineRule="auto"/>
        <w:ind w:left="360" w:firstLine="720"/>
        <w:jc w:val="both"/>
        <w:rPr>
          <w:rtl/>
        </w:rPr>
      </w:pPr>
      <w:r>
        <w:rPr>
          <w:rFonts w:hint="cs"/>
          <w:rtl/>
        </w:rPr>
        <w:t xml:space="preserve">הקנס ישולם מתוך  ההפקדה בסך 1500 ₪ בתיק </w:t>
      </w:r>
      <w:hyperlink r:id="rId31" w:history="1">
        <w:r w:rsidRPr="00622ABC">
          <w:rPr>
            <w:color w:val="0000FF"/>
            <w:u w:val="single"/>
            <w:rtl/>
          </w:rPr>
          <w:t>מ"ת 37589-12-14</w:t>
        </w:r>
      </w:hyperlink>
      <w:r>
        <w:rPr>
          <w:rFonts w:hint="cs"/>
          <w:rtl/>
        </w:rPr>
        <w:t>.</w:t>
      </w:r>
    </w:p>
    <w:p w14:paraId="01A2338F" w14:textId="77777777" w:rsidR="00F50C35" w:rsidRDefault="00622ABC">
      <w:pPr>
        <w:numPr>
          <w:ilvl w:val="0"/>
          <w:numId w:val="3"/>
        </w:numPr>
        <w:spacing w:line="360" w:lineRule="auto"/>
        <w:jc w:val="both"/>
        <w:rPr>
          <w:b/>
          <w:bCs/>
          <w:rtl/>
        </w:rPr>
      </w:pPr>
      <w:r>
        <w:rPr>
          <w:rFonts w:hint="cs"/>
          <w:rtl/>
        </w:rPr>
        <w:t>פוסלת הנאשם מקבל ומהחזיק רישיון נהיגה למשך 10 חודשים פסילה על תנאי והנאשם לא יישא בעונש זה אלא אם יעבור בתוך 3 שנים מהיום עבירה על פקודת הסמים.</w:t>
      </w:r>
    </w:p>
    <w:p w14:paraId="46A0A521" w14:textId="77777777" w:rsidR="00F50C35" w:rsidRDefault="00F50C35">
      <w:pPr>
        <w:spacing w:line="360" w:lineRule="auto"/>
        <w:jc w:val="both"/>
        <w:rPr>
          <w:rtl/>
        </w:rPr>
      </w:pPr>
    </w:p>
    <w:p w14:paraId="1BEBB4F7" w14:textId="77777777" w:rsidR="00F50C35" w:rsidRDefault="00622ABC">
      <w:pPr>
        <w:spacing w:line="360" w:lineRule="auto"/>
        <w:jc w:val="both"/>
        <w:rPr>
          <w:rtl/>
        </w:rPr>
      </w:pPr>
      <w:r>
        <w:rPr>
          <w:rFonts w:hint="cs"/>
          <w:rtl/>
        </w:rPr>
        <w:t>מוצגים – סמים וכלים יושמדו. שאר המוצגים יוחזרו, יושמדו, יחולטו לפי החלטת קצין ממונה.</w:t>
      </w:r>
    </w:p>
    <w:p w14:paraId="3C8A1BBB" w14:textId="77777777" w:rsidR="00F50C35" w:rsidRDefault="00622ABC">
      <w:pPr>
        <w:spacing w:line="360" w:lineRule="auto"/>
        <w:jc w:val="both"/>
        <w:rPr>
          <w:b/>
          <w:bCs/>
          <w:u w:val="single"/>
          <w:rtl/>
        </w:rPr>
      </w:pPr>
      <w:r>
        <w:rPr>
          <w:rFonts w:hint="cs"/>
          <w:b/>
          <w:bCs/>
          <w:u w:val="single"/>
          <w:rtl/>
        </w:rPr>
        <w:t>זכות ערעור תוך 45 יום מהיום.</w:t>
      </w:r>
    </w:p>
    <w:p w14:paraId="1956B106" w14:textId="77777777" w:rsidR="00F50C35" w:rsidRDefault="00622ABC">
      <w:pPr>
        <w:pStyle w:val="a5"/>
        <w:spacing w:line="360" w:lineRule="auto"/>
        <w:jc w:val="center"/>
        <w:rPr>
          <w:sz w:val="6"/>
          <w:szCs w:val="6"/>
          <w:rtl/>
        </w:rPr>
      </w:pPr>
      <w:r>
        <w:rPr>
          <w:sz w:val="6"/>
          <w:szCs w:val="6"/>
          <w:rtl/>
        </w:rPr>
        <w:t>&lt;#3#&gt;</w:t>
      </w:r>
    </w:p>
    <w:p w14:paraId="2DD1EFB9" w14:textId="77777777" w:rsidR="00F50C35" w:rsidRDefault="00F50C35">
      <w:pPr>
        <w:jc w:val="right"/>
        <w:rPr>
          <w:rtl/>
        </w:rPr>
      </w:pPr>
    </w:p>
    <w:p w14:paraId="69E65D0D" w14:textId="77777777" w:rsidR="00F50C35" w:rsidRDefault="00622ABC">
      <w:pPr>
        <w:spacing w:line="360" w:lineRule="auto"/>
        <w:rPr>
          <w:rtl/>
        </w:rPr>
      </w:pPr>
      <w:r>
        <w:rPr>
          <w:rFonts w:hint="cs"/>
          <w:b/>
          <w:bCs/>
          <w:rtl/>
        </w:rPr>
        <w:t xml:space="preserve">ניתנה והודעה היום </w:t>
      </w:r>
      <w:r>
        <w:rPr>
          <w:rFonts w:hint="cs"/>
          <w:rtl/>
        </w:rPr>
        <w:t>י"א טבת תשע"ו</w:t>
      </w:r>
      <w:r>
        <w:rPr>
          <w:rFonts w:hint="cs"/>
          <w:b/>
          <w:bCs/>
          <w:rtl/>
        </w:rPr>
        <w:t xml:space="preserve">, </w:t>
      </w:r>
      <w:r>
        <w:rPr>
          <w:rFonts w:hint="cs"/>
          <w:rtl/>
        </w:rPr>
        <w:t>23/12/2015</w:t>
      </w:r>
      <w:r>
        <w:rPr>
          <w:rFonts w:hint="cs"/>
          <w:b/>
          <w:bCs/>
          <w:rtl/>
        </w:rPr>
        <w:t xml:space="preserve"> במעמד הנוכחים.</w:t>
      </w:r>
    </w:p>
    <w:p w14:paraId="458CBB8D" w14:textId="77777777" w:rsidR="00F50C35" w:rsidRDefault="00F50C35">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F50C35" w14:paraId="14977E38" w14:textId="77777777">
        <w:trPr>
          <w:trHeight w:val="364"/>
          <w:jc w:val="right"/>
        </w:trPr>
        <w:tc>
          <w:tcPr>
            <w:tcW w:w="3708" w:type="dxa"/>
            <w:shd w:val="clear" w:color="auto" w:fill="auto"/>
          </w:tcPr>
          <w:p w14:paraId="4303E56B" w14:textId="77777777" w:rsidR="00F50C35" w:rsidRDefault="00F50C35">
            <w:pPr>
              <w:jc w:val="center"/>
              <w:rPr>
                <w:rFonts w:ascii="Times New Roman" w:eastAsia="Times New Roman" w:hAnsi="Times New Roman" w:cs="Times New Roman"/>
              </w:rPr>
            </w:pPr>
          </w:p>
          <w:p w14:paraId="07850182" w14:textId="77777777" w:rsidR="00F50C35" w:rsidRDefault="00F50C35">
            <w:pPr>
              <w:jc w:val="center"/>
              <w:rPr>
                <w:rFonts w:ascii="Times New Roman" w:eastAsia="Times New Roman" w:hAnsi="Times New Roman" w:cs="Times New Roman"/>
                <w:rtl/>
              </w:rPr>
            </w:pPr>
          </w:p>
        </w:tc>
      </w:tr>
      <w:tr w:rsidR="00F50C35" w14:paraId="18BEACE3" w14:textId="77777777">
        <w:trPr>
          <w:trHeight w:val="415"/>
          <w:jc w:val="right"/>
        </w:trPr>
        <w:tc>
          <w:tcPr>
            <w:tcW w:w="3708" w:type="dxa"/>
            <w:shd w:val="clear" w:color="auto" w:fill="auto"/>
          </w:tcPr>
          <w:p w14:paraId="12D1E158" w14:textId="77777777" w:rsidR="00F50C35" w:rsidRDefault="00622ABC">
            <w:pPr>
              <w:jc w:val="center"/>
              <w:rPr>
                <w:rFonts w:ascii="Times New Roman" w:eastAsia="Times New Roman" w:hAnsi="Times New Roman"/>
                <w:b/>
                <w:bCs/>
                <w:rtl/>
              </w:rPr>
            </w:pPr>
            <w:r>
              <w:rPr>
                <w:rFonts w:ascii="Times New Roman" w:eastAsia="Times New Roman" w:hAnsi="Times New Roman" w:hint="cs"/>
                <w:b/>
                <w:bCs/>
                <w:rtl/>
              </w:rPr>
              <w:t>איטה נחמן, שופטת בכירה</w:t>
            </w:r>
          </w:p>
        </w:tc>
      </w:tr>
    </w:tbl>
    <w:p w14:paraId="65FB319E" w14:textId="77777777" w:rsidR="00F50C35" w:rsidRDefault="00F50C35">
      <w:pPr>
        <w:spacing w:line="360" w:lineRule="auto"/>
        <w:jc w:val="both"/>
        <w:rPr>
          <w:rtl/>
        </w:rPr>
      </w:pPr>
    </w:p>
    <w:p w14:paraId="70AB5A3B" w14:textId="77777777" w:rsidR="00F50C35" w:rsidRDefault="00622ABC">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78B16F7C" w14:textId="77777777" w:rsidR="00F50C35" w:rsidRDefault="00F50C35">
      <w:pPr>
        <w:spacing w:line="360" w:lineRule="auto"/>
        <w:jc w:val="both"/>
        <w:rPr>
          <w:rtl/>
        </w:rPr>
      </w:pPr>
    </w:p>
    <w:p w14:paraId="4A0ED12C" w14:textId="77777777" w:rsidR="00F50C35" w:rsidRDefault="00622ABC">
      <w:pPr>
        <w:spacing w:line="360" w:lineRule="auto"/>
        <w:jc w:val="both"/>
        <w:rPr>
          <w:rtl/>
        </w:rPr>
      </w:pPr>
      <w:r>
        <w:rPr>
          <w:rFonts w:hint="cs"/>
          <w:rtl/>
        </w:rPr>
        <w:t>בנסיבות העניין, מורה על עיכוב ריצוי עונש עבודות השירות עד ליום 7.2.16 שעה 08.00 שביום זה יתייצב הנאשם לריצוי עונש בפני הממונה על עבודות השירות במחוז מרכז.</w:t>
      </w:r>
    </w:p>
    <w:p w14:paraId="357B58D5" w14:textId="77777777" w:rsidR="00F50C35" w:rsidRDefault="00F50C35">
      <w:pPr>
        <w:spacing w:line="360" w:lineRule="auto"/>
        <w:jc w:val="both"/>
        <w:rPr>
          <w:rtl/>
        </w:rPr>
      </w:pPr>
    </w:p>
    <w:p w14:paraId="580BA0AB" w14:textId="77777777" w:rsidR="00F50C35" w:rsidRDefault="00622ABC">
      <w:pPr>
        <w:spacing w:line="360" w:lineRule="auto"/>
        <w:jc w:val="both"/>
        <w:rPr>
          <w:bCs/>
          <w:rtl/>
        </w:rPr>
      </w:pPr>
      <w:r>
        <w:rPr>
          <w:rFonts w:hint="cs"/>
          <w:bCs/>
          <w:rtl/>
        </w:rPr>
        <w:t>המזכירות תשלח העתק פרוטוקול הממונה על עבודות השירות.</w:t>
      </w:r>
    </w:p>
    <w:p w14:paraId="511FB04A" w14:textId="77777777" w:rsidR="00F50C35" w:rsidRDefault="00F50C35">
      <w:pPr>
        <w:spacing w:line="360" w:lineRule="auto"/>
        <w:jc w:val="both"/>
        <w:rPr>
          <w:bCs/>
          <w:rtl/>
        </w:rPr>
      </w:pPr>
    </w:p>
    <w:p w14:paraId="47BADD80" w14:textId="77777777" w:rsidR="00F50C35" w:rsidRDefault="00622ABC">
      <w:pPr>
        <w:spacing w:line="360" w:lineRule="auto"/>
        <w:jc w:val="both"/>
        <w:rPr>
          <w:sz w:val="6"/>
          <w:szCs w:val="6"/>
          <w:rtl/>
        </w:rPr>
      </w:pPr>
      <w:r>
        <w:rPr>
          <w:sz w:val="6"/>
          <w:szCs w:val="6"/>
          <w:rtl/>
        </w:rPr>
        <w:t>&lt;#5#&gt;</w:t>
      </w:r>
    </w:p>
    <w:p w14:paraId="66D05070" w14:textId="77777777" w:rsidR="00F50C35" w:rsidRDefault="00F50C35">
      <w:pPr>
        <w:jc w:val="right"/>
        <w:rPr>
          <w:rtl/>
        </w:rPr>
      </w:pPr>
    </w:p>
    <w:p w14:paraId="60AAC9D4" w14:textId="77777777" w:rsidR="00F50C35" w:rsidRDefault="00622ABC">
      <w:pPr>
        <w:jc w:val="center"/>
        <w:rPr>
          <w:rtl/>
        </w:rPr>
      </w:pPr>
      <w:r w:rsidRPr="00622ABC">
        <w:rPr>
          <w:b/>
          <w:bCs/>
          <w:color w:val="FFFFFF"/>
          <w:sz w:val="2"/>
          <w:szCs w:val="2"/>
          <w:rtl/>
        </w:rPr>
        <w:t>5129371</w:t>
      </w:r>
      <w:r>
        <w:rPr>
          <w:b/>
          <w:bCs/>
          <w:rtl/>
        </w:rPr>
        <w:t xml:space="preserve">ניתנה והודעה היום י"א טבת תשע"ו, 23/12/2015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F50C35" w14:paraId="0FF69F4D" w14:textId="77777777">
        <w:trPr>
          <w:trHeight w:val="364"/>
          <w:jc w:val="right"/>
        </w:trPr>
        <w:tc>
          <w:tcPr>
            <w:tcW w:w="3708" w:type="dxa"/>
            <w:shd w:val="clear" w:color="auto" w:fill="auto"/>
          </w:tcPr>
          <w:p w14:paraId="130DAE7F" w14:textId="77777777" w:rsidR="00F50C35" w:rsidRPr="00622ABC" w:rsidRDefault="00622ABC">
            <w:pPr>
              <w:jc w:val="center"/>
              <w:rPr>
                <w:rFonts w:ascii="Times New Roman" w:eastAsia="Times New Roman" w:hAnsi="Times New Roman" w:cs="Times New Roman"/>
                <w:color w:val="FFFFFF"/>
                <w:sz w:val="2"/>
                <w:szCs w:val="2"/>
              </w:rPr>
            </w:pPr>
            <w:r w:rsidRPr="00622ABC">
              <w:rPr>
                <w:rFonts w:ascii="Times New Roman" w:eastAsia="Times New Roman" w:hAnsi="Times New Roman" w:cs="Times New Roman"/>
                <w:color w:val="FFFFFF"/>
                <w:sz w:val="2"/>
                <w:szCs w:val="2"/>
                <w:rtl/>
              </w:rPr>
              <w:t>54678313</w:t>
            </w:r>
          </w:p>
          <w:p w14:paraId="0EEC07DF" w14:textId="77777777" w:rsidR="00F50C35" w:rsidRDefault="00F50C35">
            <w:pPr>
              <w:jc w:val="center"/>
              <w:rPr>
                <w:rFonts w:ascii="Times New Roman" w:eastAsia="Times New Roman" w:hAnsi="Times New Roman" w:cs="Times New Roman"/>
                <w:rtl/>
              </w:rPr>
            </w:pPr>
          </w:p>
        </w:tc>
      </w:tr>
      <w:tr w:rsidR="00F50C35" w14:paraId="497BA7E3" w14:textId="77777777">
        <w:trPr>
          <w:trHeight w:val="415"/>
          <w:jc w:val="right"/>
        </w:trPr>
        <w:tc>
          <w:tcPr>
            <w:tcW w:w="3708" w:type="dxa"/>
            <w:shd w:val="clear" w:color="auto" w:fill="auto"/>
          </w:tcPr>
          <w:p w14:paraId="034A03AD" w14:textId="77777777" w:rsidR="00F50C35" w:rsidRDefault="00622ABC">
            <w:pPr>
              <w:jc w:val="center"/>
              <w:rPr>
                <w:rFonts w:ascii="Times New Roman" w:eastAsia="Times New Roman" w:hAnsi="Times New Roman"/>
                <w:b/>
                <w:bCs/>
                <w:rtl/>
              </w:rPr>
            </w:pPr>
            <w:r>
              <w:rPr>
                <w:rFonts w:ascii="Times New Roman" w:eastAsia="Times New Roman" w:hAnsi="Times New Roman" w:hint="cs"/>
                <w:b/>
                <w:bCs/>
                <w:rtl/>
              </w:rPr>
              <w:t>איטה נחמן, שופטת בכירה</w:t>
            </w:r>
          </w:p>
        </w:tc>
      </w:tr>
    </w:tbl>
    <w:p w14:paraId="27E49778" w14:textId="77777777" w:rsidR="00F50C35" w:rsidRDefault="00622ABC">
      <w:pPr>
        <w:spacing w:line="360" w:lineRule="auto"/>
        <w:jc w:val="both"/>
        <w:rPr>
          <w:rtl/>
        </w:rPr>
      </w:pPr>
      <w:r>
        <w:rPr>
          <w:rtl/>
        </w:rPr>
        <w:t xml:space="preserve"> </w:t>
      </w:r>
    </w:p>
    <w:p w14:paraId="0793A592" w14:textId="77777777" w:rsidR="00F50C35" w:rsidRDefault="00622ABC">
      <w:r>
        <w:rPr>
          <w:rtl/>
        </w:rPr>
        <w:t>הוקלד</w:t>
      </w:r>
      <w:r>
        <w:t xml:space="preserve"> </w:t>
      </w:r>
      <w:r>
        <w:rPr>
          <w:rtl/>
        </w:rPr>
        <w:t>על</w:t>
      </w:r>
      <w:r>
        <w:t xml:space="preserve"> </w:t>
      </w:r>
      <w:r>
        <w:rPr>
          <w:rtl/>
        </w:rPr>
        <w:t>ידי</w:t>
      </w:r>
      <w:r>
        <w:t xml:space="preserve"> </w:t>
      </w:r>
      <w:r>
        <w:rPr>
          <w:rtl/>
        </w:rPr>
        <w:t>הדס</w:t>
      </w:r>
      <w:r>
        <w:t xml:space="preserve"> </w:t>
      </w:r>
      <w:r>
        <w:rPr>
          <w:rtl/>
        </w:rPr>
        <w:t>כחלון</w:t>
      </w:r>
    </w:p>
    <w:p w14:paraId="464396C0" w14:textId="77777777" w:rsidR="00622ABC" w:rsidRPr="00622ABC" w:rsidRDefault="00622ABC" w:rsidP="00622ABC">
      <w:pPr>
        <w:keepNext/>
        <w:rPr>
          <w:color w:val="000000"/>
          <w:sz w:val="22"/>
          <w:szCs w:val="22"/>
          <w:rtl/>
        </w:rPr>
      </w:pPr>
    </w:p>
    <w:p w14:paraId="29FB0CE2" w14:textId="77777777" w:rsidR="00622ABC" w:rsidRPr="00622ABC" w:rsidRDefault="00622ABC" w:rsidP="00622ABC">
      <w:pPr>
        <w:keepNext/>
        <w:rPr>
          <w:color w:val="000000"/>
          <w:sz w:val="22"/>
          <w:szCs w:val="22"/>
          <w:rtl/>
        </w:rPr>
      </w:pPr>
      <w:r w:rsidRPr="00622ABC">
        <w:rPr>
          <w:color w:val="000000"/>
          <w:sz w:val="22"/>
          <w:szCs w:val="22"/>
          <w:rtl/>
        </w:rPr>
        <w:t>איטה נחמן 54678313</w:t>
      </w:r>
    </w:p>
    <w:p w14:paraId="1F29F85F" w14:textId="77777777" w:rsidR="00622ABC" w:rsidRDefault="00622ABC" w:rsidP="00622ABC">
      <w:r w:rsidRPr="00622ABC">
        <w:rPr>
          <w:color w:val="000000"/>
          <w:rtl/>
        </w:rPr>
        <w:t>נוסח מסמך זה כפוף לשינויי ניסוח ועריכה</w:t>
      </w:r>
    </w:p>
    <w:p w14:paraId="282A05D1" w14:textId="77777777" w:rsidR="00622ABC" w:rsidRDefault="00622ABC" w:rsidP="00622ABC">
      <w:pPr>
        <w:rPr>
          <w:rtl/>
        </w:rPr>
      </w:pPr>
    </w:p>
    <w:p w14:paraId="6F2DEA54" w14:textId="77777777" w:rsidR="00622ABC" w:rsidRDefault="00622ABC" w:rsidP="00622ABC">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4F839CB0" w14:textId="77777777" w:rsidR="00F50C35" w:rsidRDefault="00F50C35" w:rsidP="00622ABC">
      <w:pPr>
        <w:jc w:val="center"/>
        <w:rPr>
          <w:rFonts w:hint="cs"/>
          <w:color w:val="0000FF"/>
          <w:u w:val="single"/>
          <w:rtl/>
        </w:rPr>
      </w:pPr>
    </w:p>
    <w:p w14:paraId="071EF5AA" w14:textId="77777777" w:rsidR="00D61ACE" w:rsidRPr="00622ABC" w:rsidRDefault="00D61ACE" w:rsidP="00622ABC">
      <w:pPr>
        <w:jc w:val="center"/>
        <w:rPr>
          <w:color w:val="0000FF"/>
          <w:u w:val="single"/>
        </w:rPr>
      </w:pPr>
    </w:p>
    <w:sectPr w:rsidR="00D61ACE" w:rsidRPr="00622ABC" w:rsidSect="00622ABC">
      <w:headerReference w:type="even" r:id="rId33"/>
      <w:headerReference w:type="default" r:id="rId34"/>
      <w:footerReference w:type="even" r:id="rId35"/>
      <w:footerReference w:type="default" r:id="rId3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1B496C" w14:textId="77777777" w:rsidR="00555B79" w:rsidRDefault="00555B79">
      <w:r>
        <w:separator/>
      </w:r>
    </w:p>
  </w:endnote>
  <w:endnote w:type="continuationSeparator" w:id="0">
    <w:p w14:paraId="22767BB8" w14:textId="77777777" w:rsidR="00555B79" w:rsidRDefault="00555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3350D" w14:textId="77777777" w:rsidR="00733AB0" w:rsidRDefault="00733AB0" w:rsidP="00622ABC">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15</w:t>
    </w:r>
    <w:r>
      <w:rPr>
        <w:rFonts w:ascii="FrankRuehl" w:hAnsi="FrankRuehl" w:cs="FrankRuehl"/>
        <w:rtl/>
      </w:rPr>
      <w:fldChar w:fldCharType="end"/>
    </w:r>
  </w:p>
  <w:p w14:paraId="24A6FAC2" w14:textId="77777777" w:rsidR="00733AB0" w:rsidRPr="00622ABC" w:rsidRDefault="00733AB0" w:rsidP="00622ABC">
    <w:pPr>
      <w:pStyle w:val="a7"/>
      <w:pBdr>
        <w:top w:val="single" w:sz="4" w:space="1" w:color="auto"/>
        <w:between w:val="single" w:sz="4" w:space="0" w:color="auto"/>
      </w:pBdr>
      <w:spacing w:after="60"/>
      <w:jc w:val="center"/>
      <w:rPr>
        <w:rFonts w:ascii="FrankRuehl" w:hAnsi="FrankRuehl" w:cs="FrankRuehl"/>
        <w:color w:val="000000"/>
      </w:rPr>
    </w:pPr>
    <w:r w:rsidRPr="00622AB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7B061" w14:textId="77777777" w:rsidR="00733AB0" w:rsidRDefault="00733AB0" w:rsidP="00622ABC">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E76FA">
      <w:rPr>
        <w:rFonts w:ascii="FrankRuehl" w:hAnsi="FrankRuehl" w:cs="FrankRuehl"/>
        <w:noProof/>
        <w:rtl/>
      </w:rPr>
      <w:t>1</w:t>
    </w:r>
    <w:r>
      <w:rPr>
        <w:rFonts w:ascii="FrankRuehl" w:hAnsi="FrankRuehl" w:cs="FrankRuehl"/>
        <w:rtl/>
      </w:rPr>
      <w:fldChar w:fldCharType="end"/>
    </w:r>
  </w:p>
  <w:p w14:paraId="41E65C85" w14:textId="77777777" w:rsidR="00733AB0" w:rsidRPr="00622ABC" w:rsidRDefault="00733AB0" w:rsidP="00622ABC">
    <w:pPr>
      <w:pStyle w:val="a7"/>
      <w:pBdr>
        <w:top w:val="single" w:sz="4" w:space="1" w:color="auto"/>
        <w:between w:val="single" w:sz="4" w:space="0" w:color="auto"/>
      </w:pBdr>
      <w:spacing w:after="60"/>
      <w:jc w:val="center"/>
      <w:rPr>
        <w:rFonts w:ascii="FrankRuehl" w:hAnsi="FrankRuehl" w:cs="FrankRuehl"/>
        <w:color w:val="000000"/>
      </w:rPr>
    </w:pPr>
    <w:r w:rsidRPr="00622ABC">
      <w:rPr>
        <w:rFonts w:ascii="FrankRuehl" w:hAnsi="FrankRuehl" w:cs="FrankRuehl"/>
        <w:color w:val="000000"/>
      </w:rPr>
      <w:pict w14:anchorId="199FF4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8391F0" w14:textId="77777777" w:rsidR="00555B79" w:rsidRDefault="00555B79">
      <w:r>
        <w:separator/>
      </w:r>
    </w:p>
  </w:footnote>
  <w:footnote w:type="continuationSeparator" w:id="0">
    <w:p w14:paraId="20935164" w14:textId="77777777" w:rsidR="00555B79" w:rsidRDefault="00555B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923C3" w14:textId="77777777" w:rsidR="00733AB0" w:rsidRPr="00622ABC" w:rsidRDefault="00733AB0" w:rsidP="00622ABC">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37567-12-14</w:t>
    </w:r>
    <w:r>
      <w:rPr>
        <w:color w:val="000000"/>
        <w:sz w:val="22"/>
        <w:szCs w:val="22"/>
        <w:rtl/>
      </w:rPr>
      <w:tab/>
      <w:t xml:space="preserve"> מדינת ישראל נ' אייל רוטבליט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3ECEE" w14:textId="77777777" w:rsidR="00733AB0" w:rsidRPr="00622ABC" w:rsidRDefault="00733AB0" w:rsidP="00622ABC">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37567-12-14</w:t>
    </w:r>
    <w:r>
      <w:rPr>
        <w:color w:val="000000"/>
        <w:sz w:val="22"/>
        <w:szCs w:val="22"/>
        <w:rtl/>
      </w:rPr>
      <w:tab/>
      <w:t xml:space="preserve"> מדינת ישראל נ' אייל רוטבליט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55D1B"/>
    <w:multiLevelType w:val="hybridMultilevel"/>
    <w:tmpl w:val="825A4DC0"/>
    <w:lvl w:ilvl="0" w:tplc="42FC10AC">
      <w:start w:val="1"/>
      <w:numFmt w:val="hebrew1"/>
      <w:lvlText w:val="%1."/>
      <w:lvlJc w:val="left"/>
      <w:pPr>
        <w:ind w:left="1080" w:hanging="360"/>
      </w:pPr>
      <w:rPr>
        <w:rFonts w:cs="David"/>
        <w:b w:val="0"/>
        <w:bCs w:val="0"/>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15:restartNumberingAfterBreak="0">
    <w:nsid w:val="1C5E6DF5"/>
    <w:multiLevelType w:val="hybridMultilevel"/>
    <w:tmpl w:val="E24AD770"/>
    <w:lvl w:ilvl="0" w:tplc="A0D488DC">
      <w:start w:val="1"/>
      <w:numFmt w:val="decimal"/>
      <w:pStyle w:val="a"/>
      <w:lvlText w:val="%1."/>
      <w:lvlJc w:val="left"/>
      <w:pPr>
        <w:tabs>
          <w:tab w:val="num" w:pos="720"/>
        </w:tabs>
        <w:ind w:left="720" w:hanging="720"/>
      </w:pPr>
      <w:rPr>
        <w:rFonts w:cs="David"/>
      </w:rPr>
    </w:lvl>
    <w:lvl w:ilvl="1" w:tplc="99A84F30">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7D10222D"/>
    <w:multiLevelType w:val="hybridMultilevel"/>
    <w:tmpl w:val="7CDA5500"/>
    <w:lvl w:ilvl="0" w:tplc="C7F46192">
      <w:start w:val="1"/>
      <w:numFmt w:val="hebrew1"/>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1163389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4452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83125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50C35"/>
    <w:rsid w:val="000E3179"/>
    <w:rsid w:val="00384890"/>
    <w:rsid w:val="00555B79"/>
    <w:rsid w:val="005D355A"/>
    <w:rsid w:val="005E355F"/>
    <w:rsid w:val="00622ABC"/>
    <w:rsid w:val="00733AB0"/>
    <w:rsid w:val="009326F7"/>
    <w:rsid w:val="00961C86"/>
    <w:rsid w:val="00A236C8"/>
    <w:rsid w:val="00BE76FA"/>
    <w:rsid w:val="00D61ACE"/>
    <w:rsid w:val="00D652C1"/>
    <w:rsid w:val="00F50C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2867CBC"/>
  <w15:chartTrackingRefBased/>
  <w15:docId w15:val="{656D607C-79D0-47B9-9E33-C11A5A5B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F50C35"/>
    <w:pPr>
      <w:bidi/>
    </w:pPr>
    <w:rPr>
      <w:rFonts w:ascii="David" w:eastAsia="David" w:hAnsi="David" w:cs="David"/>
      <w:sz w:val="24"/>
      <w:szCs w:val="24"/>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character" w:styleId="a4">
    <w:name w:val="line number"/>
    <w:basedOn w:val="a1"/>
    <w:rsid w:val="00F50C35"/>
  </w:style>
  <w:style w:type="paragraph" w:styleId="a5">
    <w:name w:val="header"/>
    <w:basedOn w:val="a0"/>
    <w:link w:val="a6"/>
    <w:rsid w:val="00F50C35"/>
    <w:pPr>
      <w:tabs>
        <w:tab w:val="center" w:pos="4153"/>
        <w:tab w:val="right" w:pos="8306"/>
      </w:tabs>
    </w:pPr>
  </w:style>
  <w:style w:type="paragraph" w:styleId="a7">
    <w:name w:val="footer"/>
    <w:basedOn w:val="a0"/>
    <w:rsid w:val="00F50C35"/>
    <w:pPr>
      <w:tabs>
        <w:tab w:val="center" w:pos="4153"/>
        <w:tab w:val="right" w:pos="8306"/>
      </w:tabs>
    </w:pPr>
  </w:style>
  <w:style w:type="character" w:styleId="a8">
    <w:name w:val="page number"/>
    <w:basedOn w:val="a1"/>
    <w:rsid w:val="00F50C35"/>
  </w:style>
  <w:style w:type="paragraph" w:customStyle="1" w:styleId="12">
    <w:name w:val="רגיל + ‏12 נק'"/>
    <w:aliases w:val="מיושר לשני הצדדים,מרווח בין שורות:  שורה וחצי"/>
    <w:basedOn w:val="a0"/>
    <w:rsid w:val="00F50C35"/>
    <w:rPr>
      <w:rFonts w:ascii="Times New Roman" w:eastAsia="Times New Roman" w:hAnsi="Times New Roman"/>
      <w:b/>
      <w:bCs/>
      <w:u w:val="single"/>
    </w:rPr>
  </w:style>
  <w:style w:type="character" w:customStyle="1" w:styleId="a6">
    <w:name w:val="כותרת עליונה תו"/>
    <w:link w:val="a5"/>
    <w:rsid w:val="00F50C35"/>
    <w:rPr>
      <w:rFonts w:ascii="David" w:eastAsia="David" w:hAnsi="David" w:cs="David"/>
      <w:sz w:val="24"/>
      <w:szCs w:val="24"/>
      <w:lang w:val="en-US" w:eastAsia="en-US" w:bidi="he-IL"/>
    </w:rPr>
  </w:style>
  <w:style w:type="paragraph" w:customStyle="1" w:styleId="a">
    <w:name w:val="ממוספר"/>
    <w:basedOn w:val="a0"/>
    <w:rsid w:val="00F50C35"/>
    <w:pPr>
      <w:numPr>
        <w:numId w:val="1"/>
      </w:numPr>
      <w:spacing w:after="120" w:line="360" w:lineRule="auto"/>
    </w:pPr>
    <w:rPr>
      <w:rFonts w:eastAsia="Times New Roman"/>
      <w:color w:val="000000"/>
    </w:rPr>
  </w:style>
  <w:style w:type="character" w:styleId="Hyperlink">
    <w:name w:val="Hyperlink"/>
    <w:rsid w:val="00F50C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case/19994809" TargetMode="External"/><Relationship Id="rId26" Type="http://schemas.openxmlformats.org/officeDocument/2006/relationships/hyperlink" Target="http://www.nevo.co.il/case/8477253" TargetMode="External"/><Relationship Id="rId21" Type="http://schemas.openxmlformats.org/officeDocument/2006/relationships/hyperlink" Target="http://www.nevo.co.il/law/70301/40c.a"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40d.a" TargetMode="External"/><Relationship Id="rId17" Type="http://schemas.openxmlformats.org/officeDocument/2006/relationships/hyperlink" Target="http://www.nevo.co.il/case/5810781" TargetMode="External"/><Relationship Id="rId25" Type="http://schemas.openxmlformats.org/officeDocument/2006/relationships/hyperlink" Target="http://www.nevo.co.il/case/4773189"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17916229" TargetMode="External"/><Relationship Id="rId20" Type="http://schemas.openxmlformats.org/officeDocument/2006/relationships/hyperlink" Target="http://www.nevo.co.il/case/5603186" TargetMode="External"/><Relationship Id="rId29" Type="http://schemas.openxmlformats.org/officeDocument/2006/relationships/hyperlink" Target="http://www.nevo.co.il/law/70301/40d.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a" TargetMode="External"/><Relationship Id="rId24" Type="http://schemas.openxmlformats.org/officeDocument/2006/relationships/hyperlink" Target="http://www.nevo.co.il/case/3834525"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4804940" TargetMode="External"/><Relationship Id="rId28" Type="http://schemas.openxmlformats.org/officeDocument/2006/relationships/hyperlink" Target="http://www.nevo.co.il/case/2791796" TargetMode="External"/><Relationship Id="rId36" Type="http://schemas.openxmlformats.org/officeDocument/2006/relationships/footer" Target="footer2.xml"/><Relationship Id="rId10" Type="http://schemas.openxmlformats.org/officeDocument/2006/relationships/hyperlink" Target="http://www.nevo.co.il/law/70301/40b" TargetMode="External"/><Relationship Id="rId19" Type="http://schemas.openxmlformats.org/officeDocument/2006/relationships/hyperlink" Target="http://www.nevo.co.il/case/6552365" TargetMode="External"/><Relationship Id="rId31" Type="http://schemas.openxmlformats.org/officeDocument/2006/relationships/hyperlink" Target="http://www.nevo.co.il/case/18741750"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4216/6" TargetMode="External"/><Relationship Id="rId22" Type="http://schemas.openxmlformats.org/officeDocument/2006/relationships/hyperlink" Target="http://www.nevo.co.il/law/70301/40b" TargetMode="External"/><Relationship Id="rId27" Type="http://schemas.openxmlformats.org/officeDocument/2006/relationships/hyperlink" Target="http://www.nevo.co.il/case/6782092" TargetMode="External"/><Relationship Id="rId30" Type="http://schemas.openxmlformats.org/officeDocument/2006/relationships/hyperlink" Target="http://www.nevo.co.il/law/70301/40ja" TargetMode="External"/><Relationship Id="rId35" Type="http://schemas.openxmlformats.org/officeDocument/2006/relationships/footer" Target="footer1.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2804</Words>
  <Characters>14024</Characters>
  <Application>Microsoft Office Word</Application>
  <DocSecurity>0</DocSecurity>
  <Lines>116</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16795</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3276927</vt:i4>
      </vt:variant>
      <vt:variant>
        <vt:i4>72</vt:i4>
      </vt:variant>
      <vt:variant>
        <vt:i4>0</vt:i4>
      </vt:variant>
      <vt:variant>
        <vt:i4>5</vt:i4>
      </vt:variant>
      <vt:variant>
        <vt:lpwstr>http://www.nevo.co.il/case/18741750</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4915205</vt:i4>
      </vt:variant>
      <vt:variant>
        <vt:i4>66</vt:i4>
      </vt:variant>
      <vt:variant>
        <vt:i4>0</vt:i4>
      </vt:variant>
      <vt:variant>
        <vt:i4>5</vt:i4>
      </vt:variant>
      <vt:variant>
        <vt:lpwstr>http://www.nevo.co.il/law/70301/40d.a</vt:lpwstr>
      </vt:variant>
      <vt:variant>
        <vt:lpwstr/>
      </vt:variant>
      <vt:variant>
        <vt:i4>3801211</vt:i4>
      </vt:variant>
      <vt:variant>
        <vt:i4>63</vt:i4>
      </vt:variant>
      <vt:variant>
        <vt:i4>0</vt:i4>
      </vt:variant>
      <vt:variant>
        <vt:i4>5</vt:i4>
      </vt:variant>
      <vt:variant>
        <vt:lpwstr>http://www.nevo.co.il/case/2791796</vt:lpwstr>
      </vt:variant>
      <vt:variant>
        <vt:lpwstr/>
      </vt:variant>
      <vt:variant>
        <vt:i4>3932280</vt:i4>
      </vt:variant>
      <vt:variant>
        <vt:i4>60</vt:i4>
      </vt:variant>
      <vt:variant>
        <vt:i4>0</vt:i4>
      </vt:variant>
      <vt:variant>
        <vt:i4>5</vt:i4>
      </vt:variant>
      <vt:variant>
        <vt:lpwstr>http://www.nevo.co.il/case/6782092</vt:lpwstr>
      </vt:variant>
      <vt:variant>
        <vt:lpwstr/>
      </vt:variant>
      <vt:variant>
        <vt:i4>4063346</vt:i4>
      </vt:variant>
      <vt:variant>
        <vt:i4>57</vt:i4>
      </vt:variant>
      <vt:variant>
        <vt:i4>0</vt:i4>
      </vt:variant>
      <vt:variant>
        <vt:i4>5</vt:i4>
      </vt:variant>
      <vt:variant>
        <vt:lpwstr>http://www.nevo.co.il/case/8477253</vt:lpwstr>
      </vt:variant>
      <vt:variant>
        <vt:lpwstr/>
      </vt:variant>
      <vt:variant>
        <vt:i4>3866744</vt:i4>
      </vt:variant>
      <vt:variant>
        <vt:i4>54</vt:i4>
      </vt:variant>
      <vt:variant>
        <vt:i4>0</vt:i4>
      </vt:variant>
      <vt:variant>
        <vt:i4>5</vt:i4>
      </vt:variant>
      <vt:variant>
        <vt:lpwstr>http://www.nevo.co.il/case/4773189</vt:lpwstr>
      </vt:variant>
      <vt:variant>
        <vt:lpwstr/>
      </vt:variant>
      <vt:variant>
        <vt:i4>3145850</vt:i4>
      </vt:variant>
      <vt:variant>
        <vt:i4>51</vt:i4>
      </vt:variant>
      <vt:variant>
        <vt:i4>0</vt:i4>
      </vt:variant>
      <vt:variant>
        <vt:i4>5</vt:i4>
      </vt:variant>
      <vt:variant>
        <vt:lpwstr>http://www.nevo.co.il/case/3834525</vt:lpwstr>
      </vt:variant>
      <vt:variant>
        <vt:lpwstr/>
      </vt:variant>
      <vt:variant>
        <vt:i4>3997820</vt:i4>
      </vt:variant>
      <vt:variant>
        <vt:i4>48</vt:i4>
      </vt:variant>
      <vt:variant>
        <vt:i4>0</vt:i4>
      </vt:variant>
      <vt:variant>
        <vt:i4>5</vt:i4>
      </vt:variant>
      <vt:variant>
        <vt:lpwstr>http://www.nevo.co.il/case/4804940</vt:lpwstr>
      </vt:variant>
      <vt:variant>
        <vt:lpwstr/>
      </vt:variant>
      <vt:variant>
        <vt:i4>6619233</vt:i4>
      </vt:variant>
      <vt:variant>
        <vt:i4>45</vt:i4>
      </vt:variant>
      <vt:variant>
        <vt:i4>0</vt:i4>
      </vt:variant>
      <vt:variant>
        <vt:i4>5</vt:i4>
      </vt:variant>
      <vt:variant>
        <vt:lpwstr>http://www.nevo.co.il/law/70301/40b</vt:lpwstr>
      </vt:variant>
      <vt:variant>
        <vt:lpwstr/>
      </vt:variant>
      <vt:variant>
        <vt:i4>4915202</vt:i4>
      </vt:variant>
      <vt:variant>
        <vt:i4>42</vt:i4>
      </vt:variant>
      <vt:variant>
        <vt:i4>0</vt:i4>
      </vt:variant>
      <vt:variant>
        <vt:i4>5</vt:i4>
      </vt:variant>
      <vt:variant>
        <vt:lpwstr>http://www.nevo.co.il/law/70301/40c.a</vt:lpwstr>
      </vt:variant>
      <vt:variant>
        <vt:lpwstr/>
      </vt:variant>
      <vt:variant>
        <vt:i4>3276921</vt:i4>
      </vt:variant>
      <vt:variant>
        <vt:i4>39</vt:i4>
      </vt:variant>
      <vt:variant>
        <vt:i4>0</vt:i4>
      </vt:variant>
      <vt:variant>
        <vt:i4>5</vt:i4>
      </vt:variant>
      <vt:variant>
        <vt:lpwstr>http://www.nevo.co.il/case/5603186</vt:lpwstr>
      </vt:variant>
      <vt:variant>
        <vt:lpwstr/>
      </vt:variant>
      <vt:variant>
        <vt:i4>3473525</vt:i4>
      </vt:variant>
      <vt:variant>
        <vt:i4>36</vt:i4>
      </vt:variant>
      <vt:variant>
        <vt:i4>0</vt:i4>
      </vt:variant>
      <vt:variant>
        <vt:i4>5</vt:i4>
      </vt:variant>
      <vt:variant>
        <vt:lpwstr>http://www.nevo.co.il/case/6552365</vt:lpwstr>
      </vt:variant>
      <vt:variant>
        <vt:lpwstr/>
      </vt:variant>
      <vt:variant>
        <vt:i4>3932284</vt:i4>
      </vt:variant>
      <vt:variant>
        <vt:i4>33</vt:i4>
      </vt:variant>
      <vt:variant>
        <vt:i4>0</vt:i4>
      </vt:variant>
      <vt:variant>
        <vt:i4>5</vt:i4>
      </vt:variant>
      <vt:variant>
        <vt:lpwstr>http://www.nevo.co.il/case/19994809</vt:lpwstr>
      </vt:variant>
      <vt:variant>
        <vt:lpwstr/>
      </vt:variant>
      <vt:variant>
        <vt:i4>3276916</vt:i4>
      </vt:variant>
      <vt:variant>
        <vt:i4>30</vt:i4>
      </vt:variant>
      <vt:variant>
        <vt:i4>0</vt:i4>
      </vt:variant>
      <vt:variant>
        <vt:i4>5</vt:i4>
      </vt:variant>
      <vt:variant>
        <vt:lpwstr>http://www.nevo.co.il/case/5810781</vt:lpwstr>
      </vt:variant>
      <vt:variant>
        <vt:lpwstr/>
      </vt:variant>
      <vt:variant>
        <vt:i4>3932272</vt:i4>
      </vt:variant>
      <vt:variant>
        <vt:i4>27</vt:i4>
      </vt:variant>
      <vt:variant>
        <vt:i4>0</vt:i4>
      </vt:variant>
      <vt:variant>
        <vt:i4>5</vt:i4>
      </vt:variant>
      <vt:variant>
        <vt:lpwstr>http://www.nevo.co.il/case/17916229</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2025-04-22T22:31:00Z</dcterms:created>
  <dcterms:modified xsi:type="dcterms:W3CDTF">2025-04-22T22:31:00Z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37567</vt:lpwstr>
  </property>
  <property fmtid="{D5CDD505-2E9C-101B-9397-08002B2CF9AE}" pid="6" name="NEWPARTB">
    <vt:lpwstr>12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אייל רוטבליט</vt:lpwstr>
  </property>
  <property fmtid="{D5CDD505-2E9C-101B-9397-08002B2CF9AE}" pid="10" name="LAWYER">
    <vt:lpwstr>יפעת פינצובר;גרוס</vt:lpwstr>
  </property>
  <property fmtid="{D5CDD505-2E9C-101B-9397-08002B2CF9AE}" pid="11" name="JUDGE">
    <vt:lpwstr>איטה נחמן</vt:lpwstr>
  </property>
  <property fmtid="{D5CDD505-2E9C-101B-9397-08002B2CF9AE}" pid="12" name="CITY">
    <vt:lpwstr>נת'</vt:lpwstr>
  </property>
  <property fmtid="{D5CDD505-2E9C-101B-9397-08002B2CF9AE}" pid="13" name="DATE">
    <vt:lpwstr>20151223</vt:lpwstr>
  </property>
  <property fmtid="{D5CDD505-2E9C-101B-9397-08002B2CF9AE}" pid="14" name="TYPE_N_DATE">
    <vt:lpwstr>38020151223</vt:lpwstr>
  </property>
  <property fmtid="{D5CDD505-2E9C-101B-9397-08002B2CF9AE}" pid="15" name="WORDNUMPAGES">
    <vt:lpwstr>10</vt:lpwstr>
  </property>
  <property fmtid="{D5CDD505-2E9C-101B-9397-08002B2CF9AE}" pid="16" name="TYPE_ABS_DATE">
    <vt:lpwstr>380020151223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17916229;5810781;19994809;6552365;5603186;4804940;3834525;4773189;8477253;6782092;2791796;18741750</vt:lpwstr>
  </property>
  <property fmtid="{D5CDD505-2E9C-101B-9397-08002B2CF9AE}" pid="36" name="LAWLISTTMP1">
    <vt:lpwstr>4216/006</vt:lpwstr>
  </property>
  <property fmtid="{D5CDD505-2E9C-101B-9397-08002B2CF9AE}" pid="37" name="LAWLISTTMP2">
    <vt:lpwstr>70301/040c.a;040b;040d.a;40ja</vt:lpwstr>
  </property>
</Properties>
</file>