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188"/>
        <w:gridCol w:w="4424"/>
        <w:gridCol w:w="108"/>
      </w:tblGrid>
      <w:tr w:rsidR="00DE5498" w:rsidRPr="00723223" w14:paraId="15662FDF" w14:textId="77777777">
        <w:trPr>
          <w:trHeight w:hRule="exact" w:val="418"/>
          <w:jc w:val="center"/>
        </w:trPr>
        <w:tc>
          <w:tcPr>
            <w:tcW w:w="8720" w:type="dxa"/>
            <w:gridSpan w:val="3"/>
          </w:tcPr>
          <w:p w14:paraId="5F81E61F" w14:textId="77777777" w:rsidR="00DE5498" w:rsidRPr="00723223" w:rsidRDefault="00723223">
            <w:pPr>
              <w:pStyle w:val="a4"/>
              <w:tabs>
                <w:tab w:val="clear" w:pos="8306"/>
              </w:tabs>
              <w:jc w:val="center"/>
              <w:rPr>
                <w:rFonts w:ascii="Tahoma" w:hAnsi="Tahoma" w:cs="Tahoma"/>
                <w:b/>
                <w:bCs/>
                <w:color w:val="000080"/>
                <w:sz w:val="20"/>
                <w:szCs w:val="20"/>
                <w:rtl/>
              </w:rPr>
            </w:pPr>
            <w:bookmarkStart w:id="0" w:name="FirstLawyer"/>
            <w:bookmarkStart w:id="1" w:name="LastJudge"/>
            <w:r w:rsidRPr="00723223">
              <w:rPr>
                <w:rFonts w:ascii="Tahoma" w:hAnsi="Tahoma" w:cs="Tahoma"/>
                <w:b/>
                <w:bCs/>
                <w:color w:val="000080"/>
                <w:sz w:val="20"/>
                <w:szCs w:val="20"/>
                <w:rtl/>
              </w:rPr>
              <w:t>בית משפט השלום בטבריה</w:t>
            </w:r>
          </w:p>
        </w:tc>
      </w:tr>
      <w:tr w:rsidR="00DE5498" w:rsidRPr="00723223" w14:paraId="7A272B30" w14:textId="77777777">
        <w:trPr>
          <w:gridAfter w:val="1"/>
          <w:wAfter w:w="108" w:type="dxa"/>
          <w:trHeight w:val="360"/>
          <w:jc w:val="center"/>
        </w:trPr>
        <w:tc>
          <w:tcPr>
            <w:tcW w:w="4188" w:type="dxa"/>
          </w:tcPr>
          <w:p w14:paraId="0C47341D" w14:textId="77777777" w:rsidR="00DE5498" w:rsidRPr="00723223" w:rsidRDefault="00723223">
            <w:pPr>
              <w:rPr>
                <w:b/>
                <w:bCs/>
                <w:rtl/>
              </w:rPr>
            </w:pPr>
            <w:r w:rsidRPr="00723223">
              <w:rPr>
                <w:rFonts w:hint="cs"/>
                <w:b/>
                <w:bCs/>
                <w:rtl/>
              </w:rPr>
              <w:t>בפני כב' ה</w:t>
            </w:r>
            <w:r w:rsidRPr="00723223">
              <w:rPr>
                <w:b/>
                <w:bCs/>
                <w:rtl/>
              </w:rPr>
              <w:t>שופט יריב נבון</w:t>
            </w:r>
          </w:p>
        </w:tc>
        <w:tc>
          <w:tcPr>
            <w:tcW w:w="4424" w:type="dxa"/>
          </w:tcPr>
          <w:p w14:paraId="22A6F58F" w14:textId="77777777" w:rsidR="00DE5498" w:rsidRPr="00723223" w:rsidRDefault="00723223">
            <w:pPr>
              <w:jc w:val="right"/>
              <w:rPr>
                <w:rtl/>
              </w:rPr>
            </w:pPr>
            <w:r w:rsidRPr="00723223">
              <w:rPr>
                <w:rtl/>
              </w:rPr>
              <w:t>ת"פ</w:t>
            </w:r>
            <w:r w:rsidRPr="00723223">
              <w:rPr>
                <w:rFonts w:hint="cs"/>
                <w:rtl/>
              </w:rPr>
              <w:t xml:space="preserve"> </w:t>
            </w:r>
            <w:r w:rsidRPr="00723223">
              <w:rPr>
                <w:rtl/>
              </w:rPr>
              <w:t>42020-12-14</w:t>
            </w:r>
            <w:r w:rsidRPr="00723223">
              <w:rPr>
                <w:rFonts w:hint="cs"/>
                <w:rtl/>
              </w:rPr>
              <w:t xml:space="preserve"> </w:t>
            </w:r>
            <w:r w:rsidRPr="00723223">
              <w:rPr>
                <w:rtl/>
              </w:rPr>
              <w:t>מדינת ישראל נ' אלאייש</w:t>
            </w:r>
          </w:p>
        </w:tc>
      </w:tr>
      <w:tr w:rsidR="00DE5498" w:rsidRPr="00723223" w14:paraId="49909753" w14:textId="77777777">
        <w:trPr>
          <w:gridAfter w:val="1"/>
          <w:wAfter w:w="108" w:type="dxa"/>
          <w:trHeight w:val="360"/>
          <w:jc w:val="center"/>
        </w:trPr>
        <w:tc>
          <w:tcPr>
            <w:tcW w:w="4188" w:type="dxa"/>
          </w:tcPr>
          <w:p w14:paraId="4BB0D223" w14:textId="77777777" w:rsidR="00DE5498" w:rsidRPr="00723223" w:rsidRDefault="00DE5498">
            <w:pPr>
              <w:rPr>
                <w:rtl/>
              </w:rPr>
            </w:pPr>
          </w:p>
        </w:tc>
        <w:tc>
          <w:tcPr>
            <w:tcW w:w="4424" w:type="dxa"/>
          </w:tcPr>
          <w:p w14:paraId="597A72BD" w14:textId="77777777" w:rsidR="00DE5498" w:rsidRPr="00723223" w:rsidRDefault="00723223">
            <w:pPr>
              <w:jc w:val="right"/>
              <w:rPr>
                <w:b/>
                <w:bCs/>
                <w:rtl/>
              </w:rPr>
            </w:pPr>
            <w:r w:rsidRPr="00723223">
              <w:rPr>
                <w:b/>
                <w:bCs/>
                <w:rtl/>
              </w:rPr>
              <w:t>04 נובמבר 2015</w:t>
            </w:r>
          </w:p>
        </w:tc>
      </w:tr>
    </w:tbl>
    <w:p w14:paraId="4B0A1CC0" w14:textId="77777777" w:rsidR="00DE5498" w:rsidRPr="00723223" w:rsidRDefault="00DE5498">
      <w:pPr>
        <w:pStyle w:val="a4"/>
        <w:rPr>
          <w:rFonts w:ascii="Tahoma" w:hAnsi="Tahoma" w:cs="Tahoma"/>
          <w:b/>
          <w:bCs/>
          <w:color w:val="000080"/>
          <w:sz w:val="20"/>
          <w:szCs w:val="20"/>
          <w:rtl/>
        </w:rPr>
      </w:pPr>
    </w:p>
    <w:p w14:paraId="5DFDC42B" w14:textId="77777777" w:rsidR="00DE5498" w:rsidRPr="00723223" w:rsidRDefault="00DE5498">
      <w:pPr>
        <w:rPr>
          <w:rtl/>
        </w:rPr>
      </w:pPr>
    </w:p>
    <w:tbl>
      <w:tblPr>
        <w:bidiVisual/>
        <w:tblW w:w="0" w:type="auto"/>
        <w:jc w:val="center"/>
        <w:tblLook w:val="0000" w:firstRow="0" w:lastRow="0" w:firstColumn="0" w:lastColumn="0" w:noHBand="0" w:noVBand="0"/>
      </w:tblPr>
      <w:tblGrid>
        <w:gridCol w:w="3883"/>
        <w:gridCol w:w="1046"/>
        <w:gridCol w:w="3575"/>
      </w:tblGrid>
      <w:tr w:rsidR="00DE5498" w:rsidRPr="00723223" w14:paraId="4FA3BC2F" w14:textId="77777777">
        <w:trPr>
          <w:trHeight w:val="337"/>
          <w:jc w:val="center"/>
        </w:trPr>
        <w:tc>
          <w:tcPr>
            <w:tcW w:w="3883" w:type="dxa"/>
          </w:tcPr>
          <w:p w14:paraId="6B5B9E54" w14:textId="77777777" w:rsidR="00DE5498" w:rsidRPr="00723223" w:rsidRDefault="00723223">
            <w:pPr>
              <w:spacing w:line="360" w:lineRule="auto"/>
              <w:jc w:val="both"/>
              <w:rPr>
                <w:rFonts w:ascii="Times New Roman" w:hAnsi="Times New Roman"/>
                <w:b/>
                <w:bCs/>
                <w:sz w:val="26"/>
                <w:szCs w:val="26"/>
                <w:rtl/>
              </w:rPr>
            </w:pPr>
            <w:r w:rsidRPr="00723223">
              <w:rPr>
                <w:rFonts w:hint="cs"/>
                <w:b/>
                <w:bCs/>
                <w:sz w:val="26"/>
                <w:szCs w:val="26"/>
                <w:rtl/>
              </w:rPr>
              <w:t>בעניין:</w:t>
            </w:r>
          </w:p>
        </w:tc>
        <w:tc>
          <w:tcPr>
            <w:tcW w:w="1046" w:type="dxa"/>
          </w:tcPr>
          <w:p w14:paraId="34D5EE42" w14:textId="77777777" w:rsidR="00DE5498" w:rsidRPr="00723223" w:rsidRDefault="00DE5498">
            <w:pPr>
              <w:pStyle w:val="a4"/>
              <w:jc w:val="both"/>
              <w:rPr>
                <w:b/>
                <w:bCs/>
                <w:sz w:val="26"/>
                <w:szCs w:val="26"/>
                <w:rtl/>
              </w:rPr>
            </w:pPr>
          </w:p>
        </w:tc>
        <w:tc>
          <w:tcPr>
            <w:tcW w:w="3575" w:type="dxa"/>
          </w:tcPr>
          <w:p w14:paraId="0E2229A1" w14:textId="77777777" w:rsidR="00DE5498" w:rsidRPr="00723223" w:rsidRDefault="00DE5498">
            <w:pPr>
              <w:pStyle w:val="a4"/>
              <w:jc w:val="right"/>
              <w:rPr>
                <w:b/>
                <w:bCs/>
                <w:rtl/>
              </w:rPr>
            </w:pPr>
          </w:p>
        </w:tc>
      </w:tr>
    </w:tbl>
    <w:p w14:paraId="577747D7" w14:textId="77777777" w:rsidR="00DE5498" w:rsidRPr="00723223" w:rsidRDefault="00DE5498">
      <w:pPr>
        <w:spacing w:line="360" w:lineRule="auto"/>
        <w:jc w:val="both"/>
        <w:rPr>
          <w:sz w:val="6"/>
          <w:szCs w:val="6"/>
          <w:rtl/>
        </w:rPr>
      </w:pPr>
    </w:p>
    <w:tbl>
      <w:tblPr>
        <w:bidiVisual/>
        <w:tblW w:w="8802" w:type="dxa"/>
        <w:tblInd w:w="-28" w:type="dxa"/>
        <w:tblLayout w:type="fixed"/>
        <w:tblLook w:val="01E0" w:firstRow="1" w:lastRow="1" w:firstColumn="1" w:lastColumn="1" w:noHBand="0" w:noVBand="0"/>
      </w:tblPr>
      <w:tblGrid>
        <w:gridCol w:w="4680"/>
        <w:gridCol w:w="4122"/>
      </w:tblGrid>
      <w:tr w:rsidR="00DE5498" w:rsidRPr="00723223" w14:paraId="0E949E5D" w14:textId="77777777">
        <w:tc>
          <w:tcPr>
            <w:tcW w:w="4680" w:type="dxa"/>
            <w:shd w:val="clear" w:color="auto" w:fill="auto"/>
          </w:tcPr>
          <w:p w14:paraId="160BEB1C" w14:textId="77777777" w:rsidR="00DE5498" w:rsidRPr="00723223" w:rsidRDefault="00723223">
            <w:pPr>
              <w:rPr>
                <w:b/>
                <w:bCs/>
              </w:rPr>
            </w:pPr>
            <w:bookmarkStart w:id="2" w:name="FirstAppellant"/>
            <w:r w:rsidRPr="00723223">
              <w:rPr>
                <w:rFonts w:ascii="Times New Roman" w:eastAsia="Times New Roman" w:hAnsi="Times New Roman" w:hint="cs"/>
                <w:b/>
                <w:bCs/>
                <w:rtl/>
              </w:rPr>
              <w:t>מדינת ישראל</w:t>
            </w:r>
          </w:p>
          <w:p w14:paraId="62474924" w14:textId="77777777" w:rsidR="00DE5498" w:rsidRPr="00723223" w:rsidRDefault="00DE5498">
            <w:pPr>
              <w:ind w:left="26"/>
              <w:rPr>
                <w:rFonts w:ascii="Times New Roman" w:eastAsia="Times New Roman" w:hAnsi="Times New Roman"/>
                <w:b/>
                <w:bCs/>
                <w:sz w:val="26"/>
                <w:szCs w:val="26"/>
                <w:rtl/>
              </w:rPr>
            </w:pPr>
          </w:p>
        </w:tc>
        <w:tc>
          <w:tcPr>
            <w:tcW w:w="4122" w:type="dxa"/>
            <w:shd w:val="clear" w:color="auto" w:fill="auto"/>
          </w:tcPr>
          <w:p w14:paraId="63CDDE37" w14:textId="77777777" w:rsidR="00DE5498" w:rsidRPr="00723223" w:rsidRDefault="00DE5498">
            <w:pPr>
              <w:rPr>
                <w:rFonts w:ascii="Times New Roman" w:eastAsia="Times New Roman" w:hAnsi="Times New Roman"/>
                <w:b/>
                <w:bCs/>
                <w:sz w:val="26"/>
                <w:szCs w:val="26"/>
                <w:rtl/>
              </w:rPr>
            </w:pPr>
          </w:p>
          <w:p w14:paraId="6BD2D2A6" w14:textId="77777777" w:rsidR="00DE5498" w:rsidRPr="00723223" w:rsidRDefault="00DE5498">
            <w:pPr>
              <w:rPr>
                <w:rFonts w:ascii="Times New Roman" w:eastAsia="Times New Roman" w:hAnsi="Times New Roman"/>
                <w:b/>
                <w:bCs/>
                <w:sz w:val="26"/>
                <w:szCs w:val="26"/>
                <w:rtl/>
              </w:rPr>
            </w:pPr>
          </w:p>
          <w:p w14:paraId="11E80F03" w14:textId="77777777" w:rsidR="00DE5498" w:rsidRPr="00723223" w:rsidRDefault="00723223">
            <w:pPr>
              <w:jc w:val="right"/>
              <w:rPr>
                <w:rFonts w:ascii="Times New Roman" w:eastAsia="Times New Roman" w:hAnsi="Times New Roman"/>
                <w:b/>
                <w:bCs/>
                <w:sz w:val="26"/>
                <w:szCs w:val="26"/>
                <w:rtl/>
              </w:rPr>
            </w:pPr>
            <w:r w:rsidRPr="00723223">
              <w:rPr>
                <w:rFonts w:ascii="Times New Roman" w:eastAsia="Times New Roman" w:hAnsi="Times New Roman" w:hint="cs"/>
                <w:b/>
                <w:bCs/>
                <w:sz w:val="26"/>
                <w:szCs w:val="26"/>
                <w:rtl/>
              </w:rPr>
              <w:t>ה</w:t>
            </w:r>
            <w:r w:rsidRPr="00723223">
              <w:rPr>
                <w:rFonts w:ascii="Times New Roman" w:eastAsia="Times New Roman" w:hAnsi="Times New Roman" w:hint="cs"/>
                <w:b/>
                <w:bCs/>
                <w:rtl/>
              </w:rPr>
              <w:t>מאשימה</w:t>
            </w:r>
          </w:p>
        </w:tc>
      </w:tr>
      <w:bookmarkEnd w:id="2"/>
      <w:tr w:rsidR="00DE5498" w:rsidRPr="00723223" w14:paraId="0C47BCA4" w14:textId="77777777">
        <w:tc>
          <w:tcPr>
            <w:tcW w:w="8802" w:type="dxa"/>
            <w:gridSpan w:val="2"/>
            <w:shd w:val="clear" w:color="auto" w:fill="auto"/>
          </w:tcPr>
          <w:p w14:paraId="768C1911" w14:textId="77777777" w:rsidR="00DE5498" w:rsidRPr="00723223" w:rsidRDefault="00DE5498">
            <w:pPr>
              <w:jc w:val="both"/>
              <w:rPr>
                <w:rFonts w:ascii="Arial" w:eastAsia="Times New Roman" w:hAnsi="Arial"/>
                <w:b/>
                <w:bCs/>
                <w:sz w:val="26"/>
                <w:szCs w:val="26"/>
                <w:rtl/>
              </w:rPr>
            </w:pPr>
          </w:p>
          <w:p w14:paraId="77AAA5B9" w14:textId="77777777" w:rsidR="00DE5498" w:rsidRPr="00723223" w:rsidRDefault="00723223">
            <w:pPr>
              <w:jc w:val="center"/>
              <w:rPr>
                <w:rFonts w:ascii="Arial" w:eastAsia="Times New Roman" w:hAnsi="Arial"/>
                <w:b/>
                <w:bCs/>
                <w:sz w:val="26"/>
                <w:szCs w:val="26"/>
                <w:rtl/>
              </w:rPr>
            </w:pPr>
            <w:r w:rsidRPr="00723223">
              <w:rPr>
                <w:rFonts w:ascii="Arial" w:eastAsia="Times New Roman" w:hAnsi="Arial"/>
                <w:b/>
                <w:bCs/>
                <w:sz w:val="26"/>
                <w:szCs w:val="26"/>
                <w:rtl/>
              </w:rPr>
              <w:t>נגד</w:t>
            </w:r>
          </w:p>
          <w:p w14:paraId="68A4907B" w14:textId="77777777" w:rsidR="00DE5498" w:rsidRPr="00723223" w:rsidRDefault="00DE5498">
            <w:pPr>
              <w:jc w:val="center"/>
              <w:rPr>
                <w:rFonts w:ascii="Arial" w:eastAsia="Times New Roman" w:hAnsi="Arial"/>
                <w:b/>
                <w:bCs/>
                <w:sz w:val="26"/>
                <w:szCs w:val="26"/>
              </w:rPr>
            </w:pPr>
          </w:p>
        </w:tc>
      </w:tr>
      <w:tr w:rsidR="00DE5498" w:rsidRPr="00723223" w14:paraId="4D6D97C8" w14:textId="77777777">
        <w:tc>
          <w:tcPr>
            <w:tcW w:w="4680" w:type="dxa"/>
            <w:shd w:val="clear" w:color="auto" w:fill="auto"/>
          </w:tcPr>
          <w:p w14:paraId="371CA004" w14:textId="77777777" w:rsidR="00DE5498" w:rsidRPr="00723223" w:rsidRDefault="00723223">
            <w:pPr>
              <w:rPr>
                <w:b/>
                <w:bCs/>
              </w:rPr>
            </w:pPr>
            <w:r w:rsidRPr="00723223">
              <w:rPr>
                <w:rFonts w:ascii="Times New Roman" w:eastAsia="Times New Roman" w:hAnsi="Times New Roman" w:hint="cs"/>
                <w:b/>
                <w:bCs/>
                <w:sz w:val="26"/>
                <w:szCs w:val="26"/>
                <w:rtl/>
              </w:rPr>
              <w:t xml:space="preserve"> </w:t>
            </w:r>
            <w:r w:rsidRPr="00723223">
              <w:rPr>
                <w:rFonts w:ascii="Times New Roman" w:eastAsia="Times New Roman" w:hAnsi="Times New Roman" w:hint="cs"/>
                <w:b/>
                <w:bCs/>
                <w:rtl/>
              </w:rPr>
              <w:t>דוד אלאייש</w:t>
            </w:r>
          </w:p>
          <w:p w14:paraId="60339B62" w14:textId="77777777" w:rsidR="00DE5498" w:rsidRPr="00723223" w:rsidRDefault="00DE5498">
            <w:pPr>
              <w:ind w:left="26"/>
              <w:rPr>
                <w:rFonts w:ascii="Times New Roman" w:eastAsia="Times New Roman" w:hAnsi="Times New Roman"/>
                <w:b/>
                <w:bCs/>
                <w:sz w:val="26"/>
                <w:szCs w:val="26"/>
                <w:rtl/>
              </w:rPr>
            </w:pPr>
          </w:p>
        </w:tc>
        <w:tc>
          <w:tcPr>
            <w:tcW w:w="4122" w:type="dxa"/>
            <w:shd w:val="clear" w:color="auto" w:fill="auto"/>
          </w:tcPr>
          <w:p w14:paraId="36DCE7F4" w14:textId="77777777" w:rsidR="00DE5498" w:rsidRPr="00723223" w:rsidRDefault="00DE5498">
            <w:pPr>
              <w:jc w:val="right"/>
              <w:rPr>
                <w:rFonts w:ascii="Times New Roman" w:eastAsia="Times New Roman" w:hAnsi="Times New Roman"/>
                <w:b/>
                <w:bCs/>
                <w:sz w:val="26"/>
                <w:szCs w:val="26"/>
                <w:rtl/>
              </w:rPr>
            </w:pPr>
          </w:p>
          <w:p w14:paraId="53BB3DF4" w14:textId="77777777" w:rsidR="00DE5498" w:rsidRPr="00723223" w:rsidRDefault="00DE5498">
            <w:pPr>
              <w:jc w:val="right"/>
              <w:rPr>
                <w:rFonts w:ascii="Times New Roman" w:eastAsia="Times New Roman" w:hAnsi="Times New Roman"/>
                <w:b/>
                <w:bCs/>
                <w:sz w:val="26"/>
                <w:szCs w:val="26"/>
                <w:rtl/>
              </w:rPr>
            </w:pPr>
          </w:p>
          <w:p w14:paraId="514489F7" w14:textId="77777777" w:rsidR="00DE5498" w:rsidRPr="00723223" w:rsidRDefault="00723223">
            <w:pPr>
              <w:jc w:val="right"/>
              <w:rPr>
                <w:rFonts w:ascii="Times New Roman" w:eastAsia="Times New Roman" w:hAnsi="Times New Roman"/>
                <w:b/>
                <w:bCs/>
                <w:sz w:val="26"/>
                <w:szCs w:val="26"/>
                <w:rtl/>
              </w:rPr>
            </w:pPr>
            <w:r w:rsidRPr="00723223">
              <w:rPr>
                <w:rFonts w:ascii="Times New Roman" w:eastAsia="Times New Roman" w:hAnsi="Times New Roman" w:hint="cs"/>
                <w:b/>
                <w:bCs/>
                <w:sz w:val="26"/>
                <w:szCs w:val="26"/>
                <w:rtl/>
              </w:rPr>
              <w:t>הנאשם</w:t>
            </w:r>
          </w:p>
        </w:tc>
      </w:tr>
    </w:tbl>
    <w:p w14:paraId="00649F57" w14:textId="77777777" w:rsidR="00DE5498" w:rsidRPr="00723223" w:rsidRDefault="00723223">
      <w:pPr>
        <w:spacing w:line="360" w:lineRule="auto"/>
        <w:jc w:val="both"/>
        <w:rPr>
          <w:sz w:val="6"/>
          <w:szCs w:val="6"/>
          <w:rtl/>
        </w:rPr>
      </w:pPr>
      <w:r w:rsidRPr="00723223">
        <w:rPr>
          <w:sz w:val="6"/>
          <w:szCs w:val="6"/>
          <w:rtl/>
        </w:rPr>
        <w:t>&lt;#2#&gt;</w:t>
      </w:r>
    </w:p>
    <w:p w14:paraId="2F416B41" w14:textId="77777777" w:rsidR="00DE5498" w:rsidRPr="00723223" w:rsidRDefault="00723223">
      <w:pPr>
        <w:pStyle w:val="12"/>
        <w:rPr>
          <w:u w:val="none"/>
          <w:rtl/>
        </w:rPr>
      </w:pPr>
      <w:r w:rsidRPr="00723223">
        <w:rPr>
          <w:rFonts w:hint="cs"/>
          <w:u w:val="none"/>
          <w:rtl/>
        </w:rPr>
        <w:t>נוכחים:</w:t>
      </w:r>
    </w:p>
    <w:p w14:paraId="7BBC5B40" w14:textId="77777777" w:rsidR="00DE5498" w:rsidRPr="00723223" w:rsidRDefault="00723223">
      <w:pPr>
        <w:pStyle w:val="12"/>
        <w:rPr>
          <w:sz w:val="4"/>
          <w:szCs w:val="4"/>
          <w:u w:val="none"/>
          <w:rtl/>
        </w:rPr>
      </w:pPr>
      <w:r w:rsidRPr="00723223">
        <w:rPr>
          <w:rFonts w:hint="cs"/>
          <w:b w:val="0"/>
          <w:bCs w:val="0"/>
          <w:sz w:val="4"/>
          <w:szCs w:val="4"/>
          <w:u w:val="none"/>
          <w:rtl/>
        </w:rPr>
        <w:t xml:space="preserve"> </w:t>
      </w:r>
    </w:p>
    <w:p w14:paraId="0405AF26" w14:textId="77777777" w:rsidR="00DE5498" w:rsidRPr="00723223" w:rsidRDefault="00723223">
      <w:pPr>
        <w:pStyle w:val="12"/>
        <w:rPr>
          <w:u w:val="none"/>
          <w:rtl/>
        </w:rPr>
      </w:pPr>
      <w:r w:rsidRPr="00723223">
        <w:rPr>
          <w:rFonts w:hint="cs"/>
          <w:u w:val="none"/>
          <w:rtl/>
        </w:rPr>
        <w:t>מטעם המאשימה: עו"ד עמית רון</w:t>
      </w:r>
      <w:r w:rsidRPr="00723223">
        <w:rPr>
          <w:rFonts w:hint="cs"/>
          <w:u w:val="none"/>
          <w:rtl/>
        </w:rPr>
        <w:br/>
        <w:t xml:space="preserve">מטעם הנאשם: הובא באמצעות שב"ס וב"כ עו"ד אבי מוסקוביץ </w:t>
      </w:r>
    </w:p>
    <w:p w14:paraId="691CF2E2" w14:textId="77777777" w:rsidR="00DE5498" w:rsidRPr="00723223" w:rsidRDefault="00DE5498">
      <w:pPr>
        <w:pStyle w:val="12"/>
        <w:rPr>
          <w:b w:val="0"/>
          <w:bCs w:val="0"/>
          <w:sz w:val="4"/>
          <w:szCs w:val="4"/>
          <w:u w:val="none"/>
        </w:rPr>
      </w:pPr>
    </w:p>
    <w:p w14:paraId="169EBD24" w14:textId="77777777" w:rsidR="00DE5498" w:rsidRDefault="00DE5498">
      <w:pPr>
        <w:pStyle w:val="12"/>
        <w:rPr>
          <w:rFonts w:hint="cs"/>
          <w:b w:val="0"/>
          <w:bCs w:val="0"/>
          <w:u w:val="none"/>
          <w:rtl/>
        </w:rPr>
      </w:pPr>
    </w:p>
    <w:p w14:paraId="62CADD47" w14:textId="77777777" w:rsidR="00F75F17" w:rsidRPr="00723223" w:rsidRDefault="00F75F17" w:rsidP="00F75F17">
      <w:pPr>
        <w:spacing w:after="120" w:line="240" w:lineRule="exact"/>
        <w:ind w:left="283" w:hanging="283"/>
        <w:jc w:val="both"/>
        <w:rPr>
          <w:rFonts w:ascii="FrankRuehl" w:hAnsi="FrankRuehl" w:cs="FrankRuehl"/>
          <w:rtl/>
        </w:rPr>
      </w:pPr>
      <w:r w:rsidRPr="00723223">
        <w:rPr>
          <w:rFonts w:ascii="FrankRuehl" w:hAnsi="FrankRuehl" w:cs="FrankRuehl"/>
          <w:rtl/>
        </w:rPr>
        <w:t xml:space="preserve">חקיקה שאוזכרה: </w:t>
      </w:r>
    </w:p>
    <w:p w14:paraId="1B97C669" w14:textId="77777777" w:rsidR="00F75F17" w:rsidRPr="00723223" w:rsidRDefault="00F75F17" w:rsidP="00F75F17">
      <w:pPr>
        <w:spacing w:after="120" w:line="240" w:lineRule="exact"/>
        <w:ind w:left="283" w:hanging="283"/>
        <w:jc w:val="both"/>
        <w:rPr>
          <w:rFonts w:ascii="FrankRuehl" w:hAnsi="FrankRuehl" w:cs="FrankRuehl"/>
          <w:rtl/>
        </w:rPr>
      </w:pPr>
      <w:hyperlink r:id="rId7" w:history="1">
        <w:r w:rsidRPr="00723223">
          <w:rPr>
            <w:rFonts w:ascii="FrankRuehl" w:hAnsi="FrankRuehl" w:cs="FrankRuehl"/>
            <w:color w:val="0000FF"/>
            <w:u w:val="single"/>
            <w:rtl/>
          </w:rPr>
          <w:t>פקודת הסמים המסוכנים [נוסח חדש], תשל"ג-1973</w:t>
        </w:r>
      </w:hyperlink>
    </w:p>
    <w:p w14:paraId="28A366EA" w14:textId="77777777" w:rsidR="00F75F17" w:rsidRPr="00723223" w:rsidRDefault="00F75F17">
      <w:pPr>
        <w:pStyle w:val="12"/>
        <w:rPr>
          <w:rFonts w:hint="cs"/>
          <w:b w:val="0"/>
          <w:bCs w:val="0"/>
          <w:u w:val="none"/>
          <w:rtl/>
        </w:rPr>
      </w:pPr>
    </w:p>
    <w:p w14:paraId="1FAFDE66" w14:textId="77777777" w:rsidR="00DE5498" w:rsidRPr="00723223" w:rsidRDefault="00723223">
      <w:pPr>
        <w:spacing w:line="360" w:lineRule="auto"/>
        <w:jc w:val="center"/>
        <w:rPr>
          <w:rFonts w:ascii="Arial" w:hAnsi="Arial"/>
          <w:b/>
          <w:bCs/>
          <w:sz w:val="28"/>
          <w:szCs w:val="28"/>
          <w:rtl/>
        </w:rPr>
      </w:pPr>
      <w:r w:rsidRPr="00723223">
        <w:rPr>
          <w:rFonts w:ascii="Arial" w:hAnsi="Arial"/>
          <w:b/>
          <w:color w:val="FF0000"/>
          <w:sz w:val="28"/>
          <w:rtl/>
        </w:rPr>
        <w:t>במסמך זה הושמטו פרוטוקולים</w:t>
      </w:r>
    </w:p>
    <w:p w14:paraId="38F3BC28" w14:textId="77777777" w:rsidR="00DE5498" w:rsidRPr="00723223" w:rsidRDefault="00723223">
      <w:pPr>
        <w:spacing w:line="360" w:lineRule="auto"/>
        <w:jc w:val="center"/>
        <w:rPr>
          <w:rFonts w:ascii="Arial" w:hAnsi="Arial"/>
          <w:b/>
          <w:bCs/>
          <w:sz w:val="28"/>
          <w:szCs w:val="28"/>
          <w:rtl/>
        </w:rPr>
      </w:pPr>
      <w:r w:rsidRPr="00723223">
        <w:rPr>
          <w:rFonts w:ascii="Arial" w:hAnsi="Arial"/>
          <w:b/>
          <w:bCs/>
          <w:sz w:val="28"/>
          <w:szCs w:val="28"/>
          <w:rtl/>
        </w:rPr>
        <w:t>החלטה הכרעת דין</w:t>
      </w:r>
    </w:p>
    <w:p w14:paraId="798620D8" w14:textId="77777777" w:rsidR="00DE5498" w:rsidRPr="00723223" w:rsidRDefault="00DE5498">
      <w:pPr>
        <w:spacing w:line="360" w:lineRule="auto"/>
        <w:jc w:val="both"/>
        <w:rPr>
          <w:rFonts w:ascii="Arial" w:hAnsi="Arial"/>
        </w:rPr>
      </w:pPr>
    </w:p>
    <w:p w14:paraId="29A70843" w14:textId="77777777" w:rsidR="00DE5498" w:rsidRPr="00723223" w:rsidRDefault="00723223">
      <w:pPr>
        <w:spacing w:line="360" w:lineRule="auto"/>
        <w:rPr>
          <w:rtl/>
        </w:rPr>
      </w:pPr>
      <w:r w:rsidRPr="00723223">
        <w:rPr>
          <w:rFonts w:hint="cs"/>
          <w:rtl/>
        </w:rPr>
        <w:t xml:space="preserve">אני מורה על הוספת תיק שמספרו 50783-08-15. </w:t>
      </w:r>
      <w:r w:rsidRPr="00723223">
        <w:rPr>
          <w:rtl/>
        </w:rPr>
        <w:t xml:space="preserve"> </w:t>
      </w:r>
    </w:p>
    <w:p w14:paraId="07F4CDAE" w14:textId="77777777" w:rsidR="00DE5498" w:rsidRPr="00723223" w:rsidRDefault="00DE5498">
      <w:pPr>
        <w:spacing w:line="360" w:lineRule="auto"/>
        <w:jc w:val="both"/>
        <w:rPr>
          <w:rtl/>
        </w:rPr>
      </w:pPr>
    </w:p>
    <w:p w14:paraId="55834FCC" w14:textId="77777777" w:rsidR="00DE5498" w:rsidRPr="00723223" w:rsidRDefault="00723223">
      <w:pPr>
        <w:spacing w:line="360" w:lineRule="auto"/>
        <w:rPr>
          <w:sz w:val="6"/>
          <w:szCs w:val="6"/>
          <w:rtl/>
        </w:rPr>
      </w:pPr>
      <w:r w:rsidRPr="00723223">
        <w:rPr>
          <w:rFonts w:hint="cs"/>
          <w:rtl/>
        </w:rPr>
        <w:t xml:space="preserve">על סמך הודאתו של הנאשם, אני מרשיע אותו בעבירות המיוחסות לו בכתב האישום ובכתב האישום המצורף. </w:t>
      </w:r>
      <w:r w:rsidRPr="00723223">
        <w:rPr>
          <w:sz w:val="6"/>
          <w:szCs w:val="6"/>
          <w:rtl/>
        </w:rPr>
        <w:t>&lt;#4#&gt;</w:t>
      </w:r>
    </w:p>
    <w:p w14:paraId="299918CE" w14:textId="77777777" w:rsidR="00DE5498" w:rsidRPr="00723223" w:rsidRDefault="00DE5498">
      <w:pPr>
        <w:jc w:val="right"/>
        <w:rPr>
          <w:rtl/>
        </w:rPr>
      </w:pPr>
    </w:p>
    <w:p w14:paraId="71596C8D" w14:textId="77777777" w:rsidR="00DE5498" w:rsidRPr="00723223" w:rsidRDefault="00723223">
      <w:pPr>
        <w:spacing w:line="360" w:lineRule="auto"/>
        <w:rPr>
          <w:rtl/>
        </w:rPr>
      </w:pPr>
      <w:r w:rsidRPr="00723223">
        <w:rPr>
          <w:rFonts w:hint="cs"/>
          <w:b/>
          <w:bCs/>
          <w:rtl/>
        </w:rPr>
        <w:t xml:space="preserve">ניתנה והודעה היום </w:t>
      </w:r>
      <w:r w:rsidRPr="00723223">
        <w:rPr>
          <w:rFonts w:hint="cs"/>
          <w:rtl/>
        </w:rPr>
        <w:t>כ"ב חשוון תשע"ו</w:t>
      </w:r>
      <w:r w:rsidRPr="00723223">
        <w:rPr>
          <w:rFonts w:hint="cs"/>
          <w:b/>
          <w:bCs/>
          <w:rtl/>
        </w:rPr>
        <w:t xml:space="preserve">, </w:t>
      </w:r>
      <w:r w:rsidRPr="00723223">
        <w:rPr>
          <w:rFonts w:hint="cs"/>
          <w:rtl/>
        </w:rPr>
        <w:t>04/11/2015</w:t>
      </w:r>
      <w:r w:rsidRPr="00723223">
        <w:rPr>
          <w:rFonts w:hint="cs"/>
          <w:b/>
          <w:bCs/>
          <w:rtl/>
        </w:rPr>
        <w:t xml:space="preserve"> במעמד הנוכחים.</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DE5498" w:rsidRPr="00723223" w14:paraId="32283BB3" w14:textId="77777777">
        <w:trPr>
          <w:trHeight w:val="316"/>
          <w:jc w:val="right"/>
        </w:trPr>
        <w:tc>
          <w:tcPr>
            <w:tcW w:w="3936" w:type="dxa"/>
            <w:shd w:val="clear" w:color="auto" w:fill="auto"/>
          </w:tcPr>
          <w:p w14:paraId="0EA655A3" w14:textId="77777777" w:rsidR="00DE5498" w:rsidRPr="00723223" w:rsidRDefault="00DE5498">
            <w:pPr>
              <w:jc w:val="center"/>
              <w:rPr>
                <w:rFonts w:ascii="Times New Roman" w:eastAsia="Times New Roman" w:hAnsi="Times New Roman" w:cs="Times New Roman"/>
              </w:rPr>
            </w:pPr>
          </w:p>
          <w:p w14:paraId="1E2FFDCC" w14:textId="77777777" w:rsidR="00DE5498" w:rsidRPr="00723223" w:rsidRDefault="00DE5498">
            <w:pPr>
              <w:jc w:val="center"/>
              <w:rPr>
                <w:rFonts w:ascii="Times New Roman" w:eastAsia="Times New Roman" w:hAnsi="Times New Roman" w:cs="Times New Roman"/>
                <w:rtl/>
              </w:rPr>
            </w:pPr>
          </w:p>
        </w:tc>
      </w:tr>
      <w:tr w:rsidR="00DE5498" w:rsidRPr="00723223" w14:paraId="73D24183" w14:textId="77777777">
        <w:trPr>
          <w:trHeight w:val="361"/>
          <w:jc w:val="right"/>
        </w:trPr>
        <w:tc>
          <w:tcPr>
            <w:tcW w:w="3936" w:type="dxa"/>
            <w:shd w:val="clear" w:color="auto" w:fill="auto"/>
          </w:tcPr>
          <w:p w14:paraId="4C870B88" w14:textId="77777777" w:rsidR="00DE5498" w:rsidRPr="00723223" w:rsidRDefault="00723223">
            <w:pPr>
              <w:jc w:val="center"/>
              <w:rPr>
                <w:rFonts w:ascii="Times New Roman" w:eastAsia="Times New Roman" w:hAnsi="Times New Roman"/>
                <w:b/>
                <w:bCs/>
                <w:rtl/>
              </w:rPr>
            </w:pPr>
            <w:r w:rsidRPr="00723223">
              <w:rPr>
                <w:rFonts w:ascii="Times New Roman" w:eastAsia="Times New Roman" w:hAnsi="Times New Roman" w:hint="cs"/>
                <w:b/>
                <w:bCs/>
                <w:rtl/>
              </w:rPr>
              <w:t>יריב נבון</w:t>
            </w:r>
            <w:r w:rsidRPr="00723223">
              <w:rPr>
                <w:rFonts w:ascii="Times New Roman" w:eastAsia="Times New Roman" w:hAnsi="Times New Roman"/>
                <w:b/>
                <w:bCs/>
                <w:rtl/>
              </w:rPr>
              <w:t xml:space="preserve"> </w:t>
            </w:r>
            <w:r w:rsidRPr="00723223">
              <w:rPr>
                <w:rFonts w:ascii="Times New Roman" w:eastAsia="Times New Roman" w:hAnsi="Times New Roman" w:hint="cs"/>
                <w:b/>
                <w:bCs/>
                <w:rtl/>
              </w:rPr>
              <w:t>, שופט</w:t>
            </w:r>
            <w:r w:rsidRPr="00723223">
              <w:rPr>
                <w:rFonts w:ascii="Times New Roman" w:eastAsia="Times New Roman" w:hAnsi="Times New Roman"/>
                <w:b/>
                <w:bCs/>
                <w:rtl/>
              </w:rPr>
              <w:t xml:space="preserve"> </w:t>
            </w:r>
          </w:p>
        </w:tc>
      </w:tr>
    </w:tbl>
    <w:p w14:paraId="64282803" w14:textId="77777777" w:rsidR="00DE5498" w:rsidRPr="00723223" w:rsidRDefault="00DE5498">
      <w:pPr>
        <w:jc w:val="both"/>
        <w:rPr>
          <w:rtl/>
        </w:rPr>
      </w:pPr>
    </w:p>
    <w:p w14:paraId="7393EACE" w14:textId="77777777" w:rsidR="00DE5498" w:rsidRPr="00723223" w:rsidRDefault="00DE5498">
      <w:pPr>
        <w:jc w:val="right"/>
        <w:rPr>
          <w:rtl/>
        </w:rPr>
      </w:pPr>
    </w:p>
    <w:p w14:paraId="0CA3DA60" w14:textId="77777777" w:rsidR="00723223" w:rsidRPr="00723223" w:rsidRDefault="00723223" w:rsidP="00723223">
      <w:pPr>
        <w:spacing w:line="360" w:lineRule="auto"/>
        <w:jc w:val="center"/>
        <w:rPr>
          <w:rFonts w:ascii="Arial" w:hAnsi="Arial"/>
          <w:b/>
          <w:bCs/>
          <w:sz w:val="28"/>
          <w:szCs w:val="28"/>
          <w:u w:val="single"/>
          <w:rtl/>
        </w:rPr>
      </w:pPr>
      <w:bookmarkStart w:id="3" w:name="LawTable"/>
      <w:bookmarkStart w:id="4" w:name="PsakDin"/>
      <w:bookmarkEnd w:id="0"/>
      <w:bookmarkEnd w:id="1"/>
      <w:bookmarkEnd w:id="3"/>
      <w:r w:rsidRPr="00723223">
        <w:rPr>
          <w:rFonts w:ascii="Arial" w:hAnsi="Arial"/>
          <w:b/>
          <w:bCs/>
          <w:sz w:val="28"/>
          <w:szCs w:val="28"/>
          <w:u w:val="single"/>
          <w:rtl/>
        </w:rPr>
        <w:t>גזר דין</w:t>
      </w:r>
    </w:p>
    <w:bookmarkEnd w:id="4"/>
    <w:p w14:paraId="04FD39F8" w14:textId="77777777" w:rsidR="00DE5498" w:rsidRDefault="00DE5498">
      <w:pPr>
        <w:spacing w:line="360" w:lineRule="auto"/>
        <w:jc w:val="both"/>
        <w:rPr>
          <w:rFonts w:ascii="Arial" w:hAnsi="Arial"/>
        </w:rPr>
      </w:pPr>
    </w:p>
    <w:p w14:paraId="01A58F34" w14:textId="77777777" w:rsidR="00DE5498" w:rsidRDefault="00723223">
      <w:pPr>
        <w:spacing w:line="360" w:lineRule="auto"/>
        <w:jc w:val="both"/>
        <w:rPr>
          <w:rtl/>
        </w:rPr>
      </w:pPr>
      <w:bookmarkStart w:id="5" w:name="ABSTRACT_START"/>
      <w:bookmarkEnd w:id="5"/>
      <w:r>
        <w:rPr>
          <w:rFonts w:hint="cs"/>
          <w:rtl/>
        </w:rPr>
        <w:t xml:space="preserve">הנאשם הורשע בגין גידול סמים מסוכנים, החזקה ושימוש בהם. במסגרת תיק זה הופנה הנאשם לאחר הודאתו לתסקיר שירות המבחן ממנו עולה תמונה לפיה הנאשם אמנם פיתח תלות בסם, אך הביע רצון לקבל טיפול ואף עמד בכל הדרישות הטיפוליות, השתלב במסגרת טיפולית, ולכן שירות המבחן המליץ להסתפק בענישה מתונה יחסית. </w:t>
      </w:r>
    </w:p>
    <w:p w14:paraId="47736288" w14:textId="77777777" w:rsidR="00DE5498" w:rsidRDefault="00DE5498">
      <w:pPr>
        <w:spacing w:line="360" w:lineRule="auto"/>
        <w:jc w:val="both"/>
        <w:rPr>
          <w:rtl/>
        </w:rPr>
      </w:pPr>
      <w:bookmarkStart w:id="6" w:name="ABSTRACT_END"/>
      <w:bookmarkEnd w:id="6"/>
    </w:p>
    <w:p w14:paraId="3097CE6E" w14:textId="77777777" w:rsidR="00DE5498" w:rsidRDefault="00723223">
      <w:pPr>
        <w:spacing w:line="360" w:lineRule="auto"/>
        <w:jc w:val="both"/>
        <w:rPr>
          <w:rtl/>
        </w:rPr>
      </w:pPr>
      <w:r>
        <w:rPr>
          <w:rFonts w:hint="cs"/>
          <w:rtl/>
        </w:rPr>
        <w:t xml:space="preserve">לאחר מכן, הפר הנאשם את תנאי שחרורו בתיקו הראשון, כך שיצא את מקום מעצר הבית ללא פיקוח ואף ברשותו נתפס סם מסוכן. </w:t>
      </w:r>
    </w:p>
    <w:p w14:paraId="4AD71ACA" w14:textId="77777777" w:rsidR="00DE5498" w:rsidRDefault="00DE5498">
      <w:pPr>
        <w:spacing w:line="360" w:lineRule="auto"/>
        <w:jc w:val="both"/>
        <w:rPr>
          <w:rtl/>
        </w:rPr>
      </w:pPr>
    </w:p>
    <w:p w14:paraId="392BA681" w14:textId="77777777" w:rsidR="00DE5498" w:rsidRDefault="00723223">
      <w:pPr>
        <w:spacing w:line="360" w:lineRule="auto"/>
        <w:jc w:val="both"/>
        <w:rPr>
          <w:rtl/>
        </w:rPr>
      </w:pPr>
      <w:r>
        <w:rPr>
          <w:rFonts w:hint="cs"/>
          <w:rtl/>
        </w:rPr>
        <w:t xml:space="preserve">נוכח האמור, מאחר והנאשם מיד בסמוך לאחר שסיים את ההליך במסגרת שירות המבחן, חזר והחזיק בסם, נכון עשו הצדדים כאשר הגיעו להסדר הכולל רכיב של מאסר בפועל. </w:t>
      </w:r>
    </w:p>
    <w:p w14:paraId="5A9F64A6" w14:textId="77777777" w:rsidR="00DE5498" w:rsidRDefault="00DE5498">
      <w:pPr>
        <w:spacing w:line="360" w:lineRule="auto"/>
        <w:jc w:val="both"/>
        <w:rPr>
          <w:rtl/>
        </w:rPr>
      </w:pPr>
    </w:p>
    <w:p w14:paraId="2FE52094" w14:textId="77777777" w:rsidR="00DE5498" w:rsidRDefault="00723223">
      <w:pPr>
        <w:spacing w:line="360" w:lineRule="auto"/>
        <w:rPr>
          <w:rtl/>
        </w:rPr>
      </w:pPr>
      <w:r>
        <w:rPr>
          <w:rFonts w:hint="cs"/>
          <w:rtl/>
        </w:rPr>
        <w:t xml:space="preserve">השיקולים ששמעתי מפי הצדדים מבססים היטב את הסדר הטיעון. לנאשם אמנם הרשעות קודמות אך הן התיישנו. </w:t>
      </w:r>
    </w:p>
    <w:p w14:paraId="041F934E" w14:textId="77777777" w:rsidR="00DE5498" w:rsidRDefault="00DE5498">
      <w:pPr>
        <w:spacing w:line="360" w:lineRule="auto"/>
        <w:rPr>
          <w:rtl/>
        </w:rPr>
      </w:pPr>
    </w:p>
    <w:p w14:paraId="4A62BA07" w14:textId="77777777" w:rsidR="00DE5498" w:rsidRDefault="00723223">
      <w:pPr>
        <w:spacing w:line="360" w:lineRule="auto"/>
        <w:rPr>
          <w:rtl/>
        </w:rPr>
      </w:pPr>
      <w:r>
        <w:rPr>
          <w:rFonts w:hint="cs"/>
          <w:rtl/>
        </w:rPr>
        <w:t>הנאשם הודה בהזדמנות הראשונה, חסך מזמנו של הציבור וראוי הוא להקלה בדינו.</w:t>
      </w:r>
    </w:p>
    <w:p w14:paraId="48877C34" w14:textId="77777777" w:rsidR="00DE5498" w:rsidRDefault="00DE5498">
      <w:pPr>
        <w:spacing w:line="360" w:lineRule="auto"/>
        <w:rPr>
          <w:rtl/>
        </w:rPr>
      </w:pPr>
    </w:p>
    <w:p w14:paraId="10B4B2AE" w14:textId="77777777" w:rsidR="00DE5498" w:rsidRDefault="00723223">
      <w:pPr>
        <w:spacing w:line="360" w:lineRule="auto"/>
        <w:rPr>
          <w:b/>
          <w:bCs/>
          <w:u w:val="single"/>
          <w:rtl/>
        </w:rPr>
      </w:pPr>
      <w:r>
        <w:rPr>
          <w:rFonts w:hint="cs"/>
          <w:b/>
          <w:bCs/>
          <w:u w:val="single"/>
          <w:rtl/>
        </w:rPr>
        <w:t>לאחר ששמעתי את טיעוני ב"כ המאשימה ואת טיעוני הנאשם, ובהתחשב בנסיבות, אני גוזר על הנאשם את העונשים הבאים:</w:t>
      </w:r>
    </w:p>
    <w:p w14:paraId="7F37843D" w14:textId="77777777" w:rsidR="00DE5498" w:rsidRDefault="00723223">
      <w:pPr>
        <w:pStyle w:val="2"/>
        <w:ind w:left="720" w:hanging="720"/>
        <w:rPr>
          <w:sz w:val="20"/>
          <w:szCs w:val="20"/>
          <w:rtl/>
        </w:rPr>
      </w:pPr>
      <w:r>
        <w:rPr>
          <w:rFonts w:hint="cs"/>
          <w:szCs w:val="24"/>
          <w:rtl/>
        </w:rPr>
        <w:t xml:space="preserve">א. </w:t>
      </w:r>
      <w:r>
        <w:rPr>
          <w:rFonts w:hint="cs"/>
          <w:szCs w:val="24"/>
          <w:rtl/>
        </w:rPr>
        <w:tab/>
        <w:t xml:space="preserve">אני מטיל על הנאשם מאסר לתקופה של  21 חודשים, מהם 13 חודשים בפועל והיתרה על תנאי, למשך 3 שנים החל מהיום, והתנאי שלא יעבור </w:t>
      </w:r>
      <w:r>
        <w:rPr>
          <w:sz w:val="20"/>
          <w:szCs w:val="24"/>
          <w:rtl/>
        </w:rPr>
        <w:t xml:space="preserve">ויורשע על כל עבירה על </w:t>
      </w:r>
      <w:hyperlink r:id="rId8" w:history="1">
        <w:r w:rsidRPr="00723223">
          <w:rPr>
            <w:color w:val="0000FF"/>
            <w:sz w:val="20"/>
            <w:szCs w:val="24"/>
            <w:u w:val="single"/>
            <w:rtl/>
          </w:rPr>
          <w:t>פקודת הסמים המסוכנים</w:t>
        </w:r>
      </w:hyperlink>
      <w:r>
        <w:rPr>
          <w:sz w:val="20"/>
          <w:szCs w:val="24"/>
          <w:rtl/>
        </w:rPr>
        <w:t xml:space="preserve"> ו/או נהיגה בזמן פסילה.</w:t>
      </w:r>
    </w:p>
    <w:p w14:paraId="0FD91FDC" w14:textId="77777777" w:rsidR="00DE5498" w:rsidRDefault="00723223">
      <w:pPr>
        <w:pStyle w:val="2"/>
        <w:ind w:left="720" w:hanging="720"/>
        <w:rPr>
          <w:szCs w:val="24"/>
          <w:rtl/>
        </w:rPr>
      </w:pPr>
      <w:r>
        <w:rPr>
          <w:szCs w:val="24"/>
          <w:rtl/>
        </w:rPr>
        <w:tab/>
      </w:r>
      <w:r>
        <w:rPr>
          <w:rFonts w:hint="cs"/>
          <w:szCs w:val="24"/>
          <w:rtl/>
        </w:rPr>
        <w:t xml:space="preserve">אני מורה כי מימי המאסר שהוטלו על הנאשם ינוכו  121 ימים בהם הנאשם היה עצור בגין אישומים אלו. </w:t>
      </w:r>
    </w:p>
    <w:p w14:paraId="17A7EC9A" w14:textId="77777777" w:rsidR="00DE5498" w:rsidRDefault="00DE5498">
      <w:pPr>
        <w:spacing w:line="360" w:lineRule="auto"/>
        <w:rPr>
          <w:rtl/>
        </w:rPr>
      </w:pPr>
    </w:p>
    <w:p w14:paraId="202C93D5" w14:textId="77777777" w:rsidR="00DE5498" w:rsidRDefault="00723223">
      <w:pPr>
        <w:spacing w:line="360" w:lineRule="auto"/>
        <w:ind w:left="720" w:hanging="720"/>
        <w:rPr>
          <w:rtl/>
        </w:rPr>
      </w:pPr>
      <w:r>
        <w:rPr>
          <w:rFonts w:hint="cs"/>
          <w:rtl/>
        </w:rPr>
        <w:t>ב.</w:t>
      </w:r>
      <w:r>
        <w:rPr>
          <w:rFonts w:hint="cs"/>
          <w:rtl/>
        </w:rPr>
        <w:tab/>
        <w:t xml:space="preserve">הנאשם יחתום על התחייבות להימנע מלעבור עבירה לפי הסעיפים בהם הורשע משך 3 שנים  החל מהיום. ההתחייבות תהא על סך  10,000  ש"ח 3 חודשי מאסר תמורתו; אם לא יחתום ייאסר למשך  7 ימים. </w:t>
      </w:r>
    </w:p>
    <w:p w14:paraId="69301B95" w14:textId="77777777" w:rsidR="00DE5498" w:rsidRDefault="00DE5498">
      <w:pPr>
        <w:pStyle w:val="2"/>
        <w:rPr>
          <w:szCs w:val="24"/>
          <w:rtl/>
        </w:rPr>
      </w:pPr>
    </w:p>
    <w:p w14:paraId="759F0EB9" w14:textId="77777777" w:rsidR="00DE5498" w:rsidRDefault="00723223">
      <w:pPr>
        <w:pStyle w:val="2"/>
        <w:ind w:left="720" w:hanging="720"/>
        <w:rPr>
          <w:szCs w:val="24"/>
          <w:rtl/>
        </w:rPr>
      </w:pPr>
      <w:r>
        <w:rPr>
          <w:rFonts w:hint="cs"/>
          <w:szCs w:val="24"/>
          <w:rtl/>
        </w:rPr>
        <w:t>ג.</w:t>
      </w:r>
      <w:r>
        <w:rPr>
          <w:rFonts w:hint="cs"/>
          <w:szCs w:val="24"/>
          <w:rtl/>
        </w:rPr>
        <w:tab/>
        <w:t xml:space="preserve">אני פוסל את הנאשם מלנהוג ברכב מנועי ו/או להחזיק ברישיון נהיגה למשך 24 חודשים. הסברתי לנאשם כי עליו להפקיד את רישיון הנהיגה במזכירות בית משפט השלום בטבריה וכי מרוץ הפסילה ימנה רק מרגע הפקדת רישיון הנהיגה. יחד עם זאת, חל עליו איסור לנהוג ברכב מנועי החל מיום שחרורו. </w:t>
      </w:r>
    </w:p>
    <w:p w14:paraId="7204C91D" w14:textId="77777777" w:rsidR="00DE5498" w:rsidRDefault="00DE5498">
      <w:pPr>
        <w:pStyle w:val="2"/>
        <w:ind w:left="720" w:hanging="720"/>
        <w:rPr>
          <w:szCs w:val="24"/>
          <w:rtl/>
        </w:rPr>
      </w:pPr>
    </w:p>
    <w:p w14:paraId="3CA44BC1" w14:textId="77777777" w:rsidR="00DE5498" w:rsidRDefault="00723223">
      <w:pPr>
        <w:spacing w:line="360" w:lineRule="auto"/>
        <w:rPr>
          <w:rtl/>
        </w:rPr>
      </w:pPr>
      <w:r>
        <w:rPr>
          <w:rFonts w:hint="cs"/>
          <w:rtl/>
        </w:rPr>
        <w:t>המזכירות תשגר את ההחלטה בפקס למכון הרפואי לבטיחות בדרכים, אשר יבדוק את כשרותו של הנאשם לנהוג ברכב מנועי, פקס: 8633554 - 04.</w:t>
      </w:r>
    </w:p>
    <w:p w14:paraId="05FB0C73" w14:textId="77777777" w:rsidR="00DE5498" w:rsidRDefault="00DE5498">
      <w:pPr>
        <w:spacing w:line="360" w:lineRule="auto"/>
        <w:rPr>
          <w:rtl/>
        </w:rPr>
      </w:pPr>
    </w:p>
    <w:p w14:paraId="0B194962" w14:textId="77777777" w:rsidR="00DE5498" w:rsidRDefault="00723223">
      <w:pPr>
        <w:spacing w:line="360" w:lineRule="auto"/>
        <w:rPr>
          <w:b/>
          <w:bCs/>
          <w:rtl/>
        </w:rPr>
      </w:pPr>
      <w:r>
        <w:rPr>
          <w:rFonts w:hint="cs"/>
          <w:b/>
          <w:bCs/>
          <w:rtl/>
        </w:rPr>
        <w:t xml:space="preserve">הפיקדון אשר הופקד בתיק המעצר יוחזר למפקיד בהתאם לנהלים. </w:t>
      </w:r>
    </w:p>
    <w:p w14:paraId="6420F184" w14:textId="77777777" w:rsidR="00DE5498" w:rsidRDefault="00723223">
      <w:pPr>
        <w:spacing w:line="360" w:lineRule="auto"/>
        <w:rPr>
          <w:b/>
          <w:bCs/>
          <w:rtl/>
        </w:rPr>
      </w:pPr>
      <w:r>
        <w:rPr>
          <w:rFonts w:hint="cs"/>
          <w:b/>
          <w:bCs/>
          <w:rtl/>
        </w:rPr>
        <w:t xml:space="preserve">פלאפונים ופאוצ' אשר הופקדו יוחזרו למשפחת הנאשם. </w:t>
      </w:r>
    </w:p>
    <w:p w14:paraId="5EDE48A4" w14:textId="77777777" w:rsidR="00DE5498" w:rsidRDefault="00723223">
      <w:pPr>
        <w:spacing w:line="360" w:lineRule="auto"/>
        <w:rPr>
          <w:b/>
          <w:bCs/>
          <w:sz w:val="20"/>
          <w:rtl/>
        </w:rPr>
      </w:pPr>
      <w:r>
        <w:rPr>
          <w:rFonts w:hint="cs"/>
          <w:b/>
          <w:bCs/>
          <w:rtl/>
        </w:rPr>
        <w:t xml:space="preserve">סמים להשמדה </w:t>
      </w:r>
    </w:p>
    <w:p w14:paraId="1095A6CE" w14:textId="77777777" w:rsidR="00DE5498" w:rsidRDefault="00DE5498">
      <w:pPr>
        <w:spacing w:line="360" w:lineRule="auto"/>
        <w:rPr>
          <w:b/>
          <w:bCs/>
          <w:sz w:val="20"/>
          <w:rtl/>
        </w:rPr>
      </w:pPr>
    </w:p>
    <w:p w14:paraId="582CDD8A" w14:textId="77777777" w:rsidR="00DE5498" w:rsidRDefault="00723223">
      <w:pPr>
        <w:spacing w:line="360" w:lineRule="auto"/>
        <w:rPr>
          <w:b/>
          <w:bCs/>
          <w:sz w:val="20"/>
        </w:rPr>
      </w:pPr>
      <w:r>
        <w:rPr>
          <w:rFonts w:hint="cs"/>
          <w:b/>
          <w:bCs/>
          <w:sz w:val="20"/>
          <w:rtl/>
        </w:rPr>
        <w:t>המזכירות תבטל את הדיון הקבוע ליום 11.11.15.</w:t>
      </w:r>
    </w:p>
    <w:p w14:paraId="4C3BD385" w14:textId="77777777" w:rsidR="00DE5498" w:rsidRDefault="00723223">
      <w:pPr>
        <w:pStyle w:val="2"/>
        <w:rPr>
          <w:szCs w:val="24"/>
          <w:u w:val="single"/>
          <w:rtl/>
        </w:rPr>
      </w:pPr>
      <w:r>
        <w:rPr>
          <w:rFonts w:hint="cs"/>
          <w:szCs w:val="24"/>
          <w:rtl/>
        </w:rPr>
        <w:lastRenderedPageBreak/>
        <w:tab/>
      </w:r>
    </w:p>
    <w:p w14:paraId="2E2E6DBC" w14:textId="77777777" w:rsidR="00DE5498" w:rsidRDefault="00723223">
      <w:pPr>
        <w:pStyle w:val="2"/>
        <w:rPr>
          <w:b/>
          <w:bCs/>
          <w:sz w:val="6"/>
          <w:szCs w:val="6"/>
          <w:rtl/>
        </w:rPr>
      </w:pPr>
      <w:r>
        <w:rPr>
          <w:rFonts w:hint="cs"/>
          <w:b/>
          <w:bCs/>
          <w:szCs w:val="24"/>
          <w:rtl/>
        </w:rPr>
        <w:t>זכות ערעור תוך 45 יום מהיום בבית משפט המחוזי בנצרת.</w:t>
      </w:r>
      <w:r>
        <w:rPr>
          <w:b/>
          <w:bCs/>
          <w:sz w:val="6"/>
          <w:szCs w:val="6"/>
          <w:rtl/>
        </w:rPr>
        <w:t>&lt;#6#&gt;</w:t>
      </w:r>
    </w:p>
    <w:p w14:paraId="463485A9" w14:textId="77777777" w:rsidR="00DE5498" w:rsidRDefault="00DE5498">
      <w:pPr>
        <w:jc w:val="right"/>
        <w:rPr>
          <w:rtl/>
        </w:rPr>
      </w:pPr>
    </w:p>
    <w:p w14:paraId="67F87F5B" w14:textId="77777777" w:rsidR="00DE5498" w:rsidRDefault="00723223">
      <w:pPr>
        <w:jc w:val="center"/>
        <w:rPr>
          <w:rtl/>
        </w:rPr>
      </w:pPr>
      <w:r w:rsidRPr="00723223">
        <w:rPr>
          <w:b/>
          <w:bCs/>
          <w:color w:val="FFFFFF"/>
          <w:sz w:val="2"/>
          <w:szCs w:val="2"/>
          <w:rtl/>
        </w:rPr>
        <w:t>5129371</w:t>
      </w:r>
      <w:r>
        <w:rPr>
          <w:b/>
          <w:bCs/>
          <w:rtl/>
        </w:rPr>
        <w:t xml:space="preserve">ניתנה והודעה היום כ"ב חשוון תשע"ו, 04/11/2015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DE5498" w14:paraId="0D9345D1" w14:textId="77777777">
        <w:trPr>
          <w:trHeight w:val="316"/>
          <w:jc w:val="right"/>
        </w:trPr>
        <w:tc>
          <w:tcPr>
            <w:tcW w:w="3936" w:type="dxa"/>
            <w:shd w:val="clear" w:color="auto" w:fill="auto"/>
          </w:tcPr>
          <w:p w14:paraId="433AB387" w14:textId="77777777" w:rsidR="00DE5498" w:rsidRPr="00723223" w:rsidRDefault="00723223">
            <w:pPr>
              <w:jc w:val="center"/>
              <w:rPr>
                <w:rFonts w:ascii="Times New Roman" w:eastAsia="Times New Roman" w:hAnsi="Times New Roman" w:cs="Times New Roman"/>
                <w:color w:val="FFFFFF"/>
                <w:sz w:val="2"/>
                <w:szCs w:val="2"/>
              </w:rPr>
            </w:pPr>
            <w:r w:rsidRPr="00723223">
              <w:rPr>
                <w:rFonts w:ascii="Times New Roman" w:eastAsia="Times New Roman" w:hAnsi="Times New Roman" w:cs="Times New Roman"/>
                <w:color w:val="FFFFFF"/>
                <w:sz w:val="2"/>
                <w:szCs w:val="2"/>
                <w:rtl/>
              </w:rPr>
              <w:t>54678313</w:t>
            </w:r>
          </w:p>
          <w:p w14:paraId="3E062A58" w14:textId="77777777" w:rsidR="00DE5498" w:rsidRDefault="00DE5498">
            <w:pPr>
              <w:jc w:val="center"/>
              <w:rPr>
                <w:rFonts w:ascii="Times New Roman" w:eastAsia="Times New Roman" w:hAnsi="Times New Roman" w:cs="Times New Roman"/>
                <w:rtl/>
              </w:rPr>
            </w:pPr>
          </w:p>
        </w:tc>
      </w:tr>
      <w:tr w:rsidR="00DE5498" w14:paraId="61E2CE25" w14:textId="77777777">
        <w:trPr>
          <w:trHeight w:val="361"/>
          <w:jc w:val="right"/>
        </w:trPr>
        <w:tc>
          <w:tcPr>
            <w:tcW w:w="3936" w:type="dxa"/>
            <w:shd w:val="clear" w:color="auto" w:fill="auto"/>
          </w:tcPr>
          <w:p w14:paraId="65EA2037" w14:textId="77777777" w:rsidR="00DE5498" w:rsidRDefault="00723223">
            <w:pPr>
              <w:jc w:val="center"/>
              <w:rPr>
                <w:rFonts w:ascii="Times New Roman" w:eastAsia="Times New Roman" w:hAnsi="Times New Roman"/>
                <w:b/>
                <w:bCs/>
                <w:rtl/>
              </w:rPr>
            </w:pPr>
            <w:r>
              <w:rPr>
                <w:rFonts w:ascii="Times New Roman" w:eastAsia="Times New Roman" w:hAnsi="Times New Roman" w:hint="cs"/>
                <w:b/>
                <w:bCs/>
                <w:rtl/>
              </w:rPr>
              <w:t>יריב נבון</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550B5E6C" w14:textId="77777777" w:rsidR="00DE5498" w:rsidRDefault="00DE5498">
      <w:pPr>
        <w:jc w:val="right"/>
        <w:rPr>
          <w:rtl/>
        </w:rPr>
      </w:pPr>
    </w:p>
    <w:p w14:paraId="30322E2D" w14:textId="77777777" w:rsidR="00DE5498" w:rsidRDefault="00DE5498">
      <w:pPr>
        <w:jc w:val="both"/>
        <w:rPr>
          <w:rtl/>
        </w:rPr>
      </w:pPr>
    </w:p>
    <w:p w14:paraId="10223F21" w14:textId="77777777" w:rsidR="00DE5498" w:rsidRDefault="00DE5498">
      <w:pPr>
        <w:pStyle w:val="2"/>
        <w:jc w:val="center"/>
        <w:rPr>
          <w:rFonts w:ascii="David" w:hAnsi="David"/>
          <w:szCs w:val="24"/>
          <w:rtl/>
        </w:rPr>
      </w:pPr>
    </w:p>
    <w:p w14:paraId="0CDC931B" w14:textId="77777777" w:rsidR="00DE5498" w:rsidRDefault="00723223">
      <w:pPr>
        <w:pStyle w:val="2"/>
      </w:pPr>
      <w:r>
        <w:rPr>
          <w:rFonts w:ascii="David" w:hAnsi="David"/>
          <w:szCs w:val="24"/>
          <w:rtl/>
        </w:rPr>
        <w:t xml:space="preserve"> </w:t>
      </w:r>
    </w:p>
    <w:p w14:paraId="05043C8B" w14:textId="77777777" w:rsidR="00DE5498" w:rsidRDefault="00DE5498">
      <w:pPr>
        <w:spacing w:line="360" w:lineRule="auto"/>
        <w:jc w:val="both"/>
        <w:rPr>
          <w:rtl/>
        </w:rPr>
      </w:pPr>
    </w:p>
    <w:p w14:paraId="0E9349C9" w14:textId="77777777" w:rsidR="00723223" w:rsidRPr="00723223" w:rsidRDefault="00723223" w:rsidP="00723223">
      <w:pPr>
        <w:keepNext/>
        <w:rPr>
          <w:color w:val="000000"/>
          <w:sz w:val="22"/>
          <w:szCs w:val="22"/>
          <w:rtl/>
        </w:rPr>
      </w:pPr>
    </w:p>
    <w:p w14:paraId="43825AB8" w14:textId="77777777" w:rsidR="00723223" w:rsidRPr="00723223" w:rsidRDefault="00723223" w:rsidP="00723223">
      <w:pPr>
        <w:keepNext/>
        <w:rPr>
          <w:color w:val="000000"/>
          <w:sz w:val="22"/>
          <w:szCs w:val="22"/>
          <w:rtl/>
        </w:rPr>
      </w:pPr>
      <w:r w:rsidRPr="00723223">
        <w:rPr>
          <w:color w:val="000000"/>
          <w:sz w:val="22"/>
          <w:szCs w:val="22"/>
          <w:rtl/>
        </w:rPr>
        <w:t>יריב נבון 54678313</w:t>
      </w:r>
    </w:p>
    <w:p w14:paraId="7ADF0F3F" w14:textId="77777777" w:rsidR="00723223" w:rsidRDefault="00723223" w:rsidP="00723223">
      <w:r w:rsidRPr="00723223">
        <w:rPr>
          <w:color w:val="000000"/>
          <w:rtl/>
        </w:rPr>
        <w:t>נוסח מסמך זה כפוף לשינויי ניסוח ועריכה</w:t>
      </w:r>
    </w:p>
    <w:p w14:paraId="5A58CBE3" w14:textId="77777777" w:rsidR="00723223" w:rsidRDefault="00723223" w:rsidP="00723223">
      <w:pPr>
        <w:rPr>
          <w:rtl/>
        </w:rPr>
      </w:pPr>
    </w:p>
    <w:p w14:paraId="1B92A1CD" w14:textId="77777777" w:rsidR="00723223" w:rsidRDefault="00723223" w:rsidP="00723223">
      <w:pPr>
        <w:jc w:val="center"/>
        <w:rPr>
          <w:color w:val="0000FF"/>
          <w:u w:val="single"/>
        </w:rPr>
      </w:pPr>
      <w:hyperlink r:id="rId9" w:history="1">
        <w:r>
          <w:rPr>
            <w:color w:val="0000FF"/>
            <w:u w:val="single"/>
            <w:rtl/>
          </w:rPr>
          <w:t>בעניין עריכה ושינויים במסמכי פסיקה, חקיקה ועוד באתר נבו – הקש כאן</w:t>
        </w:r>
      </w:hyperlink>
    </w:p>
    <w:p w14:paraId="6356033F" w14:textId="77777777" w:rsidR="00DE5498" w:rsidRPr="00723223" w:rsidRDefault="00DE5498" w:rsidP="00723223">
      <w:pPr>
        <w:jc w:val="center"/>
        <w:rPr>
          <w:color w:val="0000FF"/>
          <w:u w:val="single"/>
        </w:rPr>
      </w:pPr>
    </w:p>
    <w:sectPr w:rsidR="00DE5498" w:rsidRPr="00723223" w:rsidSect="00723223">
      <w:headerReference w:type="even" r:id="rId10"/>
      <w:headerReference w:type="default" r:id="rId11"/>
      <w:footerReference w:type="even" r:id="rId12"/>
      <w:footerReference w:type="default" r:id="rId1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56955D" w14:textId="77777777" w:rsidR="00387D09" w:rsidRDefault="00387D09">
      <w:r>
        <w:separator/>
      </w:r>
    </w:p>
  </w:endnote>
  <w:endnote w:type="continuationSeparator" w:id="0">
    <w:p w14:paraId="2DB58738" w14:textId="77777777" w:rsidR="00387D09" w:rsidRDefault="00387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6E2AD" w14:textId="77777777" w:rsidR="00387D09" w:rsidRDefault="00387D09" w:rsidP="0072322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11</w:t>
    </w:r>
    <w:r>
      <w:rPr>
        <w:rFonts w:ascii="FrankRuehl" w:hAnsi="FrankRuehl" w:cs="FrankRuehl"/>
        <w:rtl/>
      </w:rPr>
      <w:fldChar w:fldCharType="end"/>
    </w:r>
  </w:p>
  <w:p w14:paraId="3742C4D0" w14:textId="77777777" w:rsidR="00387D09" w:rsidRPr="00723223" w:rsidRDefault="00387D09" w:rsidP="00723223">
    <w:pPr>
      <w:pStyle w:val="a5"/>
      <w:pBdr>
        <w:top w:val="single" w:sz="4" w:space="1" w:color="auto"/>
        <w:between w:val="single" w:sz="4" w:space="0" w:color="auto"/>
      </w:pBdr>
      <w:spacing w:after="60"/>
      <w:jc w:val="center"/>
      <w:rPr>
        <w:rFonts w:ascii="FrankRuehl" w:hAnsi="FrankRuehl" w:cs="FrankRuehl"/>
        <w:color w:val="000000"/>
      </w:rPr>
    </w:pPr>
    <w:r w:rsidRPr="0072322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707BB" w14:textId="77777777" w:rsidR="00387D09" w:rsidRDefault="00387D09" w:rsidP="0072322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071E2">
      <w:rPr>
        <w:rFonts w:ascii="FrankRuehl" w:hAnsi="FrankRuehl" w:cs="FrankRuehl"/>
        <w:noProof/>
        <w:rtl/>
      </w:rPr>
      <w:t>1</w:t>
    </w:r>
    <w:r>
      <w:rPr>
        <w:rFonts w:ascii="FrankRuehl" w:hAnsi="FrankRuehl" w:cs="FrankRuehl"/>
        <w:rtl/>
      </w:rPr>
      <w:fldChar w:fldCharType="end"/>
    </w:r>
  </w:p>
  <w:p w14:paraId="5030939C" w14:textId="77777777" w:rsidR="00387D09" w:rsidRPr="00723223" w:rsidRDefault="00387D09" w:rsidP="00723223">
    <w:pPr>
      <w:pStyle w:val="a5"/>
      <w:pBdr>
        <w:top w:val="single" w:sz="4" w:space="1" w:color="auto"/>
        <w:between w:val="single" w:sz="4" w:space="0" w:color="auto"/>
      </w:pBdr>
      <w:spacing w:after="60"/>
      <w:jc w:val="center"/>
      <w:rPr>
        <w:rFonts w:ascii="FrankRuehl" w:hAnsi="FrankRuehl" w:cs="FrankRuehl"/>
        <w:color w:val="000000"/>
      </w:rPr>
    </w:pPr>
    <w:r w:rsidRPr="00723223">
      <w:rPr>
        <w:rFonts w:ascii="FrankRuehl" w:hAnsi="FrankRuehl" w:cs="FrankRuehl"/>
        <w:color w:val="000000"/>
      </w:rPr>
      <w:pict w14:anchorId="0932C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1C0A4B" w14:textId="77777777" w:rsidR="00387D09" w:rsidRDefault="00387D09">
      <w:r>
        <w:separator/>
      </w:r>
    </w:p>
  </w:footnote>
  <w:footnote w:type="continuationSeparator" w:id="0">
    <w:p w14:paraId="40988C9B" w14:textId="77777777" w:rsidR="00387D09" w:rsidRDefault="00387D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5FB6B3" w14:textId="77777777" w:rsidR="00387D09" w:rsidRPr="00723223" w:rsidRDefault="00387D09" w:rsidP="00723223">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(טב') 42020-12-14</w:t>
    </w:r>
    <w:r>
      <w:rPr>
        <w:color w:val="000000"/>
        <w:sz w:val="22"/>
        <w:szCs w:val="22"/>
        <w:rtl/>
      </w:rPr>
      <w:tab/>
      <w:t xml:space="preserve"> מדינת ישראל נ' דוד אלאייש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2A0AC" w14:textId="77777777" w:rsidR="00387D09" w:rsidRPr="00723223" w:rsidRDefault="00387D09" w:rsidP="00723223">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(טב') 42020-12-14</w:t>
    </w:r>
    <w:r>
      <w:rPr>
        <w:color w:val="000000"/>
        <w:sz w:val="22"/>
        <w:szCs w:val="22"/>
        <w:rtl/>
      </w:rPr>
      <w:tab/>
      <w:t xml:space="preserve"> מדינת ישראל נ' דוד אלאייש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B0C38"/>
    <w:multiLevelType w:val="hybridMultilevel"/>
    <w:tmpl w:val="171E21A8"/>
    <w:lvl w:ilvl="0" w:tplc="8B8C0940">
      <w:start w:val="1"/>
      <w:numFmt w:val="decimal"/>
      <w:lvlText w:val="%1."/>
      <w:lvlJc w:val="left"/>
      <w:pPr>
        <w:tabs>
          <w:tab w:val="num" w:pos="1080"/>
        </w:tabs>
        <w:ind w:left="1080" w:hanging="72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num w:numId="1" w16cid:durableId="12861563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E5498"/>
    <w:rsid w:val="00225DC6"/>
    <w:rsid w:val="002F4C07"/>
    <w:rsid w:val="003071E2"/>
    <w:rsid w:val="00387D09"/>
    <w:rsid w:val="00706351"/>
    <w:rsid w:val="00723223"/>
    <w:rsid w:val="00DD28BD"/>
    <w:rsid w:val="00DE5498"/>
    <w:rsid w:val="00F75F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F6D7A19"/>
  <w15:chartTrackingRefBased/>
  <w15:docId w15:val="{643F6D42-9503-4263-A639-8917FDB26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E5498"/>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DE5498"/>
  </w:style>
  <w:style w:type="paragraph" w:styleId="a4">
    <w:name w:val="header"/>
    <w:basedOn w:val="a"/>
    <w:rsid w:val="00DE5498"/>
    <w:pPr>
      <w:tabs>
        <w:tab w:val="center" w:pos="4153"/>
        <w:tab w:val="right" w:pos="8306"/>
      </w:tabs>
    </w:pPr>
  </w:style>
  <w:style w:type="paragraph" w:styleId="a5">
    <w:name w:val="footer"/>
    <w:basedOn w:val="a"/>
    <w:rsid w:val="00DE5498"/>
    <w:pPr>
      <w:tabs>
        <w:tab w:val="center" w:pos="4153"/>
        <w:tab w:val="right" w:pos="8306"/>
      </w:tabs>
    </w:pPr>
  </w:style>
  <w:style w:type="character" w:styleId="a6">
    <w:name w:val="page number"/>
    <w:basedOn w:val="a0"/>
    <w:rsid w:val="00DE5498"/>
  </w:style>
  <w:style w:type="paragraph" w:customStyle="1" w:styleId="12">
    <w:name w:val="רגיל + ‏12 נק'"/>
    <w:aliases w:val="מיושר לשני הצדדים,מרווח בין שורות:  שורה וחצי"/>
    <w:basedOn w:val="a"/>
    <w:rsid w:val="00DE5498"/>
    <w:rPr>
      <w:rFonts w:ascii="Times New Roman" w:eastAsia="Times New Roman" w:hAnsi="Times New Roman"/>
      <w:b/>
      <w:bCs/>
      <w:u w:val="single"/>
    </w:rPr>
  </w:style>
  <w:style w:type="paragraph" w:styleId="2">
    <w:name w:val="Body Text 2"/>
    <w:basedOn w:val="a"/>
    <w:link w:val="20"/>
    <w:rsid w:val="00DE5498"/>
    <w:pPr>
      <w:spacing w:line="360" w:lineRule="auto"/>
      <w:jc w:val="both"/>
    </w:pPr>
    <w:rPr>
      <w:rFonts w:ascii="Times New Roman" w:eastAsia="Times New Roman" w:hAnsi="Times New Roman"/>
      <w:szCs w:val="28"/>
      <w:lang w:eastAsia="he-IL"/>
    </w:rPr>
  </w:style>
  <w:style w:type="character" w:customStyle="1" w:styleId="20">
    <w:name w:val="גוף טקסט 2 תו"/>
    <w:link w:val="2"/>
    <w:rsid w:val="00DE5498"/>
    <w:rPr>
      <w:rFonts w:cs="David"/>
      <w:sz w:val="24"/>
      <w:szCs w:val="28"/>
      <w:lang w:val="en-US" w:eastAsia="he-IL" w:bidi="he-IL"/>
    </w:rPr>
  </w:style>
  <w:style w:type="character" w:styleId="Hyperlink">
    <w:name w:val="Hyperlink"/>
    <w:basedOn w:val="a0"/>
    <w:rsid w:val="007232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2915</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2025-04-22T22:31:00Z</dcterms:created>
  <dcterms:modified xsi:type="dcterms:W3CDTF">2025-04-22T22:31:00Z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42020</vt:lpwstr>
  </property>
  <property fmtid="{D5CDD505-2E9C-101B-9397-08002B2CF9AE}" pid="6" name="NEWPARTB">
    <vt:lpwstr>12</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דוד אלאייש</vt:lpwstr>
  </property>
  <property fmtid="{D5CDD505-2E9C-101B-9397-08002B2CF9AE}" pid="10" name="LAWYER">
    <vt:lpwstr>שב"ס;עמית רון הובא שב"ס ו אבי מוסקוביץ</vt:lpwstr>
  </property>
  <property fmtid="{D5CDD505-2E9C-101B-9397-08002B2CF9AE}" pid="11" name="JUDGE">
    <vt:lpwstr>יריב נבון</vt:lpwstr>
  </property>
  <property fmtid="{D5CDD505-2E9C-101B-9397-08002B2CF9AE}" pid="12" name="CITY">
    <vt:lpwstr>טב'</vt:lpwstr>
  </property>
  <property fmtid="{D5CDD505-2E9C-101B-9397-08002B2CF9AE}" pid="13" name="DATE">
    <vt:lpwstr>20151104</vt:lpwstr>
  </property>
  <property fmtid="{D5CDD505-2E9C-101B-9397-08002B2CF9AE}" pid="14" name="TYPE_N_DATE">
    <vt:lpwstr>38020151104</vt:lpwstr>
  </property>
  <property fmtid="{D5CDD505-2E9C-101B-9397-08002B2CF9AE}" pid="15" name="WORDNUMPAGES">
    <vt:lpwstr>3</vt:lpwstr>
  </property>
  <property fmtid="{D5CDD505-2E9C-101B-9397-08002B2CF9AE}" pid="16" name="TYPE_ABS_DATE">
    <vt:lpwstr>380020151104</vt:lpwstr>
  </property>
  <property fmtid="{D5CDD505-2E9C-101B-9397-08002B2CF9AE}" pid="17" name="ISABSTRACT">
    <vt:lpwstr>Y</vt:lpwstr>
  </property>
  <property fmtid="{D5CDD505-2E9C-101B-9397-08002B2CF9AE}" pid="18" name="LAWLISTTMP1">
    <vt:lpwstr>4216</vt:lpwstr>
  </property>
</Properties>
</file>