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D243B" w:rsidRPr="00AD274D" w14:paraId="78AC4A00" w14:textId="77777777" w:rsidTr="00300CD5">
        <w:trPr>
          <w:trHeight w:hRule="exact" w:val="418"/>
          <w:jc w:val="center"/>
        </w:trPr>
        <w:tc>
          <w:tcPr>
            <w:tcW w:w="8721" w:type="dxa"/>
            <w:gridSpan w:val="2"/>
          </w:tcPr>
          <w:p w14:paraId="513BA817" w14:textId="77777777" w:rsidR="008D243B" w:rsidRPr="00AD274D" w:rsidRDefault="008D243B" w:rsidP="0003513C">
            <w:pPr>
              <w:pStyle w:val="a3"/>
              <w:jc w:val="center"/>
              <w:rPr>
                <w:rFonts w:ascii="Tahoma" w:hAnsi="Tahoma"/>
                <w:color w:val="000080"/>
                <w:sz w:val="32"/>
                <w:szCs w:val="32"/>
                <w:rtl/>
              </w:rPr>
            </w:pPr>
            <w:bookmarkStart w:id="0" w:name="LastJudge"/>
            <w:r w:rsidRPr="00AD274D">
              <w:rPr>
                <w:rFonts w:ascii="Tahoma" w:hAnsi="Tahoma"/>
                <w:b/>
                <w:bCs/>
                <w:color w:val="000080"/>
                <w:sz w:val="32"/>
                <w:szCs w:val="32"/>
                <w:rtl/>
              </w:rPr>
              <w:t>בית משפט השלום בתל אביב - יפו</w:t>
            </w:r>
          </w:p>
        </w:tc>
      </w:tr>
      <w:tr w:rsidR="008D243B" w:rsidRPr="00AD274D" w14:paraId="500314BE" w14:textId="77777777" w:rsidTr="00300CD5">
        <w:trPr>
          <w:trHeight w:val="337"/>
          <w:jc w:val="center"/>
        </w:trPr>
        <w:tc>
          <w:tcPr>
            <w:tcW w:w="5054" w:type="dxa"/>
          </w:tcPr>
          <w:p w14:paraId="049FE56E" w14:textId="77777777" w:rsidR="008D243B" w:rsidRPr="00AD274D" w:rsidRDefault="008D243B" w:rsidP="0003513C">
            <w:pPr>
              <w:rPr>
                <w:sz w:val="26"/>
                <w:szCs w:val="26"/>
                <w:rtl/>
              </w:rPr>
            </w:pPr>
            <w:r w:rsidRPr="00AD274D">
              <w:rPr>
                <w:sz w:val="26"/>
                <w:szCs w:val="26"/>
                <w:rtl/>
              </w:rPr>
              <w:t>ת"פ</w:t>
            </w:r>
            <w:r w:rsidRPr="00AD274D">
              <w:rPr>
                <w:rFonts w:hint="cs"/>
                <w:sz w:val="26"/>
                <w:szCs w:val="26"/>
                <w:rtl/>
              </w:rPr>
              <w:t xml:space="preserve"> </w:t>
            </w:r>
            <w:r w:rsidRPr="00AD274D">
              <w:rPr>
                <w:sz w:val="26"/>
                <w:szCs w:val="26"/>
                <w:rtl/>
              </w:rPr>
              <w:t>50305-12-14</w:t>
            </w:r>
            <w:r w:rsidRPr="00AD274D">
              <w:rPr>
                <w:rFonts w:hint="cs"/>
                <w:sz w:val="26"/>
                <w:szCs w:val="26"/>
                <w:rtl/>
              </w:rPr>
              <w:t xml:space="preserve"> </w:t>
            </w:r>
          </w:p>
        </w:tc>
        <w:tc>
          <w:tcPr>
            <w:tcW w:w="3667" w:type="dxa"/>
          </w:tcPr>
          <w:p w14:paraId="05315128" w14:textId="77777777" w:rsidR="008D243B" w:rsidRPr="00AD274D" w:rsidRDefault="008D243B" w:rsidP="0003513C">
            <w:pPr>
              <w:pStyle w:val="a3"/>
              <w:jc w:val="right"/>
              <w:rPr>
                <w:rFonts w:cs="FrankRuehl"/>
                <w:sz w:val="28"/>
                <w:szCs w:val="28"/>
                <w:rtl/>
              </w:rPr>
            </w:pPr>
          </w:p>
        </w:tc>
      </w:tr>
    </w:tbl>
    <w:p w14:paraId="213F931E" w14:textId="77777777" w:rsidR="008D243B" w:rsidRPr="00AD274D" w:rsidRDefault="008D243B" w:rsidP="008D243B">
      <w:pPr>
        <w:pStyle w:val="a3"/>
        <w:rPr>
          <w:rtl/>
        </w:rPr>
      </w:pPr>
      <w:r w:rsidRPr="00AD274D">
        <w:rPr>
          <w:rFonts w:hint="cs"/>
          <w:rtl/>
        </w:rPr>
        <w:t xml:space="preserve"> </w:t>
      </w:r>
    </w:p>
    <w:p w14:paraId="1EFBB46D" w14:textId="77777777" w:rsidR="008D243B" w:rsidRPr="00AD274D" w:rsidRDefault="008D243B" w:rsidP="008D243B">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54"/>
        <w:gridCol w:w="3334"/>
      </w:tblGrid>
      <w:tr w:rsidR="008D243B" w:rsidRPr="00AD274D" w14:paraId="11A753AD" w14:textId="77777777" w:rsidTr="008D243B">
        <w:trPr>
          <w:trHeight w:val="295"/>
          <w:jc w:val="center"/>
        </w:trPr>
        <w:tc>
          <w:tcPr>
            <w:tcW w:w="8820" w:type="dxa"/>
            <w:gridSpan w:val="3"/>
            <w:tcBorders>
              <w:top w:val="nil"/>
              <w:left w:val="nil"/>
              <w:bottom w:val="nil"/>
              <w:right w:val="nil"/>
            </w:tcBorders>
            <w:shd w:val="clear" w:color="auto" w:fill="auto"/>
          </w:tcPr>
          <w:p w14:paraId="39457ADC" w14:textId="77777777" w:rsidR="008D243B" w:rsidRPr="00AD274D" w:rsidRDefault="008D243B" w:rsidP="008D243B">
            <w:pPr>
              <w:spacing w:line="360" w:lineRule="auto"/>
              <w:jc w:val="both"/>
              <w:rPr>
                <w:b/>
                <w:bCs/>
                <w:sz w:val="26"/>
                <w:szCs w:val="26"/>
                <w:rtl/>
              </w:rPr>
            </w:pPr>
            <w:r w:rsidRPr="00AD274D">
              <w:rPr>
                <w:rFonts w:ascii="Arial" w:hAnsi="Arial" w:hint="cs"/>
                <w:b/>
                <w:bCs/>
                <w:sz w:val="26"/>
                <w:szCs w:val="26"/>
                <w:rtl/>
              </w:rPr>
              <w:t>ל</w:t>
            </w:r>
            <w:r w:rsidRPr="00AD274D">
              <w:rPr>
                <w:rFonts w:ascii="Arial" w:hAnsi="Arial"/>
                <w:b/>
                <w:bCs/>
                <w:sz w:val="26"/>
                <w:szCs w:val="26"/>
                <w:rtl/>
              </w:rPr>
              <w:t xml:space="preserve">פני </w:t>
            </w:r>
            <w:r w:rsidRPr="00AD274D">
              <w:rPr>
                <w:rFonts w:ascii="Arial" w:hAnsi="Arial" w:hint="cs"/>
                <w:b/>
                <w:bCs/>
                <w:sz w:val="26"/>
                <w:szCs w:val="26"/>
                <w:rtl/>
              </w:rPr>
              <w:t>כבוד ה</w:t>
            </w:r>
            <w:r w:rsidRPr="00AD274D">
              <w:rPr>
                <w:rFonts w:ascii="Arial" w:hAnsi="Arial"/>
                <w:b/>
                <w:bCs/>
                <w:sz w:val="26"/>
                <w:szCs w:val="26"/>
                <w:rtl/>
              </w:rPr>
              <w:t>שופט</w:t>
            </w:r>
            <w:r w:rsidRPr="00AD274D">
              <w:rPr>
                <w:rFonts w:ascii="Arial" w:hAnsi="Arial" w:hint="cs"/>
                <w:b/>
                <w:bCs/>
                <w:sz w:val="26"/>
                <w:szCs w:val="26"/>
                <w:rtl/>
              </w:rPr>
              <w:t xml:space="preserve">  </w:t>
            </w:r>
            <w:r w:rsidRPr="00AD274D">
              <w:rPr>
                <w:rFonts w:ascii="Arial" w:hAnsi="Arial"/>
                <w:b/>
                <w:bCs/>
                <w:sz w:val="26"/>
                <w:szCs w:val="26"/>
                <w:rtl/>
              </w:rPr>
              <w:t>שאול אבינור</w:t>
            </w:r>
          </w:p>
          <w:p w14:paraId="39872BC7" w14:textId="77777777" w:rsidR="008D243B" w:rsidRPr="00AD274D" w:rsidRDefault="008D243B" w:rsidP="008D243B">
            <w:pPr>
              <w:spacing w:line="360" w:lineRule="auto"/>
              <w:jc w:val="both"/>
              <w:rPr>
                <w:rFonts w:ascii="Arial" w:hAnsi="Arial"/>
                <w:b/>
                <w:bCs/>
                <w:sz w:val="26"/>
                <w:szCs w:val="26"/>
              </w:rPr>
            </w:pPr>
          </w:p>
        </w:tc>
      </w:tr>
      <w:tr w:rsidR="008D243B" w:rsidRPr="00AD274D" w14:paraId="010F46D2" w14:textId="77777777" w:rsidTr="008D243B">
        <w:trPr>
          <w:trHeight w:val="355"/>
          <w:jc w:val="center"/>
        </w:trPr>
        <w:tc>
          <w:tcPr>
            <w:tcW w:w="885" w:type="dxa"/>
            <w:tcBorders>
              <w:top w:val="nil"/>
              <w:left w:val="nil"/>
              <w:bottom w:val="nil"/>
              <w:right w:val="nil"/>
            </w:tcBorders>
            <w:shd w:val="clear" w:color="auto" w:fill="auto"/>
          </w:tcPr>
          <w:p w14:paraId="5B41DA47" w14:textId="77777777" w:rsidR="008D243B" w:rsidRPr="00AD274D" w:rsidRDefault="008D243B" w:rsidP="008D243B">
            <w:pPr>
              <w:spacing w:line="360" w:lineRule="auto"/>
              <w:jc w:val="both"/>
              <w:rPr>
                <w:rFonts w:ascii="Arial" w:hAnsi="Arial"/>
                <w:b/>
                <w:bCs/>
                <w:sz w:val="26"/>
                <w:szCs w:val="26"/>
              </w:rPr>
            </w:pPr>
            <w:bookmarkStart w:id="1" w:name="FirstAppellant"/>
            <w:r w:rsidRPr="00AD274D">
              <w:rPr>
                <w:rFonts w:ascii="Arial" w:hAnsi="Arial" w:hint="cs"/>
                <w:b/>
                <w:bCs/>
                <w:sz w:val="26"/>
                <w:szCs w:val="26"/>
                <w:rtl/>
              </w:rPr>
              <w:t>ה</w:t>
            </w:r>
            <w:r w:rsidRPr="00AD274D">
              <w:rPr>
                <w:rFonts w:ascii="Arial" w:hAnsi="Arial"/>
                <w:b/>
                <w:bCs/>
                <w:sz w:val="26"/>
                <w:szCs w:val="26"/>
                <w:rtl/>
              </w:rPr>
              <w:t>מאשימה</w:t>
            </w:r>
            <w:r w:rsidRPr="00AD274D">
              <w:rPr>
                <w:rFonts w:ascii="Arial" w:hAnsi="Arial" w:hint="cs"/>
                <w:b/>
                <w:bCs/>
                <w:sz w:val="26"/>
                <w:szCs w:val="26"/>
                <w:rtl/>
              </w:rPr>
              <w:t>:</w:t>
            </w:r>
          </w:p>
        </w:tc>
        <w:tc>
          <w:tcPr>
            <w:tcW w:w="4384" w:type="dxa"/>
            <w:tcBorders>
              <w:top w:val="nil"/>
              <w:left w:val="nil"/>
              <w:bottom w:val="nil"/>
              <w:right w:val="nil"/>
            </w:tcBorders>
            <w:shd w:val="clear" w:color="auto" w:fill="auto"/>
          </w:tcPr>
          <w:p w14:paraId="085FCC1C" w14:textId="77777777" w:rsidR="008D243B" w:rsidRPr="00AD274D" w:rsidRDefault="008D243B" w:rsidP="008D243B">
            <w:pPr>
              <w:spacing w:line="360" w:lineRule="auto"/>
              <w:rPr>
                <w:b/>
                <w:bCs/>
                <w:sz w:val="26"/>
                <w:szCs w:val="26"/>
                <w:rtl/>
              </w:rPr>
            </w:pPr>
            <w:r w:rsidRPr="00AD274D">
              <w:rPr>
                <w:rFonts w:ascii="Arial" w:hAnsi="Arial"/>
                <w:b/>
                <w:bCs/>
                <w:sz w:val="26"/>
                <w:szCs w:val="26"/>
                <w:rtl/>
              </w:rPr>
              <w:t>מדינת ישראל</w:t>
            </w:r>
          </w:p>
          <w:p w14:paraId="5E25FA61" w14:textId="77777777" w:rsidR="008D243B" w:rsidRPr="00AD274D" w:rsidRDefault="008D243B" w:rsidP="008D243B">
            <w:pPr>
              <w:spacing w:line="360" w:lineRule="auto"/>
              <w:rPr>
                <w:b/>
                <w:bCs/>
                <w:sz w:val="26"/>
                <w:szCs w:val="26"/>
              </w:rPr>
            </w:pPr>
          </w:p>
        </w:tc>
        <w:tc>
          <w:tcPr>
            <w:tcW w:w="3551" w:type="dxa"/>
            <w:tcBorders>
              <w:top w:val="nil"/>
              <w:left w:val="nil"/>
              <w:bottom w:val="nil"/>
              <w:right w:val="nil"/>
            </w:tcBorders>
            <w:shd w:val="clear" w:color="auto" w:fill="auto"/>
          </w:tcPr>
          <w:p w14:paraId="72033B85" w14:textId="77777777" w:rsidR="008D243B" w:rsidRPr="00AD274D" w:rsidRDefault="008D243B" w:rsidP="008D243B">
            <w:pPr>
              <w:spacing w:line="360" w:lineRule="auto"/>
              <w:jc w:val="both"/>
              <w:rPr>
                <w:rFonts w:ascii="Arial" w:hAnsi="Arial"/>
                <w:b/>
                <w:bCs/>
                <w:sz w:val="26"/>
                <w:szCs w:val="26"/>
              </w:rPr>
            </w:pPr>
          </w:p>
        </w:tc>
      </w:tr>
      <w:bookmarkEnd w:id="1"/>
      <w:tr w:rsidR="008D243B" w:rsidRPr="00AD274D" w14:paraId="40F90EB0" w14:textId="77777777" w:rsidTr="008D243B">
        <w:trPr>
          <w:trHeight w:val="373"/>
          <w:jc w:val="center"/>
        </w:trPr>
        <w:tc>
          <w:tcPr>
            <w:tcW w:w="885" w:type="dxa"/>
            <w:tcBorders>
              <w:top w:val="nil"/>
              <w:left w:val="nil"/>
              <w:bottom w:val="nil"/>
              <w:right w:val="nil"/>
            </w:tcBorders>
            <w:shd w:val="clear" w:color="auto" w:fill="auto"/>
          </w:tcPr>
          <w:p w14:paraId="421C902D" w14:textId="77777777" w:rsidR="008D243B" w:rsidRPr="00AD274D" w:rsidRDefault="008D243B" w:rsidP="008D243B">
            <w:pPr>
              <w:spacing w:line="360" w:lineRule="auto"/>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5CD3D66E" w14:textId="77777777" w:rsidR="008D243B" w:rsidRPr="00AD274D" w:rsidRDefault="008D243B" w:rsidP="008D243B">
            <w:pPr>
              <w:spacing w:line="360" w:lineRule="auto"/>
              <w:jc w:val="center"/>
              <w:rPr>
                <w:rFonts w:ascii="Arial" w:hAnsi="Arial"/>
                <w:b/>
                <w:bCs/>
                <w:sz w:val="26"/>
                <w:szCs w:val="26"/>
                <w:rtl/>
              </w:rPr>
            </w:pPr>
          </w:p>
          <w:p w14:paraId="45D61539" w14:textId="77777777" w:rsidR="008D243B" w:rsidRPr="00AD274D" w:rsidRDefault="008D243B" w:rsidP="008D243B">
            <w:pPr>
              <w:spacing w:line="360" w:lineRule="auto"/>
              <w:jc w:val="both"/>
              <w:rPr>
                <w:rFonts w:ascii="Arial" w:hAnsi="Arial"/>
                <w:b/>
                <w:bCs/>
                <w:sz w:val="26"/>
                <w:szCs w:val="26"/>
              </w:rPr>
            </w:pPr>
            <w:r w:rsidRPr="00AD274D">
              <w:rPr>
                <w:rFonts w:ascii="Arial" w:hAnsi="Arial"/>
                <w:b/>
                <w:bCs/>
                <w:sz w:val="26"/>
                <w:szCs w:val="26"/>
                <w:rtl/>
              </w:rPr>
              <w:t>נגד</w:t>
            </w:r>
          </w:p>
        </w:tc>
      </w:tr>
      <w:tr w:rsidR="008D243B" w:rsidRPr="00AD274D" w14:paraId="35DCCA33" w14:textId="77777777" w:rsidTr="008D243B">
        <w:trPr>
          <w:trHeight w:val="355"/>
          <w:jc w:val="center"/>
        </w:trPr>
        <w:tc>
          <w:tcPr>
            <w:tcW w:w="885" w:type="dxa"/>
            <w:tcBorders>
              <w:top w:val="nil"/>
              <w:left w:val="nil"/>
              <w:bottom w:val="nil"/>
              <w:right w:val="nil"/>
            </w:tcBorders>
            <w:shd w:val="clear" w:color="auto" w:fill="auto"/>
          </w:tcPr>
          <w:p w14:paraId="2DB54DC1" w14:textId="77777777" w:rsidR="008D243B" w:rsidRPr="00AD274D" w:rsidRDefault="008D243B" w:rsidP="008D243B">
            <w:pPr>
              <w:spacing w:line="360" w:lineRule="auto"/>
              <w:rPr>
                <w:rFonts w:ascii="Arial" w:hAnsi="Arial"/>
                <w:b/>
                <w:bCs/>
                <w:sz w:val="26"/>
                <w:szCs w:val="26"/>
                <w:rtl/>
              </w:rPr>
            </w:pPr>
            <w:r w:rsidRPr="00AD274D">
              <w:rPr>
                <w:rFonts w:ascii="Arial" w:hAnsi="Arial" w:hint="cs"/>
                <w:b/>
                <w:bCs/>
                <w:sz w:val="26"/>
                <w:szCs w:val="26"/>
                <w:rtl/>
              </w:rPr>
              <w:t>ה</w:t>
            </w:r>
            <w:r w:rsidRPr="00AD274D">
              <w:rPr>
                <w:rFonts w:ascii="Arial" w:hAnsi="Arial"/>
                <w:b/>
                <w:bCs/>
                <w:sz w:val="26"/>
                <w:szCs w:val="26"/>
                <w:rtl/>
              </w:rPr>
              <w:t>נאשם</w:t>
            </w:r>
            <w:r w:rsidRPr="00AD274D">
              <w:rPr>
                <w:rFonts w:ascii="Arial" w:hAnsi="Arial" w:hint="cs"/>
                <w:b/>
                <w:bCs/>
                <w:sz w:val="26"/>
                <w:szCs w:val="26"/>
                <w:rtl/>
              </w:rPr>
              <w:t>:</w:t>
            </w:r>
          </w:p>
        </w:tc>
        <w:tc>
          <w:tcPr>
            <w:tcW w:w="4384" w:type="dxa"/>
            <w:tcBorders>
              <w:top w:val="nil"/>
              <w:left w:val="nil"/>
              <w:bottom w:val="nil"/>
              <w:right w:val="nil"/>
            </w:tcBorders>
            <w:shd w:val="clear" w:color="auto" w:fill="auto"/>
          </w:tcPr>
          <w:p w14:paraId="1F74BA75" w14:textId="77777777" w:rsidR="008D243B" w:rsidRPr="00AD274D" w:rsidRDefault="00625C29" w:rsidP="008D243B">
            <w:pPr>
              <w:spacing w:line="360" w:lineRule="auto"/>
              <w:rPr>
                <w:rFonts w:hint="cs"/>
                <w:b/>
                <w:bCs/>
                <w:sz w:val="26"/>
                <w:szCs w:val="26"/>
                <w:rtl/>
              </w:rPr>
            </w:pPr>
            <w:r>
              <w:rPr>
                <w:rFonts w:ascii="Arial" w:hAnsi="Arial" w:hint="cs"/>
                <w:b/>
                <w:bCs/>
                <w:sz w:val="26"/>
                <w:szCs w:val="26"/>
                <w:rtl/>
              </w:rPr>
              <w:t>פלוני</w:t>
            </w:r>
          </w:p>
          <w:p w14:paraId="5C21F012" w14:textId="77777777" w:rsidR="008D243B" w:rsidRPr="00AD274D" w:rsidRDefault="008D243B" w:rsidP="008D243B">
            <w:pPr>
              <w:spacing w:line="360" w:lineRule="auto"/>
              <w:rPr>
                <w:b/>
                <w:bCs/>
                <w:sz w:val="26"/>
                <w:szCs w:val="26"/>
                <w:rtl/>
              </w:rPr>
            </w:pPr>
          </w:p>
        </w:tc>
        <w:tc>
          <w:tcPr>
            <w:tcW w:w="3551" w:type="dxa"/>
            <w:tcBorders>
              <w:top w:val="nil"/>
              <w:left w:val="nil"/>
              <w:bottom w:val="nil"/>
              <w:right w:val="nil"/>
            </w:tcBorders>
            <w:shd w:val="clear" w:color="auto" w:fill="auto"/>
          </w:tcPr>
          <w:p w14:paraId="1D03CD04" w14:textId="77777777" w:rsidR="008D243B" w:rsidRPr="00AD274D" w:rsidRDefault="008D243B" w:rsidP="008D243B">
            <w:pPr>
              <w:spacing w:line="360" w:lineRule="auto"/>
              <w:jc w:val="right"/>
              <w:rPr>
                <w:rFonts w:ascii="Arial" w:hAnsi="Arial"/>
                <w:b/>
                <w:bCs/>
                <w:sz w:val="26"/>
                <w:szCs w:val="26"/>
              </w:rPr>
            </w:pPr>
          </w:p>
        </w:tc>
      </w:tr>
    </w:tbl>
    <w:p w14:paraId="7245E5C2" w14:textId="77777777" w:rsidR="00300CD5" w:rsidRPr="00300CD5" w:rsidRDefault="00300CD5" w:rsidP="00300CD5">
      <w:pPr>
        <w:spacing w:after="120" w:line="240" w:lineRule="exact"/>
        <w:ind w:left="283" w:hanging="283"/>
        <w:jc w:val="both"/>
        <w:rPr>
          <w:rFonts w:ascii="FrankRuehl" w:hAnsi="FrankRuehl" w:cs="FrankRuehl"/>
          <w:rtl/>
        </w:rPr>
      </w:pPr>
      <w:bookmarkStart w:id="2" w:name="LawTable"/>
      <w:bookmarkEnd w:id="2"/>
    </w:p>
    <w:p w14:paraId="7E8C3E81" w14:textId="77777777" w:rsidR="00300CD5" w:rsidRPr="00300CD5" w:rsidRDefault="00300CD5" w:rsidP="00300CD5">
      <w:pPr>
        <w:spacing w:after="120" w:line="240" w:lineRule="exact"/>
        <w:ind w:left="283" w:hanging="283"/>
        <w:jc w:val="both"/>
        <w:rPr>
          <w:rFonts w:ascii="FrankRuehl" w:hAnsi="FrankRuehl" w:cs="FrankRuehl"/>
          <w:rtl/>
        </w:rPr>
      </w:pPr>
      <w:r w:rsidRPr="00300CD5">
        <w:rPr>
          <w:rFonts w:ascii="FrankRuehl" w:hAnsi="FrankRuehl" w:cs="FrankRuehl"/>
          <w:rtl/>
        </w:rPr>
        <w:t xml:space="preserve">חקיקה שאוזכרה: </w:t>
      </w:r>
    </w:p>
    <w:p w14:paraId="6546E4F4" w14:textId="77777777" w:rsidR="00300CD5" w:rsidRPr="00300CD5" w:rsidRDefault="00300CD5" w:rsidP="00300CD5">
      <w:pPr>
        <w:spacing w:after="120" w:line="240" w:lineRule="exact"/>
        <w:ind w:left="283" w:hanging="283"/>
        <w:jc w:val="both"/>
        <w:rPr>
          <w:rFonts w:ascii="FrankRuehl" w:hAnsi="FrankRuehl" w:cs="FrankRuehl"/>
          <w:rtl/>
        </w:rPr>
      </w:pPr>
      <w:hyperlink r:id="rId7" w:history="1">
        <w:r w:rsidRPr="00300CD5">
          <w:rPr>
            <w:rFonts w:ascii="FrankRuehl" w:hAnsi="FrankRuehl" w:cs="FrankRuehl"/>
            <w:color w:val="0000FF"/>
            <w:u w:val="single"/>
            <w:rtl/>
          </w:rPr>
          <w:t>חוק העונשין, תשל"ז-1977</w:t>
        </w:r>
      </w:hyperlink>
      <w:r w:rsidRPr="00300CD5">
        <w:rPr>
          <w:rFonts w:ascii="FrankRuehl" w:hAnsi="FrankRuehl" w:cs="FrankRuehl"/>
          <w:rtl/>
        </w:rPr>
        <w:t xml:space="preserve">: סע'  </w:t>
      </w:r>
      <w:hyperlink r:id="rId8" w:history="1">
        <w:r w:rsidRPr="00300CD5">
          <w:rPr>
            <w:rFonts w:ascii="FrankRuehl" w:hAnsi="FrankRuehl" w:cs="FrankRuehl"/>
            <w:color w:val="0000FF"/>
            <w:u w:val="single"/>
            <w:rtl/>
          </w:rPr>
          <w:t>40ט(א)(4)</w:t>
        </w:r>
      </w:hyperlink>
      <w:r w:rsidRPr="00300CD5">
        <w:rPr>
          <w:rFonts w:ascii="FrankRuehl" w:hAnsi="FrankRuehl" w:cs="FrankRuehl"/>
          <w:rtl/>
        </w:rPr>
        <w:t xml:space="preserve">, </w:t>
      </w:r>
      <w:hyperlink r:id="rId9" w:history="1">
        <w:r w:rsidRPr="00300CD5">
          <w:rPr>
            <w:rFonts w:ascii="FrankRuehl" w:hAnsi="FrankRuehl" w:cs="FrankRuehl"/>
            <w:color w:val="0000FF"/>
            <w:u w:val="single"/>
            <w:rtl/>
          </w:rPr>
          <w:t>192</w:t>
        </w:r>
      </w:hyperlink>
      <w:r w:rsidRPr="00300CD5">
        <w:rPr>
          <w:rFonts w:ascii="FrankRuehl" w:hAnsi="FrankRuehl" w:cs="FrankRuehl"/>
          <w:rtl/>
        </w:rPr>
        <w:t xml:space="preserve">, </w:t>
      </w:r>
      <w:hyperlink r:id="rId10" w:history="1">
        <w:r w:rsidRPr="00300CD5">
          <w:rPr>
            <w:rFonts w:ascii="FrankRuehl" w:hAnsi="FrankRuehl" w:cs="FrankRuehl"/>
            <w:color w:val="0000FF"/>
            <w:u w:val="single"/>
            <w:rtl/>
          </w:rPr>
          <w:t>377</w:t>
        </w:r>
      </w:hyperlink>
      <w:r w:rsidRPr="00300CD5">
        <w:rPr>
          <w:rFonts w:ascii="FrankRuehl" w:hAnsi="FrankRuehl" w:cs="FrankRuehl"/>
          <w:rtl/>
        </w:rPr>
        <w:t xml:space="preserve">, </w:t>
      </w:r>
      <w:hyperlink r:id="rId11" w:history="1">
        <w:r w:rsidRPr="00300CD5">
          <w:rPr>
            <w:rFonts w:ascii="FrankRuehl" w:hAnsi="FrankRuehl" w:cs="FrankRuehl"/>
            <w:color w:val="0000FF"/>
            <w:u w:val="single"/>
            <w:rtl/>
          </w:rPr>
          <w:t>382(ב)</w:t>
        </w:r>
      </w:hyperlink>
      <w:r w:rsidRPr="00300CD5">
        <w:rPr>
          <w:rFonts w:ascii="FrankRuehl" w:hAnsi="FrankRuehl" w:cs="FrankRuehl"/>
          <w:rtl/>
        </w:rPr>
        <w:t xml:space="preserve">, </w:t>
      </w:r>
      <w:hyperlink r:id="rId12" w:history="1">
        <w:r w:rsidRPr="00300CD5">
          <w:rPr>
            <w:rFonts w:ascii="FrankRuehl" w:hAnsi="FrankRuehl" w:cs="FrankRuehl"/>
            <w:color w:val="0000FF"/>
            <w:u w:val="single"/>
            <w:rtl/>
          </w:rPr>
          <w:t>40יא(6)</w:t>
        </w:r>
      </w:hyperlink>
    </w:p>
    <w:p w14:paraId="6BCA5BD9" w14:textId="77777777" w:rsidR="00300CD5" w:rsidRPr="00300CD5" w:rsidRDefault="00300CD5" w:rsidP="00300CD5">
      <w:pPr>
        <w:spacing w:after="120" w:line="240" w:lineRule="exact"/>
        <w:ind w:left="283" w:hanging="283"/>
        <w:jc w:val="both"/>
        <w:rPr>
          <w:rFonts w:ascii="FrankRuehl" w:hAnsi="FrankRuehl" w:cs="FrankRuehl"/>
          <w:rtl/>
        </w:rPr>
      </w:pPr>
      <w:hyperlink r:id="rId13" w:history="1">
        <w:r w:rsidRPr="00300CD5">
          <w:rPr>
            <w:rFonts w:ascii="FrankRuehl" w:hAnsi="FrankRuehl" w:cs="FrankRuehl"/>
            <w:color w:val="0000FF"/>
            <w:u w:val="single"/>
            <w:rtl/>
          </w:rPr>
          <w:t>פקודת הסמים המסוכנים [נוסח חדש], תשל"ג-1973</w:t>
        </w:r>
      </w:hyperlink>
      <w:r w:rsidRPr="00300CD5">
        <w:rPr>
          <w:rFonts w:ascii="FrankRuehl" w:hAnsi="FrankRuehl" w:cs="FrankRuehl"/>
          <w:rtl/>
        </w:rPr>
        <w:t xml:space="preserve">: סע'  </w:t>
      </w:r>
      <w:hyperlink r:id="rId14" w:history="1">
        <w:r w:rsidRPr="00300CD5">
          <w:rPr>
            <w:rFonts w:ascii="FrankRuehl" w:hAnsi="FrankRuehl" w:cs="FrankRuehl"/>
            <w:color w:val="0000FF"/>
            <w:u w:val="single"/>
            <w:rtl/>
          </w:rPr>
          <w:t>7(א)</w:t>
        </w:r>
      </w:hyperlink>
      <w:r w:rsidRPr="00300CD5">
        <w:rPr>
          <w:rFonts w:ascii="FrankRuehl" w:hAnsi="FrankRuehl" w:cs="FrankRuehl"/>
          <w:rtl/>
        </w:rPr>
        <w:t xml:space="preserve">, </w:t>
      </w:r>
      <w:hyperlink r:id="rId15" w:history="1">
        <w:r w:rsidRPr="00300CD5">
          <w:rPr>
            <w:rFonts w:ascii="FrankRuehl" w:hAnsi="FrankRuehl" w:cs="FrankRuehl"/>
            <w:color w:val="0000FF"/>
            <w:u w:val="single"/>
            <w:rtl/>
          </w:rPr>
          <w:t>7(ג)</w:t>
        </w:r>
      </w:hyperlink>
      <w:r w:rsidRPr="00300CD5">
        <w:rPr>
          <w:rFonts w:ascii="FrankRuehl" w:hAnsi="FrankRuehl" w:cs="FrankRuehl"/>
          <w:rtl/>
        </w:rPr>
        <w:t xml:space="preserve">, </w:t>
      </w:r>
      <w:hyperlink r:id="rId16" w:history="1">
        <w:r w:rsidRPr="00300CD5">
          <w:rPr>
            <w:rFonts w:ascii="FrankRuehl" w:hAnsi="FrankRuehl" w:cs="FrankRuehl"/>
            <w:color w:val="0000FF"/>
            <w:u w:val="single"/>
            <w:rtl/>
          </w:rPr>
          <w:t>37א</w:t>
        </w:r>
      </w:hyperlink>
    </w:p>
    <w:p w14:paraId="4D3293A9" w14:textId="77777777" w:rsidR="00300CD5" w:rsidRPr="00300CD5" w:rsidRDefault="00300CD5" w:rsidP="00300CD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243B" w14:paraId="174B6A8C" w14:textId="77777777" w:rsidTr="008D243B">
        <w:trPr>
          <w:trHeight w:val="355"/>
          <w:jc w:val="center"/>
        </w:trPr>
        <w:tc>
          <w:tcPr>
            <w:tcW w:w="8820" w:type="dxa"/>
            <w:tcBorders>
              <w:top w:val="nil"/>
              <w:left w:val="nil"/>
              <w:bottom w:val="nil"/>
              <w:right w:val="nil"/>
            </w:tcBorders>
            <w:shd w:val="clear" w:color="auto" w:fill="auto"/>
          </w:tcPr>
          <w:p w14:paraId="28578FBD" w14:textId="77777777" w:rsidR="00AD274D" w:rsidRPr="00AD274D" w:rsidRDefault="00AD274D" w:rsidP="00AD274D">
            <w:pPr>
              <w:spacing w:after="240" w:line="360" w:lineRule="auto"/>
              <w:jc w:val="center"/>
              <w:rPr>
                <w:rFonts w:ascii="Arial" w:hAnsi="Arial"/>
                <w:b/>
                <w:bCs/>
                <w:sz w:val="36"/>
                <w:szCs w:val="36"/>
                <w:u w:val="single"/>
                <w:rtl/>
              </w:rPr>
            </w:pPr>
            <w:bookmarkStart w:id="3" w:name="LawTable_End"/>
            <w:bookmarkStart w:id="4" w:name="PsakDin" w:colFirst="0" w:colLast="0"/>
            <w:bookmarkEnd w:id="0"/>
            <w:bookmarkEnd w:id="3"/>
            <w:r w:rsidRPr="00AD274D">
              <w:rPr>
                <w:rFonts w:ascii="Arial" w:hAnsi="Arial"/>
                <w:b/>
                <w:bCs/>
                <w:sz w:val="36"/>
                <w:szCs w:val="36"/>
                <w:u w:val="single"/>
                <w:rtl/>
              </w:rPr>
              <w:t>גזר דין</w:t>
            </w:r>
          </w:p>
          <w:p w14:paraId="42321B3A" w14:textId="77777777" w:rsidR="008D243B" w:rsidRPr="00AD274D" w:rsidRDefault="008D243B" w:rsidP="00AD274D">
            <w:pPr>
              <w:spacing w:after="240" w:line="360" w:lineRule="auto"/>
              <w:jc w:val="center"/>
              <w:rPr>
                <w:rFonts w:ascii="Arial" w:hAnsi="Arial"/>
                <w:bCs/>
                <w:sz w:val="36"/>
                <w:szCs w:val="36"/>
                <w:u w:val="single"/>
                <w:rtl/>
              </w:rPr>
            </w:pPr>
          </w:p>
        </w:tc>
      </w:tr>
    </w:tbl>
    <w:bookmarkEnd w:id="4"/>
    <w:p w14:paraId="4343349B" w14:textId="77777777" w:rsidR="008D243B" w:rsidRDefault="008D243B" w:rsidP="008D243B">
      <w:pPr>
        <w:spacing w:after="120" w:line="360" w:lineRule="auto"/>
        <w:jc w:val="both"/>
        <w:rPr>
          <w:rFonts w:ascii="Tahoma" w:hAnsi="Tahoma"/>
          <w:b/>
          <w:bCs/>
          <w:u w:val="single"/>
          <w:rtl/>
        </w:rPr>
      </w:pPr>
      <w:r>
        <w:rPr>
          <w:rFonts w:ascii="Tahoma" w:hAnsi="Tahoma"/>
          <w:b/>
          <w:bCs/>
          <w:rtl/>
        </w:rPr>
        <w:t>א.</w:t>
      </w:r>
      <w:r>
        <w:rPr>
          <w:rFonts w:ascii="Tahoma" w:hAnsi="Tahoma"/>
          <w:b/>
          <w:bCs/>
          <w:rtl/>
        </w:rPr>
        <w:tab/>
      </w:r>
      <w:r>
        <w:rPr>
          <w:rFonts w:ascii="Tahoma" w:hAnsi="Tahoma"/>
          <w:b/>
          <w:bCs/>
          <w:u w:val="single"/>
          <w:rtl/>
        </w:rPr>
        <w:t>רקע כללי והשתלשלות ההליכים המשפטיים:</w:t>
      </w:r>
    </w:p>
    <w:p w14:paraId="0445FD8C" w14:textId="77777777" w:rsidR="008D243B" w:rsidRDefault="008D243B" w:rsidP="008D243B">
      <w:pPr>
        <w:numPr>
          <w:ilvl w:val="0"/>
          <w:numId w:val="1"/>
        </w:numPr>
        <w:tabs>
          <w:tab w:val="num" w:pos="720"/>
        </w:tabs>
        <w:spacing w:after="120" w:line="360" w:lineRule="auto"/>
        <w:ind w:left="720"/>
        <w:jc w:val="both"/>
        <w:rPr>
          <w:rFonts w:ascii="Tahoma" w:hAnsi="Tahoma"/>
        </w:rPr>
      </w:pPr>
      <w:bookmarkStart w:id="5" w:name="ABSTRACT_START"/>
      <w:bookmarkEnd w:id="5"/>
      <w:r w:rsidRPr="003A47C4">
        <w:rPr>
          <w:rFonts w:ascii="Tahoma" w:hAnsi="Tahoma" w:hint="cs"/>
          <w:rtl/>
        </w:rPr>
        <w:t>עד ליום 12.6.14 (להלן – יום האירוע)</w:t>
      </w:r>
      <w:r w:rsidRPr="006518CF">
        <w:rPr>
          <w:rFonts w:ascii="Tahoma" w:hAnsi="Tahoma" w:hint="cs"/>
          <w:rtl/>
        </w:rPr>
        <w:t xml:space="preserve"> התקיימה בין הנאשם לבין </w:t>
      </w:r>
      <w:r>
        <w:rPr>
          <w:rFonts w:ascii="Tahoma" w:hAnsi="Tahoma" w:hint="cs"/>
          <w:rtl/>
        </w:rPr>
        <w:t>המתלוננת</w:t>
      </w:r>
      <w:r w:rsidRPr="006518CF">
        <w:rPr>
          <w:rFonts w:ascii="Tahoma" w:hAnsi="Tahoma" w:hint="cs"/>
          <w:rtl/>
        </w:rPr>
        <w:t xml:space="preserve"> מערכת יחסים זוגית, אם כי הם לא התגוררו יחדיו. הנאשם התגורר באותה תקופה בבית בהרצליה (להלן – הבית) ואילו המתלוננת התגוררה בתל-אביב. </w:t>
      </w:r>
      <w:r>
        <w:rPr>
          <w:rFonts w:ascii="Tahoma" w:hAnsi="Tahoma" w:hint="cs"/>
          <w:rtl/>
        </w:rPr>
        <w:t xml:space="preserve">נגד הנאשם הוגש כתב </w:t>
      </w:r>
      <w:r w:rsidRPr="006518CF">
        <w:rPr>
          <w:rFonts w:ascii="Tahoma" w:hAnsi="Tahoma" w:hint="cs"/>
          <w:rtl/>
        </w:rPr>
        <w:t xml:space="preserve">אישום </w:t>
      </w:r>
      <w:r>
        <w:rPr>
          <w:rFonts w:ascii="Tahoma" w:hAnsi="Tahoma" w:hint="cs"/>
          <w:rtl/>
        </w:rPr>
        <w:t>ש</w:t>
      </w:r>
      <w:r w:rsidRPr="006518CF">
        <w:rPr>
          <w:rFonts w:ascii="Tahoma" w:hAnsi="Tahoma" w:hint="cs"/>
          <w:rtl/>
        </w:rPr>
        <w:t xml:space="preserve">עניינו במסכת </w:t>
      </w:r>
      <w:r>
        <w:rPr>
          <w:rFonts w:ascii="Tahoma" w:hAnsi="Tahoma" w:hint="cs"/>
          <w:rtl/>
        </w:rPr>
        <w:t xml:space="preserve">מעשים שעשה </w:t>
      </w:r>
      <w:r w:rsidRPr="006518CF">
        <w:rPr>
          <w:rFonts w:ascii="Tahoma" w:hAnsi="Tahoma" w:hint="cs"/>
          <w:rtl/>
        </w:rPr>
        <w:t>ב</w:t>
      </w:r>
      <w:r>
        <w:rPr>
          <w:rFonts w:ascii="Tahoma" w:hAnsi="Tahoma" w:hint="cs"/>
          <w:rtl/>
        </w:rPr>
        <w:t>יום האירוע</w:t>
      </w:r>
      <w:r w:rsidRPr="006518CF">
        <w:rPr>
          <w:rFonts w:ascii="Tahoma" w:hAnsi="Tahoma" w:hint="cs"/>
          <w:rtl/>
        </w:rPr>
        <w:t>, החל בשעות הבוקר, עת המתלוננת שהתה בבית אך ביקשה לצאת ממנו לענייניה.</w:t>
      </w:r>
    </w:p>
    <w:p w14:paraId="0C1C922B" w14:textId="77777777" w:rsidR="008D243B" w:rsidRPr="003B19FB" w:rsidRDefault="008D243B" w:rsidP="008D243B">
      <w:pPr>
        <w:numPr>
          <w:ilvl w:val="0"/>
          <w:numId w:val="1"/>
        </w:numPr>
        <w:tabs>
          <w:tab w:val="num" w:pos="720"/>
        </w:tabs>
        <w:spacing w:after="120" w:line="360" w:lineRule="auto"/>
        <w:ind w:left="720"/>
        <w:jc w:val="both"/>
        <w:rPr>
          <w:rFonts w:ascii="Tahoma" w:hAnsi="Tahoma"/>
        </w:rPr>
      </w:pPr>
      <w:bookmarkStart w:id="6" w:name="ABSTRACT_END"/>
      <w:bookmarkEnd w:id="6"/>
      <w:r w:rsidRPr="003B19FB">
        <w:rPr>
          <w:rFonts w:ascii="Tahoma" w:hAnsi="Tahoma" w:hint="cs"/>
          <w:rtl/>
        </w:rPr>
        <w:t>מסכת ה</w:t>
      </w:r>
      <w:r>
        <w:rPr>
          <w:rFonts w:ascii="Tahoma" w:hAnsi="Tahoma" w:hint="cs"/>
          <w:rtl/>
        </w:rPr>
        <w:t xml:space="preserve">מעשים תוארה </w:t>
      </w:r>
      <w:r w:rsidRPr="003B19FB">
        <w:rPr>
          <w:rFonts w:ascii="Tahoma" w:hAnsi="Tahoma" w:hint="cs"/>
          <w:rtl/>
        </w:rPr>
        <w:t>ונקבעה בהרחבה בהכרעת הדין ואין צורך לחזור עליה כאן. בתמצית שבתמצית ולצרכי גזר הדין בלבד</w:t>
      </w:r>
      <w:r>
        <w:rPr>
          <w:rFonts w:ascii="Tahoma" w:hAnsi="Tahoma" w:hint="cs"/>
          <w:rtl/>
        </w:rPr>
        <w:t xml:space="preserve"> יצוין </w:t>
      </w:r>
      <w:r w:rsidRPr="003B19FB">
        <w:rPr>
          <w:rFonts w:ascii="Tahoma" w:hAnsi="Tahoma" w:hint="cs"/>
          <w:rtl/>
        </w:rPr>
        <w:t xml:space="preserve">כי בשעה 10:00 בקירוב הודיע הנאשם למתלוננת </w:t>
      </w:r>
      <w:r>
        <w:rPr>
          <w:rFonts w:ascii="Tahoma" w:hAnsi="Tahoma" w:hint="cs"/>
          <w:rtl/>
        </w:rPr>
        <w:t>ש</w:t>
      </w:r>
      <w:r w:rsidRPr="003B19FB">
        <w:rPr>
          <w:rFonts w:ascii="Tahoma" w:hAnsi="Tahoma" w:hint="cs"/>
          <w:rtl/>
        </w:rPr>
        <w:t xml:space="preserve">הוא מתכוון להתאבד באותו היום, בשעה 22:00, בבית </w:t>
      </w:r>
      <w:r>
        <w:rPr>
          <w:rFonts w:ascii="Tahoma" w:hAnsi="Tahoma" w:hint="cs"/>
          <w:rtl/>
        </w:rPr>
        <w:t>ה</w:t>
      </w:r>
      <w:r w:rsidRPr="003B19FB">
        <w:rPr>
          <w:rFonts w:ascii="Tahoma" w:hAnsi="Tahoma" w:hint="cs"/>
          <w:rtl/>
        </w:rPr>
        <w:t xml:space="preserve">עלמין שבהרצליה, ודרש ממנה </w:t>
      </w:r>
      <w:r w:rsidRPr="003B19FB">
        <w:rPr>
          <w:rFonts w:ascii="Tahoma" w:hAnsi="Tahoma"/>
          <w:rtl/>
        </w:rPr>
        <w:t>–</w:t>
      </w:r>
      <w:r w:rsidRPr="003B19FB">
        <w:rPr>
          <w:rFonts w:ascii="Tahoma" w:hAnsi="Tahoma" w:hint="cs"/>
          <w:rtl/>
        </w:rPr>
        <w:t xml:space="preserve"> בניגוד לרצונה </w:t>
      </w:r>
      <w:r w:rsidRPr="003B19FB">
        <w:rPr>
          <w:rFonts w:ascii="Tahoma" w:hAnsi="Tahoma"/>
          <w:rtl/>
        </w:rPr>
        <w:t>–</w:t>
      </w:r>
      <w:r w:rsidRPr="003B19FB">
        <w:rPr>
          <w:rFonts w:ascii="Tahoma" w:hAnsi="Tahoma" w:hint="cs"/>
          <w:rtl/>
        </w:rPr>
        <w:t xml:space="preserve"> להישאר עמו וללוות אותו. מאותה שעה </w:t>
      </w:r>
      <w:r>
        <w:rPr>
          <w:rFonts w:ascii="Tahoma" w:hAnsi="Tahoma" w:hint="cs"/>
          <w:rtl/>
        </w:rPr>
        <w:t xml:space="preserve">ואילך </w:t>
      </w:r>
      <w:r w:rsidRPr="003B19FB">
        <w:rPr>
          <w:rFonts w:ascii="Tahoma" w:hAnsi="Tahoma" w:hint="cs"/>
          <w:rtl/>
        </w:rPr>
        <w:t>כלא הנאשם את המתלוננת בבית, בין השאר בכך שנעל אותה בקומה העליונה. הנאשם אף מנע מהמתלוננת ליצור קשר עם אחרים ונטל ממנה את מכשיר הטלפון הנייד שלה.</w:t>
      </w:r>
    </w:p>
    <w:p w14:paraId="3F2038D6" w14:textId="77777777" w:rsidR="008D243B" w:rsidRDefault="008D243B" w:rsidP="008D243B">
      <w:pPr>
        <w:spacing w:after="120" w:line="360" w:lineRule="auto"/>
        <w:ind w:left="720"/>
        <w:jc w:val="both"/>
        <w:rPr>
          <w:rFonts w:ascii="Tahoma" w:hAnsi="Tahoma"/>
        </w:rPr>
      </w:pPr>
      <w:r w:rsidRPr="008637C4">
        <w:rPr>
          <w:rFonts w:ascii="Tahoma" w:hAnsi="Tahoma" w:hint="cs"/>
          <w:rtl/>
        </w:rPr>
        <w:lastRenderedPageBreak/>
        <w:t xml:space="preserve">בשלב מסוים תקף הנאשם את המתלוננת, כאשר זו ניסתה לצעוק לעזרה, בכך שתפס אותה בכוח, השכיב אותה על המיטה כשהוא רוכן מעליה וחסם את פיה באמצעות ידיו. בסמוך לשעה 22:00 דרש הנאשם מהמתלוננת לצאת עמו מהבית. הנאשם הכניס את המתלוננת לרכב, בעודו אוחז בה, והחל לנסוע לכיוון בית העלמין. במהלך הנסיעה ברחה המתלוננת מהרכב והתקשרה למשטרה (באמצעות הטלפון שאותו הצליחה לקחת עמה), ובכך הסתיים האירוע. </w:t>
      </w:r>
    </w:p>
    <w:p w14:paraId="523152F1" w14:textId="77777777" w:rsidR="008D243B" w:rsidRDefault="008D243B" w:rsidP="008D243B">
      <w:pPr>
        <w:spacing w:after="120" w:line="360" w:lineRule="auto"/>
        <w:ind w:left="720"/>
        <w:jc w:val="both"/>
        <w:rPr>
          <w:rFonts w:ascii="Tahoma" w:hAnsi="Tahoma"/>
        </w:rPr>
      </w:pPr>
      <w:r w:rsidRPr="008637C4">
        <w:rPr>
          <w:rFonts w:ascii="Tahoma" w:hAnsi="Tahoma" w:hint="cs"/>
          <w:rtl/>
        </w:rPr>
        <w:t>בנוסף, באותן הנסיבות</w:t>
      </w:r>
      <w:r>
        <w:rPr>
          <w:rFonts w:ascii="Tahoma" w:hAnsi="Tahoma" w:hint="cs"/>
          <w:rtl/>
        </w:rPr>
        <w:t xml:space="preserve"> החזיק ה</w:t>
      </w:r>
      <w:r w:rsidRPr="008637C4">
        <w:rPr>
          <w:rFonts w:ascii="Tahoma" w:hAnsi="Tahoma" w:hint="cs"/>
          <w:rtl/>
        </w:rPr>
        <w:t>נאשם והשתמש, בבית, בסמים מסוכנים מסוג קנבוס, במשקל 3.60 גרם נטו.</w:t>
      </w:r>
    </w:p>
    <w:p w14:paraId="4947C24A" w14:textId="77777777" w:rsidR="008D243B" w:rsidRPr="00E8658F" w:rsidRDefault="008D243B" w:rsidP="008D243B">
      <w:pPr>
        <w:numPr>
          <w:ilvl w:val="0"/>
          <w:numId w:val="1"/>
        </w:numPr>
        <w:tabs>
          <w:tab w:val="num" w:pos="720"/>
        </w:tabs>
        <w:spacing w:after="120" w:line="360" w:lineRule="auto"/>
        <w:ind w:left="720"/>
        <w:jc w:val="both"/>
        <w:rPr>
          <w:rFonts w:ascii="Tahoma" w:hAnsi="Tahoma"/>
          <w:rtl/>
        </w:rPr>
      </w:pPr>
      <w:r>
        <w:rPr>
          <w:rFonts w:ascii="Tahoma" w:hAnsi="Tahoma" w:hint="cs"/>
          <w:rtl/>
        </w:rPr>
        <w:t xml:space="preserve">לרקע הקביעות העובדתיות הנ"ל הורשע הנאשם, בהכרעת הדין, </w:t>
      </w:r>
      <w:r w:rsidRPr="00E8658F">
        <w:rPr>
          <w:rFonts w:ascii="Tahoma" w:hAnsi="Tahoma" w:hint="cs"/>
          <w:rtl/>
        </w:rPr>
        <w:t xml:space="preserve">בעבירות הבאות: </w:t>
      </w:r>
      <w:r w:rsidRPr="00E8658F">
        <w:rPr>
          <w:rFonts w:ascii="Tahoma" w:hAnsi="Tahoma" w:hint="cs"/>
          <w:b/>
          <w:bCs/>
          <w:rtl/>
        </w:rPr>
        <w:t>כליאת שווא</w:t>
      </w:r>
      <w:r w:rsidRPr="00E8658F">
        <w:rPr>
          <w:rFonts w:ascii="Tahoma" w:hAnsi="Tahoma" w:hint="cs"/>
          <w:rtl/>
        </w:rPr>
        <w:t xml:space="preserve">, לפי הוראות </w:t>
      </w:r>
      <w:hyperlink r:id="rId17" w:history="1">
        <w:r w:rsidR="00300CD5" w:rsidRPr="00300CD5">
          <w:rPr>
            <w:rFonts w:ascii="Tahoma" w:hAnsi="Tahoma"/>
            <w:color w:val="0000FF"/>
            <w:u w:val="single"/>
            <w:rtl/>
          </w:rPr>
          <w:t>סעיף 377</w:t>
        </w:r>
      </w:hyperlink>
      <w:r w:rsidRPr="00E8658F">
        <w:rPr>
          <w:rFonts w:ascii="Tahoma" w:hAnsi="Tahoma" w:hint="cs"/>
          <w:rtl/>
        </w:rPr>
        <w:t xml:space="preserve"> רישא ל</w:t>
      </w:r>
      <w:hyperlink r:id="rId18" w:history="1">
        <w:r w:rsidR="00AD274D" w:rsidRPr="00AD274D">
          <w:rPr>
            <w:rFonts w:ascii="Tahoma" w:hAnsi="Tahoma"/>
            <w:color w:val="0000FF"/>
            <w:u w:val="single"/>
            <w:rtl/>
          </w:rPr>
          <w:t>חוק העונשין</w:t>
        </w:r>
      </w:hyperlink>
      <w:r w:rsidRPr="00E8658F">
        <w:rPr>
          <w:rFonts w:ascii="Tahoma" w:hAnsi="Tahoma"/>
          <w:rtl/>
        </w:rPr>
        <w:t xml:space="preserve">, </w:t>
      </w:r>
      <w:r>
        <w:rPr>
          <w:rFonts w:ascii="Tahoma" w:hAnsi="Tahoma"/>
          <w:rtl/>
        </w:rPr>
        <w:t>תשל"ז-1977 (להלן – חוק העונשין)</w:t>
      </w:r>
      <w:r w:rsidRPr="00E8658F">
        <w:rPr>
          <w:rFonts w:ascii="Tahoma" w:hAnsi="Tahoma" w:hint="cs"/>
          <w:rtl/>
        </w:rPr>
        <w:t xml:space="preserve">; </w:t>
      </w:r>
      <w:r w:rsidRPr="00E8658F">
        <w:rPr>
          <w:rFonts w:ascii="Tahoma" w:hAnsi="Tahoma" w:hint="cs"/>
          <w:b/>
          <w:bCs/>
          <w:rtl/>
        </w:rPr>
        <w:t>תקיפה סתם – בן זוג</w:t>
      </w:r>
      <w:r w:rsidRPr="00E8658F">
        <w:rPr>
          <w:rFonts w:ascii="Tahoma" w:hAnsi="Tahoma" w:hint="cs"/>
          <w:rtl/>
        </w:rPr>
        <w:t xml:space="preserve">, לפי הוראות </w:t>
      </w:r>
      <w:hyperlink r:id="rId19" w:history="1">
        <w:r w:rsidR="00300CD5" w:rsidRPr="00300CD5">
          <w:rPr>
            <w:rFonts w:ascii="Tahoma" w:hAnsi="Tahoma"/>
            <w:color w:val="0000FF"/>
            <w:u w:val="single"/>
            <w:rtl/>
          </w:rPr>
          <w:t>סעיף 382(ב)</w:t>
        </w:r>
      </w:hyperlink>
      <w:r w:rsidRPr="00E8658F">
        <w:rPr>
          <w:rFonts w:ascii="Tahoma" w:hAnsi="Tahoma" w:hint="cs"/>
          <w:rtl/>
        </w:rPr>
        <w:t xml:space="preserve"> לחוק העונשין; ו</w:t>
      </w:r>
      <w:r w:rsidRPr="00E8658F">
        <w:rPr>
          <w:rFonts w:ascii="Tahoma" w:hAnsi="Tahoma" w:hint="cs"/>
          <w:b/>
          <w:bCs/>
          <w:rtl/>
        </w:rPr>
        <w:t>החזקה ושימוש בסמים לצריכה עצמית</w:t>
      </w:r>
      <w:r w:rsidRPr="00E8658F">
        <w:rPr>
          <w:rFonts w:ascii="Tahoma" w:hAnsi="Tahoma" w:hint="cs"/>
          <w:rtl/>
        </w:rPr>
        <w:t xml:space="preserve">, לפי הוראות </w:t>
      </w:r>
      <w:hyperlink r:id="rId20" w:history="1">
        <w:r w:rsidR="00300CD5" w:rsidRPr="00300CD5">
          <w:rPr>
            <w:rFonts w:ascii="Tahoma" w:hAnsi="Tahoma"/>
            <w:color w:val="0000FF"/>
            <w:u w:val="single"/>
            <w:rtl/>
          </w:rPr>
          <w:t>סעיף 7(א)</w:t>
        </w:r>
      </w:hyperlink>
      <w:r w:rsidRPr="00E8658F">
        <w:rPr>
          <w:rFonts w:ascii="Tahoma" w:hAnsi="Tahoma" w:hint="cs"/>
          <w:rtl/>
        </w:rPr>
        <w:t xml:space="preserve"> יחד עם </w:t>
      </w:r>
      <w:hyperlink r:id="rId21" w:history="1">
        <w:r w:rsidR="00300CD5" w:rsidRPr="00300CD5">
          <w:rPr>
            <w:rFonts w:ascii="Tahoma" w:hAnsi="Tahoma"/>
            <w:color w:val="0000FF"/>
            <w:u w:val="single"/>
            <w:rtl/>
          </w:rPr>
          <w:t>סעיף 7(ג)</w:t>
        </w:r>
      </w:hyperlink>
      <w:r w:rsidRPr="00E8658F">
        <w:rPr>
          <w:rFonts w:ascii="Tahoma" w:hAnsi="Tahoma" w:hint="cs"/>
          <w:rtl/>
        </w:rPr>
        <w:t xml:space="preserve"> סיפא ל</w:t>
      </w:r>
      <w:hyperlink r:id="rId22" w:history="1">
        <w:r w:rsidR="00AD274D" w:rsidRPr="00AD274D">
          <w:rPr>
            <w:rFonts w:ascii="Tahoma" w:hAnsi="Tahoma"/>
            <w:color w:val="0000FF"/>
            <w:u w:val="single"/>
            <w:rtl/>
          </w:rPr>
          <w:t>פקודת הסמים המסוכנים</w:t>
        </w:r>
      </w:hyperlink>
      <w:r w:rsidRPr="00E8658F">
        <w:rPr>
          <w:rFonts w:ascii="Tahoma" w:hAnsi="Tahoma"/>
          <w:rtl/>
        </w:rPr>
        <w:t xml:space="preserve"> [נוסח חדש], תשל"ג-1973 (להלן – פקודת הסמים</w:t>
      </w:r>
      <w:r>
        <w:rPr>
          <w:rFonts w:ascii="Tahoma" w:hAnsi="Tahoma" w:hint="cs"/>
          <w:rtl/>
        </w:rPr>
        <w:t xml:space="preserve"> המסוכנים</w:t>
      </w:r>
      <w:r w:rsidRPr="00E8658F">
        <w:rPr>
          <w:rFonts w:ascii="Tahoma" w:hAnsi="Tahoma"/>
          <w:rtl/>
        </w:rPr>
        <w:t>)</w:t>
      </w:r>
      <w:r w:rsidRPr="00E8658F">
        <w:rPr>
          <w:rFonts w:ascii="Tahoma" w:hAnsi="Tahoma" w:hint="cs"/>
          <w:rtl/>
        </w:rPr>
        <w:t xml:space="preserve">. הנאשם זוכה מהעבירה של </w:t>
      </w:r>
      <w:r w:rsidRPr="00E8658F">
        <w:rPr>
          <w:rFonts w:ascii="Tahoma" w:hAnsi="Tahoma" w:hint="cs"/>
          <w:b/>
          <w:bCs/>
          <w:rtl/>
        </w:rPr>
        <w:t>איומים</w:t>
      </w:r>
      <w:r w:rsidRPr="00E8658F">
        <w:rPr>
          <w:rFonts w:ascii="Tahoma" w:hAnsi="Tahoma" w:hint="cs"/>
          <w:rtl/>
        </w:rPr>
        <w:t xml:space="preserve">, לפי הוראות </w:t>
      </w:r>
      <w:hyperlink r:id="rId23" w:history="1">
        <w:r w:rsidR="00300CD5" w:rsidRPr="00300CD5">
          <w:rPr>
            <w:rFonts w:ascii="Tahoma" w:hAnsi="Tahoma"/>
            <w:color w:val="0000FF"/>
            <w:u w:val="single"/>
            <w:rtl/>
          </w:rPr>
          <w:t>סעיף 192</w:t>
        </w:r>
      </w:hyperlink>
      <w:r w:rsidRPr="00E8658F">
        <w:rPr>
          <w:rFonts w:ascii="Tahoma" w:hAnsi="Tahoma" w:hint="cs"/>
          <w:rtl/>
        </w:rPr>
        <w:t xml:space="preserve"> ל</w:t>
      </w:r>
      <w:hyperlink r:id="rId24" w:history="1">
        <w:r w:rsidR="00AD274D" w:rsidRPr="00AD274D">
          <w:rPr>
            <w:rFonts w:ascii="Tahoma" w:hAnsi="Tahoma"/>
            <w:color w:val="0000FF"/>
            <w:u w:val="single"/>
            <w:rtl/>
          </w:rPr>
          <w:t>חוק העונשין</w:t>
        </w:r>
      </w:hyperlink>
      <w:r w:rsidRPr="00E8658F">
        <w:rPr>
          <w:rFonts w:ascii="Tahoma" w:hAnsi="Tahoma" w:hint="cs"/>
          <w:rtl/>
        </w:rPr>
        <w:t>.</w:t>
      </w:r>
    </w:p>
    <w:p w14:paraId="60F56972" w14:textId="77777777" w:rsidR="008D243B" w:rsidRDefault="008D243B" w:rsidP="008D243B">
      <w:pPr>
        <w:numPr>
          <w:ilvl w:val="0"/>
          <w:numId w:val="1"/>
        </w:numPr>
        <w:tabs>
          <w:tab w:val="num" w:pos="720"/>
        </w:tabs>
        <w:spacing w:after="120" w:line="360" w:lineRule="auto"/>
        <w:ind w:left="720"/>
        <w:jc w:val="both"/>
        <w:rPr>
          <w:rFonts w:ascii="Tahoma" w:hAnsi="Tahoma"/>
        </w:rPr>
      </w:pPr>
      <w:r>
        <w:rPr>
          <w:rFonts w:ascii="Tahoma" w:hAnsi="Tahoma" w:hint="cs"/>
          <w:rtl/>
        </w:rPr>
        <w:t xml:space="preserve">הנאשם הורשע, כאמור, לאחר שמיעת הראיות, אך עד שהתיק הגיע לשמיעת הראיות הוא ידע דחיות רבות, במסגרת הדיונים המקדמיים, בשל בקשות שונות של הנאשם ושינויים בעמדותיו. </w:t>
      </w:r>
      <w:r w:rsidRPr="00163D98">
        <w:rPr>
          <w:rFonts w:ascii="Tahoma" w:hAnsi="Tahoma" w:hint="cs"/>
          <w:rtl/>
        </w:rPr>
        <w:t>בתחילת ה</w:t>
      </w:r>
      <w:r>
        <w:rPr>
          <w:rFonts w:ascii="Tahoma" w:hAnsi="Tahoma" w:hint="cs"/>
          <w:rtl/>
        </w:rPr>
        <w:t xml:space="preserve">דרך </w:t>
      </w:r>
      <w:r w:rsidRPr="00163D98">
        <w:rPr>
          <w:rFonts w:ascii="Tahoma" w:hAnsi="Tahoma" w:hint="cs"/>
          <w:rtl/>
        </w:rPr>
        <w:t>עתרה ההגנה לשליחת הנאשם לבדיקה פסיכיאטרית</w:t>
      </w:r>
      <w:r>
        <w:rPr>
          <w:rFonts w:ascii="Tahoma" w:hAnsi="Tahoma" w:hint="cs"/>
          <w:rtl/>
        </w:rPr>
        <w:t xml:space="preserve">, אך בחוות הדעת שנתקבלה </w:t>
      </w:r>
      <w:r>
        <w:rPr>
          <w:rFonts w:ascii="Tahoma" w:hAnsi="Tahoma"/>
          <w:rtl/>
        </w:rPr>
        <w:t>–</w:t>
      </w:r>
      <w:r>
        <w:rPr>
          <w:rFonts w:ascii="Tahoma" w:hAnsi="Tahoma" w:hint="cs"/>
          <w:rtl/>
        </w:rPr>
        <w:t xml:space="preserve"> לאחר חלוף זמן ממושך </w:t>
      </w:r>
      <w:r>
        <w:rPr>
          <w:rFonts w:ascii="Tahoma" w:hAnsi="Tahoma"/>
          <w:rtl/>
        </w:rPr>
        <w:t>–</w:t>
      </w:r>
      <w:r>
        <w:rPr>
          <w:rFonts w:ascii="Tahoma" w:hAnsi="Tahoma" w:hint="cs"/>
          <w:rtl/>
        </w:rPr>
        <w:t xml:space="preserve"> </w:t>
      </w:r>
      <w:r w:rsidRPr="00163D98">
        <w:rPr>
          <w:rFonts w:ascii="Tahoma" w:hAnsi="Tahoma" w:hint="cs"/>
          <w:rtl/>
        </w:rPr>
        <w:t>נקבע כי לא נמצאה אצל הנאשם עדות לקיומה של הפרעה נפשית בולטת כלשהי.</w:t>
      </w:r>
      <w:r>
        <w:rPr>
          <w:rFonts w:ascii="Tahoma" w:hAnsi="Tahoma" w:hint="cs"/>
          <w:rtl/>
        </w:rPr>
        <w:t xml:space="preserve"> לאחר מכן נדברה ההגנה עם המאשימה ובסופו של דבר הגיעה עמה להסכמות ולהסדר טיעון. הנאשם הודה בעובדות כתב אישום מתוקן, אשר הוגש במסגרת הסדר הטיעון, והורשע בהתאם (ר' ביתר הרחבה הסקירה שבפסקה 6 ואילך להכרעת הדין).</w:t>
      </w:r>
    </w:p>
    <w:p w14:paraId="41DB2F14" w14:textId="77777777" w:rsidR="008D243B" w:rsidRPr="00D66940" w:rsidRDefault="008D243B" w:rsidP="008D243B">
      <w:pPr>
        <w:numPr>
          <w:ilvl w:val="0"/>
          <w:numId w:val="1"/>
        </w:numPr>
        <w:tabs>
          <w:tab w:val="num" w:pos="720"/>
        </w:tabs>
        <w:spacing w:after="120" w:line="360" w:lineRule="auto"/>
        <w:ind w:left="720"/>
        <w:jc w:val="both"/>
        <w:rPr>
          <w:rFonts w:ascii="Tahoma" w:hAnsi="Tahoma"/>
        </w:rPr>
      </w:pPr>
      <w:r w:rsidRPr="00D66940">
        <w:rPr>
          <w:rFonts w:ascii="Tahoma" w:hAnsi="Tahoma" w:hint="cs"/>
          <w:rtl/>
        </w:rPr>
        <w:t>במסגרת הסדר הטיעון עתרו הצדדים במשותף לקבלת תסקיר שירות המבחן, שייבחן גם את האפשרות לביטול הרשעת הנאשם ולהשתת ענישה ללא הרשעה. בהתאם להחלטות בית המשפט נערכו בעניינו של הנאשם, בסופו של דבר, מספר תסקירים, אך בשורה התחתונה לא היה בידי שירות המבחן להמליץ על ענישה שיקומית בעניינו של הנאשם וממילא גם לא על ביטול הרשעתו בדין. בשלב זה עתרה ההגנה לאפשר לנאשם לחזור בו מהודייתו ולבטל את ה</w:t>
      </w:r>
      <w:r>
        <w:rPr>
          <w:rFonts w:ascii="Tahoma" w:hAnsi="Tahoma" w:hint="cs"/>
          <w:rtl/>
        </w:rPr>
        <w:t xml:space="preserve">הרשעה, בין השאר בטענה שההרשעה </w:t>
      </w:r>
      <w:r w:rsidRPr="00D66940">
        <w:rPr>
          <w:rFonts w:ascii="Tahoma" w:hAnsi="Tahoma" w:hint="cs"/>
          <w:rtl/>
        </w:rPr>
        <w:t>עלולה לפגוע קשות בפרנסתו. חרף התנגדות המאשימה לבקשה</w:t>
      </w:r>
      <w:r>
        <w:rPr>
          <w:rFonts w:ascii="Tahoma" w:hAnsi="Tahoma" w:hint="cs"/>
          <w:rtl/>
        </w:rPr>
        <w:t xml:space="preserve"> </w:t>
      </w:r>
      <w:r w:rsidRPr="00D66940">
        <w:rPr>
          <w:rFonts w:ascii="Tahoma" w:hAnsi="Tahoma" w:hint="cs"/>
          <w:rtl/>
        </w:rPr>
        <w:t>בית המשפט נעתר לה. התיק הועבר אפוא לשמיעת הראיות לפניי.</w:t>
      </w:r>
    </w:p>
    <w:p w14:paraId="10A9E4FD" w14:textId="77777777" w:rsidR="008D243B" w:rsidRDefault="008D243B" w:rsidP="008D243B">
      <w:pPr>
        <w:numPr>
          <w:ilvl w:val="0"/>
          <w:numId w:val="1"/>
        </w:numPr>
        <w:tabs>
          <w:tab w:val="num" w:pos="720"/>
        </w:tabs>
        <w:spacing w:after="120" w:line="360" w:lineRule="auto"/>
        <w:ind w:left="720"/>
        <w:jc w:val="both"/>
        <w:rPr>
          <w:rFonts w:ascii="Tahoma" w:hAnsi="Tahoma"/>
        </w:rPr>
      </w:pPr>
      <w:r>
        <w:rPr>
          <w:rFonts w:ascii="Tahoma" w:hAnsi="Tahoma" w:hint="cs"/>
          <w:rtl/>
        </w:rPr>
        <w:t xml:space="preserve">תשובת הנאשם לאישום ניתנה מפי בא-כוחו, בעל-פה ובכתב. ב"כ הנאשם ביקש לצמצם את המחלוקת עם המאשימה ולמקדה במישור הנורמטיבי גרידא. במסגרת זו טען ב"כ הנאשם כי הנאשם מודה כמעט בכל עובדות כתב האישום, אלא שהוא מוסיף וטוען כי האירוע מושא כתב האישום היה חלק ממערכת היחסים הזוגית המיוחדת שהתקיימה בינו לבין </w:t>
      </w:r>
      <w:r>
        <w:rPr>
          <w:rFonts w:ascii="Tahoma" w:hAnsi="Tahoma" w:hint="cs"/>
          <w:rtl/>
        </w:rPr>
        <w:lastRenderedPageBreak/>
        <w:t>המתלוננת. מערכת יחסים זו, כך טען הסניגור, התאפיינה ב"</w:t>
      </w:r>
      <w:r w:rsidRPr="006F2111">
        <w:rPr>
          <w:rFonts w:ascii="Tahoma" w:hAnsi="Tahoma"/>
          <w:b/>
          <w:bCs/>
          <w:rtl/>
        </w:rPr>
        <w:t xml:space="preserve">מאפיינים שונים של ניסוי, תהיה, חקר מצבי קיצון לרבות הפעלת כוח הדדית בין המתלוננת לנאשם. באופן זה ניהלו הצדדים 'משחק' מוסכם, שכלליו לרבות לתפישת הנאשם, </w:t>
      </w:r>
      <w:r w:rsidRPr="000706BA">
        <w:rPr>
          <w:rFonts w:ascii="Tahoma" w:hAnsi="Tahoma"/>
          <w:b/>
          <w:bCs/>
          <w:rtl/>
        </w:rPr>
        <w:t>היו מקובלים על הצדדים</w:t>
      </w:r>
      <w:r>
        <w:rPr>
          <w:rFonts w:ascii="Tahoma" w:hAnsi="Tahoma"/>
          <w:rtl/>
        </w:rPr>
        <w:t>".</w:t>
      </w:r>
    </w:p>
    <w:p w14:paraId="60C285C4" w14:textId="77777777" w:rsidR="008D243B" w:rsidRPr="000A4217" w:rsidRDefault="008D243B" w:rsidP="008D243B">
      <w:pPr>
        <w:numPr>
          <w:ilvl w:val="0"/>
          <w:numId w:val="1"/>
        </w:numPr>
        <w:tabs>
          <w:tab w:val="num" w:pos="720"/>
        </w:tabs>
        <w:spacing w:after="120" w:line="360" w:lineRule="auto"/>
        <w:ind w:left="720"/>
        <w:jc w:val="both"/>
        <w:rPr>
          <w:rFonts w:ascii="Tahoma" w:hAnsi="Tahoma"/>
        </w:rPr>
      </w:pPr>
      <w:r w:rsidRPr="000A4217">
        <w:rPr>
          <w:rFonts w:ascii="Tahoma" w:hAnsi="Tahoma" w:hint="cs"/>
          <w:rtl/>
        </w:rPr>
        <w:t xml:space="preserve">ראוי אפוא לציין, כי במהלך המשפט הסתבר </w:t>
      </w:r>
      <w:r w:rsidRPr="000A4217">
        <w:rPr>
          <w:rFonts w:ascii="Tahoma" w:hAnsi="Tahoma"/>
          <w:rtl/>
        </w:rPr>
        <w:t>–</w:t>
      </w:r>
      <w:r w:rsidRPr="000A4217">
        <w:rPr>
          <w:rFonts w:ascii="Tahoma" w:hAnsi="Tahoma" w:hint="cs"/>
          <w:rtl/>
        </w:rPr>
        <w:t xml:space="preserve"> חרף הגדרת המחלוקת על-ידי הסניגור כאמור לעיל </w:t>
      </w:r>
      <w:r w:rsidRPr="000A4217">
        <w:rPr>
          <w:rFonts w:ascii="Tahoma" w:hAnsi="Tahoma"/>
          <w:rtl/>
        </w:rPr>
        <w:t>–</w:t>
      </w:r>
      <w:r w:rsidRPr="000A4217">
        <w:rPr>
          <w:rFonts w:ascii="Tahoma" w:hAnsi="Tahoma" w:hint="cs"/>
          <w:rtl/>
        </w:rPr>
        <w:t xml:space="preserve"> שגרסתו העובדתית של הנאשם שונה מהותית מגרסת המתלוננת (ר' בפסקה 48 להכרעת הדין ואילך). מכל מקום, בהכרעת הדין נקבע כי גרסת המתלוננת היא גרסת אמת, העדיפה על </w:t>
      </w:r>
      <w:r>
        <w:rPr>
          <w:rFonts w:ascii="Tahoma" w:hAnsi="Tahoma" w:hint="cs"/>
          <w:rtl/>
        </w:rPr>
        <w:t xml:space="preserve">פני </w:t>
      </w:r>
      <w:r w:rsidRPr="000A4217">
        <w:rPr>
          <w:rFonts w:ascii="Tahoma" w:hAnsi="Tahoma" w:hint="cs"/>
          <w:rtl/>
        </w:rPr>
        <w:t>גרסת ה</w:t>
      </w:r>
      <w:r>
        <w:rPr>
          <w:rFonts w:ascii="Tahoma" w:hAnsi="Tahoma" w:hint="cs"/>
          <w:rtl/>
        </w:rPr>
        <w:t xml:space="preserve">נאשם </w:t>
      </w:r>
      <w:r w:rsidRPr="000A4217">
        <w:rPr>
          <w:rFonts w:ascii="Tahoma" w:hAnsi="Tahoma" w:hint="cs"/>
          <w:rtl/>
        </w:rPr>
        <w:t xml:space="preserve">ונתמכת בראיות נוספות ובמכלול נסיבות העניין (שם, בפסקה 56 ואילך). בהקשר זה </w:t>
      </w:r>
      <w:r>
        <w:rPr>
          <w:rFonts w:ascii="Tahoma" w:hAnsi="Tahoma" w:hint="cs"/>
          <w:rtl/>
        </w:rPr>
        <w:t xml:space="preserve">ראוי </w:t>
      </w:r>
      <w:r w:rsidRPr="000A4217">
        <w:rPr>
          <w:rFonts w:ascii="Tahoma" w:hAnsi="Tahoma" w:hint="cs"/>
          <w:rtl/>
        </w:rPr>
        <w:t xml:space="preserve">גם לציין, כי כבר במהלך חקירת המשטרה ביקשה המתלוננת לבטל את תלונתה, הגם שעמדה על אמיתותה, וגם לפניי ציינה המתלוננת </w:t>
      </w:r>
      <w:r>
        <w:rPr>
          <w:rFonts w:ascii="Tahoma" w:hAnsi="Tahoma" w:hint="cs"/>
          <w:rtl/>
        </w:rPr>
        <w:t xml:space="preserve">כי </w:t>
      </w:r>
      <w:r w:rsidRPr="000A4217">
        <w:rPr>
          <w:rFonts w:ascii="Tahoma" w:hAnsi="Tahoma" w:hint="cs"/>
          <w:rtl/>
        </w:rPr>
        <w:t xml:space="preserve">אהבה </w:t>
      </w:r>
      <w:r>
        <w:rPr>
          <w:rFonts w:ascii="Tahoma" w:hAnsi="Tahoma" w:hint="cs"/>
          <w:rtl/>
        </w:rPr>
        <w:t xml:space="preserve">מאוד </w:t>
      </w:r>
      <w:r w:rsidRPr="000A4217">
        <w:rPr>
          <w:rFonts w:ascii="Tahoma" w:hAnsi="Tahoma" w:hint="cs"/>
          <w:rtl/>
        </w:rPr>
        <w:t>את הנאשם ואינה רוצה לגרום לו שום נזק.</w:t>
      </w:r>
    </w:p>
    <w:p w14:paraId="21929176" w14:textId="77777777" w:rsidR="008D243B" w:rsidRPr="00651101" w:rsidRDefault="008D243B" w:rsidP="008D243B">
      <w:pPr>
        <w:numPr>
          <w:ilvl w:val="0"/>
          <w:numId w:val="1"/>
        </w:numPr>
        <w:tabs>
          <w:tab w:val="num" w:pos="720"/>
        </w:tabs>
        <w:spacing w:after="120" w:line="360" w:lineRule="auto"/>
        <w:ind w:left="720"/>
        <w:jc w:val="both"/>
        <w:rPr>
          <w:rFonts w:ascii="Tahoma" w:hAnsi="Tahoma"/>
        </w:rPr>
      </w:pPr>
      <w:r>
        <w:rPr>
          <w:rFonts w:ascii="Tahoma" w:hAnsi="Tahoma" w:hint="cs"/>
          <w:rtl/>
        </w:rPr>
        <w:t>באשר לטענת ההגנה כי התרחשויות יום האירוע לא היו אלא "משחק", בהכרעת הדין נדחתה הטענה הן ברובד העובדתי והן ברוב המשפטי. ברובד העובדתי נקבע, כי מעשי הנאשם נעשו שלא בהסכמתה של המתלוננת, תוך חציית גבולות ופגיעה בה. ברובד המשפטי נקבע, כי גם אם סבר הנאשם, באמת ובתמים, שמעשיו ביום האירוע היו סוג של משחק, אין בכך כדי לפטור אותו מאחריות (בפסקה 67 להכרעת הדין ואילך). הנאשם הורשע אפוא, כאמור, בעבירות שפורטו בפסקה 3 דלעיל.</w:t>
      </w:r>
    </w:p>
    <w:p w14:paraId="0EE32CDE" w14:textId="77777777" w:rsidR="008D243B" w:rsidRDefault="008D243B" w:rsidP="008D243B">
      <w:pPr>
        <w:spacing w:after="120" w:line="360" w:lineRule="auto"/>
        <w:jc w:val="both"/>
        <w:rPr>
          <w:rFonts w:ascii="Tahoma" w:hAnsi="Tahoma"/>
          <w:rtl/>
        </w:rPr>
      </w:pPr>
    </w:p>
    <w:p w14:paraId="3C3D01B0" w14:textId="77777777" w:rsidR="008D243B" w:rsidRPr="00651101" w:rsidRDefault="008D243B" w:rsidP="008D243B">
      <w:pPr>
        <w:spacing w:after="120" w:line="360" w:lineRule="auto"/>
        <w:jc w:val="both"/>
        <w:rPr>
          <w:rFonts w:ascii="Tahoma" w:hAnsi="Tahoma"/>
          <w:b/>
          <w:bCs/>
        </w:rPr>
      </w:pPr>
      <w:r w:rsidRPr="00651101">
        <w:rPr>
          <w:rFonts w:ascii="Tahoma" w:hAnsi="Tahoma" w:hint="cs"/>
          <w:b/>
          <w:bCs/>
          <w:rtl/>
        </w:rPr>
        <w:t>ב.</w:t>
      </w:r>
      <w:r w:rsidRPr="00651101">
        <w:rPr>
          <w:rFonts w:ascii="Tahoma" w:hAnsi="Tahoma"/>
          <w:b/>
          <w:bCs/>
          <w:rtl/>
        </w:rPr>
        <w:tab/>
      </w:r>
      <w:r w:rsidRPr="00651101">
        <w:rPr>
          <w:rFonts w:ascii="Tahoma" w:hAnsi="Tahoma" w:hint="cs"/>
          <w:b/>
          <w:bCs/>
          <w:u w:val="single"/>
          <w:rtl/>
        </w:rPr>
        <w:t>תסקיר שירות המבחן:</w:t>
      </w:r>
    </w:p>
    <w:p w14:paraId="0B7689E4" w14:textId="77777777" w:rsidR="008D243B" w:rsidRDefault="008D243B" w:rsidP="008D243B">
      <w:pPr>
        <w:numPr>
          <w:ilvl w:val="0"/>
          <w:numId w:val="1"/>
        </w:numPr>
        <w:tabs>
          <w:tab w:val="num" w:pos="720"/>
        </w:tabs>
        <w:spacing w:after="120" w:line="360" w:lineRule="auto"/>
        <w:ind w:left="720"/>
        <w:jc w:val="both"/>
        <w:rPr>
          <w:rFonts w:ascii="Tahoma" w:hAnsi="Tahoma"/>
        </w:rPr>
      </w:pPr>
      <w:r>
        <w:rPr>
          <w:rFonts w:ascii="Tahoma" w:hAnsi="Tahoma" w:hint="cs"/>
          <w:rtl/>
        </w:rPr>
        <w:t>לאחר שניתנה הכרעת הדין עתר ב"כ הנאשם לקבלת תסקיר שירות המבחן, על אף שכאמור כבר נתקבלו מספר תסקירים בעניינו. ב"כ המאשימה לא התנגד לבקשה ולפנים משורת הדין נעתרתי לה (ר' בפרוטוקול, עמ' 52).</w:t>
      </w:r>
    </w:p>
    <w:p w14:paraId="5D94B835" w14:textId="77777777" w:rsidR="008D243B" w:rsidRPr="00AA7185" w:rsidRDefault="008D243B" w:rsidP="008D243B">
      <w:pPr>
        <w:numPr>
          <w:ilvl w:val="0"/>
          <w:numId w:val="1"/>
        </w:numPr>
        <w:tabs>
          <w:tab w:val="num" w:pos="720"/>
        </w:tabs>
        <w:spacing w:after="120" w:line="360" w:lineRule="auto"/>
        <w:ind w:left="720"/>
        <w:jc w:val="both"/>
        <w:rPr>
          <w:rFonts w:ascii="Tahoma" w:hAnsi="Tahoma"/>
        </w:rPr>
      </w:pPr>
      <w:r w:rsidRPr="00AA7185">
        <w:rPr>
          <w:rFonts w:ascii="Tahoma" w:hAnsi="Tahoma" w:hint="cs"/>
          <w:rtl/>
        </w:rPr>
        <w:t xml:space="preserve">התסקיר שנתקבל (מיום 18.12.18) היה שלילי, כקודמיו. בתסקיר צוין כי הנאשם מסר שאין לו מקום מגורים קבוע, שהוא לן בבתי חברים, ושירות המבחן אף הבין שאינו עובד באופן סדיר. בין השאר שיתף הנאשם את שירות המבחן בכך שהוא צורך סמים מסוג קנביס באופן אינטנסיבי. שתי בדיקות סמים מתוך ארבע שערך הנאשם </w:t>
      </w:r>
      <w:r w:rsidRPr="00AA7185">
        <w:rPr>
          <w:rFonts w:ascii="Tahoma" w:hAnsi="Tahoma"/>
          <w:rtl/>
        </w:rPr>
        <w:t>–</w:t>
      </w:r>
      <w:r w:rsidRPr="00AA7185">
        <w:rPr>
          <w:rFonts w:ascii="Tahoma" w:hAnsi="Tahoma" w:hint="cs"/>
          <w:rtl/>
        </w:rPr>
        <w:t xml:space="preserve"> על פי הפניית שירות המבחן </w:t>
      </w:r>
      <w:r w:rsidRPr="00AA7185">
        <w:rPr>
          <w:rFonts w:ascii="Tahoma" w:hAnsi="Tahoma"/>
          <w:rtl/>
        </w:rPr>
        <w:t>–</w:t>
      </w:r>
      <w:r w:rsidRPr="00AA7185">
        <w:rPr>
          <w:rFonts w:ascii="Tahoma" w:hAnsi="Tahoma" w:hint="cs"/>
          <w:rtl/>
        </w:rPr>
        <w:t xml:space="preserve"> איששו טענה זו, כאשר שתי בדיקות נוספות לא </w:t>
      </w:r>
      <w:r>
        <w:rPr>
          <w:rFonts w:ascii="Tahoma" w:hAnsi="Tahoma" w:hint="cs"/>
          <w:rtl/>
        </w:rPr>
        <w:t xml:space="preserve">בוצעו (לבדיקה האחרונה לא </w:t>
      </w:r>
      <w:r w:rsidRPr="00AA7185">
        <w:rPr>
          <w:rFonts w:ascii="Tahoma" w:hAnsi="Tahoma" w:hint="cs"/>
          <w:rtl/>
        </w:rPr>
        <w:t>הגיע הנאשם</w:t>
      </w:r>
      <w:r>
        <w:rPr>
          <w:rFonts w:ascii="Tahoma" w:hAnsi="Tahoma" w:hint="cs"/>
          <w:rtl/>
        </w:rPr>
        <w:t xml:space="preserve"> </w:t>
      </w:r>
      <w:r w:rsidRPr="00AA7185">
        <w:rPr>
          <w:rFonts w:ascii="Tahoma" w:hAnsi="Tahoma" w:hint="cs"/>
          <w:rtl/>
        </w:rPr>
        <w:t>בטענה שבחר לשהות במחיצת חברה המתמודדת עם מחלת הסרטן</w:t>
      </w:r>
      <w:r>
        <w:rPr>
          <w:rFonts w:ascii="Tahoma" w:hAnsi="Tahoma" w:hint="cs"/>
          <w:rtl/>
        </w:rPr>
        <w:t>)</w:t>
      </w:r>
      <w:r w:rsidRPr="00AA7185">
        <w:rPr>
          <w:rFonts w:ascii="Tahoma" w:hAnsi="Tahoma" w:hint="cs"/>
          <w:rtl/>
        </w:rPr>
        <w:t>.</w:t>
      </w:r>
    </w:p>
    <w:p w14:paraId="2D6BB4ED" w14:textId="77777777" w:rsidR="008D243B" w:rsidRDefault="008D243B" w:rsidP="008D243B">
      <w:pPr>
        <w:numPr>
          <w:ilvl w:val="0"/>
          <w:numId w:val="1"/>
        </w:numPr>
        <w:tabs>
          <w:tab w:val="num" w:pos="720"/>
        </w:tabs>
        <w:spacing w:after="120" w:line="360" w:lineRule="auto"/>
        <w:ind w:left="720"/>
        <w:jc w:val="both"/>
        <w:rPr>
          <w:rFonts w:ascii="Tahoma" w:hAnsi="Tahoma"/>
        </w:rPr>
      </w:pPr>
      <w:r>
        <w:rPr>
          <w:rFonts w:ascii="Tahoma" w:hAnsi="Tahoma" w:hint="cs"/>
          <w:rtl/>
        </w:rPr>
        <w:t>שירות המבחן ביקש להפנות את הנאשם לאבחון פסיכיאטרי, אך לכך הגיב הנאשם בכעס ואף נקט בגישה תוקפנית (ר' בעמ' 2 לתסקיר). שירות המבחן התרשם אפוא כי הנאשם מתבצר בעמדתו הקורבנית ובתפיסותיו הנוקשות ואינו מקבל את סמכותו המקצועית של השירות. בנסיבות אלה העריך שירות המבחן כי אין מקום למעורבות טיפולית והמליץ להטיל על הנאשם ענישה קונקרטית, מציבת גבולות, שתחדד לנאשם את חומרת מצבו.</w:t>
      </w:r>
    </w:p>
    <w:p w14:paraId="1808C29D" w14:textId="77777777" w:rsidR="008D243B" w:rsidRDefault="008D243B" w:rsidP="008D243B">
      <w:pPr>
        <w:spacing w:after="120" w:line="360" w:lineRule="auto"/>
        <w:jc w:val="both"/>
        <w:rPr>
          <w:rtl/>
        </w:rPr>
      </w:pPr>
    </w:p>
    <w:p w14:paraId="231EC4B3" w14:textId="77777777" w:rsidR="008D243B" w:rsidRPr="00DE411D" w:rsidRDefault="008D243B" w:rsidP="008D243B">
      <w:pPr>
        <w:snapToGrid w:val="0"/>
        <w:spacing w:after="120" w:line="360" w:lineRule="auto"/>
        <w:jc w:val="both"/>
        <w:rPr>
          <w:b/>
          <w:bCs/>
          <w:u w:val="single"/>
        </w:rPr>
      </w:pPr>
      <w:r>
        <w:rPr>
          <w:rFonts w:hint="cs"/>
          <w:b/>
          <w:bCs/>
          <w:rtl/>
        </w:rPr>
        <w:t>ג</w:t>
      </w:r>
      <w:r w:rsidRPr="00627467">
        <w:rPr>
          <w:rFonts w:hint="cs"/>
          <w:b/>
          <w:bCs/>
          <w:rtl/>
        </w:rPr>
        <w:t>.</w:t>
      </w:r>
      <w:r w:rsidRPr="00627467">
        <w:rPr>
          <w:rFonts w:hint="cs"/>
          <w:b/>
          <w:bCs/>
          <w:rtl/>
        </w:rPr>
        <w:tab/>
      </w:r>
      <w:r>
        <w:rPr>
          <w:rFonts w:hint="cs"/>
          <w:b/>
          <w:bCs/>
          <w:u w:val="single"/>
          <w:rtl/>
        </w:rPr>
        <w:t>הראיות לקביעת העונש ותמצית</w:t>
      </w:r>
      <w:r w:rsidRPr="00DE411D">
        <w:rPr>
          <w:rFonts w:hint="cs"/>
          <w:b/>
          <w:bCs/>
          <w:u w:val="single"/>
          <w:rtl/>
        </w:rPr>
        <w:t xml:space="preserve"> טיעוני הצדדים:</w:t>
      </w:r>
    </w:p>
    <w:p w14:paraId="6E6CBB53" w14:textId="77777777" w:rsidR="008D243B" w:rsidRDefault="008D243B" w:rsidP="008D243B">
      <w:pPr>
        <w:numPr>
          <w:ilvl w:val="0"/>
          <w:numId w:val="1"/>
        </w:numPr>
        <w:tabs>
          <w:tab w:val="num" w:pos="720"/>
        </w:tabs>
        <w:spacing w:after="120" w:line="360" w:lineRule="auto"/>
        <w:ind w:left="720"/>
        <w:jc w:val="both"/>
        <w:rPr>
          <w:rFonts w:ascii="Tahoma" w:hAnsi="Tahoma"/>
        </w:rPr>
      </w:pPr>
      <w:r>
        <w:rPr>
          <w:rFonts w:ascii="Tahoma" w:hAnsi="Tahoma" w:hint="cs"/>
          <w:rtl/>
        </w:rPr>
        <w:t xml:space="preserve">בפתח הדיון שנקבע לשמיעת הראיות והטיעונים לעונש עתר ב"כ הנאשם לדחייה נוספת, לצורך קבלת חוות דעת פסיכיאטרית נוספת. ב"כ הנאשם טען, כי הנאשם שינה מהעמדה שהציג בפני שירות המבחן </w:t>
      </w:r>
      <w:r>
        <w:rPr>
          <w:rFonts w:ascii="Tahoma" w:hAnsi="Tahoma"/>
          <w:rtl/>
        </w:rPr>
        <w:t>–</w:t>
      </w:r>
      <w:r>
        <w:rPr>
          <w:rFonts w:ascii="Tahoma" w:hAnsi="Tahoma" w:hint="cs"/>
          <w:rtl/>
        </w:rPr>
        <w:t xml:space="preserve"> שם, כזכור, הגיב בכעס על ההצעה להפנותו לאבחון פסיכיאטרי </w:t>
      </w:r>
      <w:r>
        <w:rPr>
          <w:rFonts w:ascii="Tahoma" w:hAnsi="Tahoma"/>
          <w:rtl/>
        </w:rPr>
        <w:t>–</w:t>
      </w:r>
      <w:r>
        <w:rPr>
          <w:rFonts w:ascii="Tahoma" w:hAnsi="Tahoma" w:hint="cs"/>
          <w:rtl/>
        </w:rPr>
        <w:t xml:space="preserve"> והדגיש כי כעת מעוניין הנאשם בבדיקה. ואולם, בנסיבות העניין </w:t>
      </w:r>
      <w:r>
        <w:rPr>
          <w:rFonts w:ascii="Tahoma" w:hAnsi="Tahoma"/>
          <w:rtl/>
        </w:rPr>
        <w:t>–</w:t>
      </w:r>
      <w:r>
        <w:rPr>
          <w:rFonts w:ascii="Tahoma" w:hAnsi="Tahoma" w:hint="cs"/>
          <w:rtl/>
        </w:rPr>
        <w:t xml:space="preserve"> ונוכח הדחיות המרובות </w:t>
      </w:r>
      <w:r>
        <w:rPr>
          <w:rFonts w:ascii="Tahoma" w:hAnsi="Tahoma"/>
          <w:rtl/>
        </w:rPr>
        <w:t>–</w:t>
      </w:r>
      <w:r>
        <w:rPr>
          <w:rFonts w:ascii="Tahoma" w:hAnsi="Tahoma" w:hint="cs"/>
          <w:rtl/>
        </w:rPr>
        <w:t xml:space="preserve"> דחיתי את הבקשה.</w:t>
      </w:r>
    </w:p>
    <w:p w14:paraId="5C5B571C" w14:textId="77777777" w:rsidR="008D243B" w:rsidRDefault="008D243B" w:rsidP="008D243B">
      <w:pPr>
        <w:spacing w:after="120" w:line="360" w:lineRule="auto"/>
        <w:jc w:val="both"/>
        <w:rPr>
          <w:rFonts w:ascii="Tahoma" w:hAnsi="Tahoma"/>
          <w:rtl/>
        </w:rPr>
      </w:pPr>
    </w:p>
    <w:p w14:paraId="3729C608" w14:textId="77777777" w:rsidR="008D243B" w:rsidRPr="00AC1D30" w:rsidRDefault="008D243B" w:rsidP="008D243B">
      <w:pPr>
        <w:spacing w:after="120" w:line="360" w:lineRule="auto"/>
        <w:jc w:val="both"/>
        <w:rPr>
          <w:rFonts w:ascii="Tahoma" w:hAnsi="Tahoma"/>
        </w:rPr>
      </w:pPr>
      <w:r>
        <w:rPr>
          <w:rFonts w:ascii="Tahoma" w:hAnsi="Tahoma" w:hint="cs"/>
          <w:rtl/>
        </w:rPr>
        <w:t>(1)</w:t>
      </w:r>
      <w:r>
        <w:rPr>
          <w:rFonts w:ascii="Tahoma" w:hAnsi="Tahoma"/>
          <w:rtl/>
        </w:rPr>
        <w:tab/>
      </w:r>
      <w:r w:rsidRPr="00AC1D30">
        <w:rPr>
          <w:rFonts w:ascii="Tahoma" w:hAnsi="Tahoma" w:hint="cs"/>
          <w:u w:val="single"/>
          <w:rtl/>
        </w:rPr>
        <w:t>הראיות לקביעת העונש:</w:t>
      </w:r>
    </w:p>
    <w:p w14:paraId="589EFA38" w14:textId="77777777" w:rsidR="008D243B" w:rsidRDefault="008D243B" w:rsidP="008D243B">
      <w:pPr>
        <w:numPr>
          <w:ilvl w:val="0"/>
          <w:numId w:val="1"/>
        </w:numPr>
        <w:tabs>
          <w:tab w:val="num" w:pos="720"/>
        </w:tabs>
        <w:spacing w:after="120" w:line="360" w:lineRule="auto"/>
        <w:ind w:left="720"/>
        <w:jc w:val="both"/>
        <w:rPr>
          <w:rFonts w:ascii="Tahoma" w:hAnsi="Tahoma"/>
        </w:rPr>
      </w:pPr>
      <w:r>
        <w:rPr>
          <w:rFonts w:ascii="Tahoma" w:hAnsi="Tahoma" w:hint="cs"/>
          <w:rtl/>
        </w:rPr>
        <w:t xml:space="preserve">המאשימה לא הגישה ראיות לעונש. להבדיל, מטעמו של הנאשם הובאו שלושה עדים, שכולם סיפרו על אופיו הטוב והעזרה הרבה אותה הוא נוהג להעניק לזולתו. שניים מהעדים </w:t>
      </w:r>
      <w:r>
        <w:rPr>
          <w:rFonts w:ascii="Tahoma" w:hAnsi="Tahoma"/>
          <w:rtl/>
        </w:rPr>
        <w:t>–</w:t>
      </w:r>
      <w:r>
        <w:rPr>
          <w:rFonts w:ascii="Tahoma" w:hAnsi="Tahoma" w:hint="cs"/>
          <w:rtl/>
        </w:rPr>
        <w:t xml:space="preserve"> מר יניב כהן ומר דניאל רודריג </w:t>
      </w:r>
      <w:r>
        <w:rPr>
          <w:rFonts w:ascii="Tahoma" w:hAnsi="Tahoma"/>
          <w:rtl/>
        </w:rPr>
        <w:t>–</w:t>
      </w:r>
      <w:r>
        <w:rPr>
          <w:rFonts w:ascii="Tahoma" w:hAnsi="Tahoma" w:hint="cs"/>
          <w:rtl/>
        </w:rPr>
        <w:t xml:space="preserve"> הכירו את הנאשם רק חודשים ספורים לפני הדיון. מר כהן סיפר, בין השאר, כי בזכות עזרתו של הנאשם הוא הפסיק לצרוך אלכוהול וחומרים ממכרים נוספים. גם מר כהן וגם מר רודריג סיפרו על חולת סרטן שהגיעה למצב סופני, אשר הנאשם התבקש לסייע לה. לפי עדויותיהם, הנאשם שהה עם אותה חולה ימים רצופים ועודד את רוחה.</w:t>
      </w:r>
    </w:p>
    <w:p w14:paraId="65F223F6" w14:textId="77777777" w:rsidR="008D243B" w:rsidRDefault="008D243B" w:rsidP="008D243B">
      <w:pPr>
        <w:numPr>
          <w:ilvl w:val="0"/>
          <w:numId w:val="1"/>
        </w:numPr>
        <w:tabs>
          <w:tab w:val="num" w:pos="720"/>
        </w:tabs>
        <w:spacing w:after="120" w:line="360" w:lineRule="auto"/>
        <w:ind w:left="720"/>
        <w:jc w:val="both"/>
        <w:rPr>
          <w:rFonts w:ascii="Tahoma" w:hAnsi="Tahoma"/>
        </w:rPr>
      </w:pPr>
      <w:r>
        <w:rPr>
          <w:rFonts w:ascii="Tahoma" w:hAnsi="Tahoma" w:hint="cs"/>
          <w:rtl/>
        </w:rPr>
        <w:t>עוד הגיש ב"כ הנאשם מסמכים המלמדים על הכשרתו והסמכתו של הנאשם כרואה חשבון וכמנהל תיקי השקעות, וזאת באמצעות חברה שבבעלותו (ר' במסמכים שסומנו ס/1).</w:t>
      </w:r>
    </w:p>
    <w:p w14:paraId="155A8A9B" w14:textId="77777777" w:rsidR="008D243B" w:rsidRPr="0088119B" w:rsidRDefault="008D243B" w:rsidP="008D243B">
      <w:pPr>
        <w:spacing w:after="120" w:line="360" w:lineRule="auto"/>
        <w:jc w:val="both"/>
        <w:rPr>
          <w:rFonts w:ascii="Tahoma" w:hAnsi="Tahoma"/>
          <w:rtl/>
        </w:rPr>
      </w:pPr>
    </w:p>
    <w:p w14:paraId="4D8427E9" w14:textId="77777777" w:rsidR="008D243B" w:rsidRDefault="008D243B" w:rsidP="008D243B">
      <w:pPr>
        <w:spacing w:after="120" w:line="360" w:lineRule="auto"/>
        <w:jc w:val="both"/>
        <w:rPr>
          <w:rFonts w:ascii="Tahoma" w:hAnsi="Tahoma"/>
        </w:rPr>
      </w:pPr>
      <w:r>
        <w:rPr>
          <w:rFonts w:ascii="Tahoma" w:hAnsi="Tahoma" w:hint="cs"/>
          <w:rtl/>
        </w:rPr>
        <w:t>(2)</w:t>
      </w:r>
      <w:r>
        <w:rPr>
          <w:rFonts w:ascii="Tahoma" w:hAnsi="Tahoma"/>
          <w:rtl/>
        </w:rPr>
        <w:tab/>
      </w:r>
      <w:r w:rsidRPr="00017634">
        <w:rPr>
          <w:rFonts w:ascii="Tahoma" w:hAnsi="Tahoma" w:hint="cs"/>
          <w:u w:val="single"/>
          <w:rtl/>
        </w:rPr>
        <w:t>עיקר הטיעונים לעונש:</w:t>
      </w:r>
    </w:p>
    <w:p w14:paraId="61FBFA0C" w14:textId="77777777" w:rsidR="008D243B" w:rsidRDefault="008D243B" w:rsidP="008D243B">
      <w:pPr>
        <w:numPr>
          <w:ilvl w:val="0"/>
          <w:numId w:val="1"/>
        </w:numPr>
        <w:tabs>
          <w:tab w:val="num" w:pos="720"/>
        </w:tabs>
        <w:spacing w:after="120" w:line="360" w:lineRule="auto"/>
        <w:ind w:left="720"/>
        <w:jc w:val="both"/>
        <w:rPr>
          <w:rFonts w:ascii="Tahoma" w:hAnsi="Tahoma"/>
        </w:rPr>
      </w:pPr>
      <w:r w:rsidRPr="00017634">
        <w:rPr>
          <w:rFonts w:ascii="Tahoma" w:hAnsi="Tahoma" w:hint="cs"/>
          <w:rtl/>
        </w:rPr>
        <w:t>ב"כ המאשימה עמד בטיעוניו</w:t>
      </w:r>
      <w:r>
        <w:rPr>
          <w:rFonts w:ascii="Tahoma" w:hAnsi="Tahoma" w:hint="cs"/>
          <w:rtl/>
        </w:rPr>
        <w:t xml:space="preserve"> לעונש</w:t>
      </w:r>
      <w:r w:rsidRPr="00017634">
        <w:rPr>
          <w:rFonts w:ascii="Tahoma" w:hAnsi="Tahoma" w:hint="cs"/>
          <w:rtl/>
        </w:rPr>
        <w:t>, בהרחבה, על עובדות יום האירוע כפי שנקבעו בהכרעת הדין. ב"כ המאשימה טען כי מדובר באירוע חמור ומתמשך, שבמהלכו כלא הנאשם את המתלוננת בניגוד לרצונה ואף תקף אותה. בנוסף, הנאשם החזיק בסמים מסוכנים מסוג קנביס לשימושו העצמי.</w:t>
      </w:r>
      <w:r>
        <w:rPr>
          <w:rFonts w:ascii="Tahoma" w:hAnsi="Tahoma" w:hint="cs"/>
          <w:rtl/>
        </w:rPr>
        <w:t xml:space="preserve"> </w:t>
      </w:r>
      <w:r w:rsidRPr="00017634">
        <w:rPr>
          <w:rFonts w:ascii="Tahoma" w:hAnsi="Tahoma" w:hint="cs"/>
          <w:rtl/>
        </w:rPr>
        <w:t xml:space="preserve">ב"כ המאשימה </w:t>
      </w:r>
      <w:r>
        <w:rPr>
          <w:rFonts w:ascii="Tahoma" w:hAnsi="Tahoma" w:hint="cs"/>
          <w:rtl/>
        </w:rPr>
        <w:t>הוסיף ו</w:t>
      </w:r>
      <w:r w:rsidRPr="00017634">
        <w:rPr>
          <w:rFonts w:ascii="Tahoma" w:hAnsi="Tahoma" w:hint="cs"/>
          <w:rtl/>
        </w:rPr>
        <w:t>טען כי נגרם למתלוננת נזק רב, בעיקר במישור הנפשי.</w:t>
      </w:r>
    </w:p>
    <w:p w14:paraId="1AB4877D" w14:textId="77777777" w:rsidR="008D243B" w:rsidRDefault="008D243B" w:rsidP="008D243B">
      <w:pPr>
        <w:numPr>
          <w:ilvl w:val="0"/>
          <w:numId w:val="1"/>
        </w:numPr>
        <w:tabs>
          <w:tab w:val="num" w:pos="720"/>
        </w:tabs>
        <w:spacing w:after="120" w:line="360" w:lineRule="auto"/>
        <w:ind w:left="720"/>
        <w:jc w:val="both"/>
        <w:rPr>
          <w:rFonts w:ascii="Tahoma" w:hAnsi="Tahoma"/>
        </w:rPr>
      </w:pPr>
      <w:r>
        <w:rPr>
          <w:rFonts w:ascii="Tahoma" w:hAnsi="Tahoma" w:hint="cs"/>
          <w:rtl/>
        </w:rPr>
        <w:t xml:space="preserve">ב"כ המאשימה עמד על הערכים החברתיים, שנפגעו כתוצאה ממעשי הנאשם, ובהם ההגנה </w:t>
      </w:r>
      <w:r w:rsidRPr="00B16EA9">
        <w:rPr>
          <w:rFonts w:ascii="Tahoma" w:hAnsi="Tahoma" w:hint="cs"/>
          <w:rtl/>
        </w:rPr>
        <w:t xml:space="preserve">על גופו, שלומו, כבודו וחירותו של </w:t>
      </w:r>
      <w:r>
        <w:rPr>
          <w:rFonts w:ascii="Tahoma" w:hAnsi="Tahoma" w:hint="cs"/>
          <w:rtl/>
        </w:rPr>
        <w:t>ה</w:t>
      </w:r>
      <w:r w:rsidRPr="00B16EA9">
        <w:rPr>
          <w:rFonts w:ascii="Tahoma" w:hAnsi="Tahoma" w:hint="cs"/>
          <w:rtl/>
        </w:rPr>
        <w:t>אדם</w:t>
      </w:r>
      <w:r>
        <w:rPr>
          <w:rFonts w:ascii="Tahoma" w:hAnsi="Tahoma" w:hint="cs"/>
          <w:rtl/>
        </w:rPr>
        <w:t>,</w:t>
      </w:r>
      <w:r w:rsidRPr="00B16EA9">
        <w:rPr>
          <w:rFonts w:ascii="Tahoma" w:hAnsi="Tahoma" w:hint="cs"/>
          <w:rtl/>
        </w:rPr>
        <w:t xml:space="preserve"> ו</w:t>
      </w:r>
      <w:r>
        <w:rPr>
          <w:rFonts w:ascii="Tahoma" w:hAnsi="Tahoma" w:hint="cs"/>
          <w:rtl/>
        </w:rPr>
        <w:t>כן ה</w:t>
      </w:r>
      <w:r w:rsidRPr="00B16EA9">
        <w:rPr>
          <w:rFonts w:ascii="Tahoma" w:hAnsi="Tahoma" w:hint="cs"/>
          <w:rtl/>
        </w:rPr>
        <w:t xml:space="preserve">הגנה על שלום הציבור מפני נגע הסמים. </w:t>
      </w:r>
      <w:r>
        <w:rPr>
          <w:rFonts w:ascii="Tahoma" w:hAnsi="Tahoma" w:hint="cs"/>
          <w:rtl/>
        </w:rPr>
        <w:t xml:space="preserve">לפי שיטתו, </w:t>
      </w:r>
      <w:r w:rsidRPr="00B16EA9">
        <w:rPr>
          <w:rFonts w:ascii="Tahoma" w:hAnsi="Tahoma" w:hint="cs"/>
          <w:rtl/>
        </w:rPr>
        <w:t xml:space="preserve">הנאשם פגע בערכים אלו במידה משמעותית. </w:t>
      </w:r>
      <w:r>
        <w:rPr>
          <w:rFonts w:ascii="Tahoma" w:hAnsi="Tahoma" w:hint="cs"/>
          <w:rtl/>
        </w:rPr>
        <w:t xml:space="preserve">ב"כ המאשימה הדגיש, בהקשר זה, את חומרתה הרבה של </w:t>
      </w:r>
      <w:r w:rsidRPr="00B16EA9">
        <w:rPr>
          <w:rFonts w:ascii="Tahoma" w:hAnsi="Tahoma" w:hint="cs"/>
          <w:rtl/>
        </w:rPr>
        <w:t xml:space="preserve">עבירת כליאת השווא, </w:t>
      </w:r>
      <w:r>
        <w:rPr>
          <w:rFonts w:ascii="Tahoma" w:hAnsi="Tahoma" w:hint="cs"/>
          <w:rtl/>
        </w:rPr>
        <w:t>שביצועה פוגע בחירות האדם ובחופש הפעולה שלו.</w:t>
      </w:r>
    </w:p>
    <w:p w14:paraId="1ABE73D2" w14:textId="77777777" w:rsidR="008D243B" w:rsidRDefault="008D243B" w:rsidP="008D243B">
      <w:pPr>
        <w:numPr>
          <w:ilvl w:val="0"/>
          <w:numId w:val="1"/>
        </w:numPr>
        <w:tabs>
          <w:tab w:val="num" w:pos="720"/>
        </w:tabs>
        <w:spacing w:after="120" w:line="360" w:lineRule="auto"/>
        <w:ind w:left="720"/>
        <w:jc w:val="both"/>
        <w:rPr>
          <w:rFonts w:ascii="Tahoma" w:hAnsi="Tahoma"/>
        </w:rPr>
      </w:pPr>
      <w:r>
        <w:rPr>
          <w:rFonts w:ascii="Tahoma" w:hAnsi="Tahoma" w:hint="cs"/>
          <w:rtl/>
        </w:rPr>
        <w:t xml:space="preserve">לעניין מדיניות הענישה הנהוגה הפנה ב"כ המאשימה לפסיקה, הגם שבמקרים חמורים יותר, ועתר לקביעת מתחם עונש הולם שבין 6 חודשי מאסר בפועל לבין 18 חודשי מאסר בפועל. ב"כ המאשימה הדגיש במיוחד את הקביעות השליליות שבתסקיר שירות המבחן, המלמדות כי אף לאחר שניתנה לנאשם הזדמנות נוספת ליטול אחריות על מעשיו ולכפר עליהם הוא נמנע מלעשות כן. </w:t>
      </w:r>
    </w:p>
    <w:p w14:paraId="176DF59D" w14:textId="77777777" w:rsidR="008D243B" w:rsidRDefault="008D243B" w:rsidP="008D243B">
      <w:pPr>
        <w:numPr>
          <w:ilvl w:val="0"/>
          <w:numId w:val="1"/>
        </w:numPr>
        <w:tabs>
          <w:tab w:val="num" w:pos="720"/>
        </w:tabs>
        <w:spacing w:after="120" w:line="360" w:lineRule="auto"/>
        <w:ind w:left="720"/>
        <w:jc w:val="both"/>
        <w:rPr>
          <w:rFonts w:ascii="Tahoma" w:hAnsi="Tahoma"/>
        </w:rPr>
      </w:pPr>
      <w:r>
        <w:rPr>
          <w:rFonts w:ascii="Tahoma" w:hAnsi="Tahoma" w:hint="cs"/>
          <w:rtl/>
        </w:rPr>
        <w:t xml:space="preserve">באשר לגזירת עונשו של הנאשם בתוך מתחם העונש ההולם שב ב"כ המאשימה וציין את אי נטילת האחריות מצדו. בנוסף, הנאשם אמנם זימן עדים שיעידו על אופיו הטוב, אך שניים מתוכם הם כאלה המכירים אותו תקופה קצרה בלבד ואין ללמוד מדבריהם לענייננו. בנסיבות אלה </w:t>
      </w:r>
      <w:r>
        <w:rPr>
          <w:rFonts w:ascii="Tahoma" w:hAnsi="Tahoma"/>
          <w:rtl/>
        </w:rPr>
        <w:t>–</w:t>
      </w:r>
      <w:r>
        <w:rPr>
          <w:rFonts w:ascii="Tahoma" w:hAnsi="Tahoma" w:hint="cs"/>
          <w:rtl/>
        </w:rPr>
        <w:t xml:space="preserve"> אך גם בהתחשב בעברו הנקי של הנאשם </w:t>
      </w:r>
      <w:r>
        <w:rPr>
          <w:rFonts w:ascii="Tahoma" w:hAnsi="Tahoma"/>
          <w:rtl/>
        </w:rPr>
        <w:t>–</w:t>
      </w:r>
      <w:r>
        <w:rPr>
          <w:rFonts w:ascii="Tahoma" w:hAnsi="Tahoma" w:hint="cs"/>
          <w:rtl/>
        </w:rPr>
        <w:t xml:space="preserve"> עתר ב"כ המאשימה לענישה במחצית המתחם לו טען, דהיינו: לענישה של מאסר בפועל, לצד ענישה נלווית הכוללת מאסר מותנה, קנס כספי, פיצויים למתלוננת ושלילת רישיון נהיגה בפועל ועל-תנאי.</w:t>
      </w:r>
    </w:p>
    <w:p w14:paraId="707455F5" w14:textId="77777777" w:rsidR="008D243B" w:rsidRDefault="008D243B" w:rsidP="008D243B">
      <w:pPr>
        <w:numPr>
          <w:ilvl w:val="0"/>
          <w:numId w:val="1"/>
        </w:numPr>
        <w:tabs>
          <w:tab w:val="num" w:pos="720"/>
        </w:tabs>
        <w:spacing w:after="120" w:line="360" w:lineRule="auto"/>
        <w:ind w:left="720"/>
        <w:jc w:val="both"/>
        <w:rPr>
          <w:rFonts w:ascii="Tahoma" w:hAnsi="Tahoma"/>
        </w:rPr>
      </w:pPr>
      <w:r>
        <w:rPr>
          <w:rFonts w:ascii="Tahoma" w:hAnsi="Tahoma" w:hint="cs"/>
          <w:rtl/>
        </w:rPr>
        <w:t>ב"כ הנאשם, מצידו, ביקש להקל עם מרשו. ב"כ הנאשם הדגיש כי ניהול התיק בבית המשפט נעשה על רקע טענותיו המשפטיות של הנאשם ואף לא היה לחינם, שכן הנאשם זוכה מעבירת האיומים. בנוסף, עסקינן בנאשם נורמטיבי, שאין לו הרשעות נוספות קודמות או מאוחרות להתרחשויות מושא כתב האישום. במיוחד הדגיש הסניגור, בהקשר זה, את העובדה שבשנים שחלפו מאז האירוע לא שב הנאשם והסתבך בדבר עבירה נוסף.</w:t>
      </w:r>
    </w:p>
    <w:p w14:paraId="3A12949C" w14:textId="77777777" w:rsidR="008D243B" w:rsidRDefault="008D243B" w:rsidP="008D243B">
      <w:pPr>
        <w:numPr>
          <w:ilvl w:val="0"/>
          <w:numId w:val="1"/>
        </w:numPr>
        <w:tabs>
          <w:tab w:val="num" w:pos="720"/>
        </w:tabs>
        <w:spacing w:after="120" w:line="360" w:lineRule="auto"/>
        <w:ind w:left="720"/>
        <w:jc w:val="both"/>
        <w:rPr>
          <w:rFonts w:ascii="Tahoma" w:hAnsi="Tahoma"/>
        </w:rPr>
      </w:pPr>
      <w:r>
        <w:rPr>
          <w:rFonts w:ascii="Tahoma" w:hAnsi="Tahoma" w:hint="cs"/>
          <w:rtl/>
        </w:rPr>
        <w:t xml:space="preserve">ב"כ הנאשם ביקש למצוא נקודות זכות גם בתסקיר שירות המבחן, שהוא כאמור שלילי בעיקרו. ב"כ הנאשם הפנה בהקשר זה להתרשמות שירות המבחן, שלפיה הנאשם אינו מתאפיין בדפוס התנהגות אלים מושרש וחוזר. עוד ביקש הסניגור למצוא נקודות זכות לנאשם בקשייו הנפשיים והרגשיים. לטענתו עסקינן בנאשם נורמטיבי לעילא, רואה חשבון ויועץ השקעות, שעצם הרשעתו בדין היא בבחינת עונש </w:t>
      </w:r>
      <w:r>
        <w:rPr>
          <w:rFonts w:ascii="Tahoma" w:hAnsi="Tahoma"/>
          <w:rtl/>
        </w:rPr>
        <w:t>–</w:t>
      </w:r>
      <w:r>
        <w:rPr>
          <w:rFonts w:ascii="Tahoma" w:hAnsi="Tahoma" w:hint="cs"/>
          <w:rtl/>
        </w:rPr>
        <w:t xml:space="preserve"> והכל כאשר המתלוננת עצמה ביקשה להימנע מכל פגיעה בנאשם. בנסיבות אלה, והגם שאין לדבר הצדקה שיקומית, ביקש ב"כ הנאשם לשקול בכל זאת את ביטול ההרשעה.</w:t>
      </w:r>
    </w:p>
    <w:p w14:paraId="75DC0135" w14:textId="77777777" w:rsidR="008D243B" w:rsidRDefault="008D243B" w:rsidP="008D243B">
      <w:pPr>
        <w:numPr>
          <w:ilvl w:val="0"/>
          <w:numId w:val="1"/>
        </w:numPr>
        <w:tabs>
          <w:tab w:val="num" w:pos="720"/>
        </w:tabs>
        <w:spacing w:after="120" w:line="360" w:lineRule="auto"/>
        <w:ind w:left="720"/>
        <w:jc w:val="both"/>
        <w:rPr>
          <w:rFonts w:ascii="Tahoma" w:hAnsi="Tahoma"/>
        </w:rPr>
      </w:pPr>
      <w:r>
        <w:rPr>
          <w:rFonts w:ascii="Tahoma" w:hAnsi="Tahoma" w:hint="cs"/>
          <w:rtl/>
        </w:rPr>
        <w:t>לבסוף הנאשם, בדברו האחרון לעונש, הלין על "כשלי המערכת" ועל הזמן שחלף מאז האירוע. בנוסף הביע הנאשם תקווה "שיטפלו בהרשעה שלי, שיתנו לי לחזור ולפעול באופן מלא" (פרוטוקול, עמ' 60 שורה 8 ואילך).</w:t>
      </w:r>
    </w:p>
    <w:p w14:paraId="1427349C" w14:textId="77777777" w:rsidR="008D243B" w:rsidRPr="00E837EB" w:rsidRDefault="008D243B" w:rsidP="008D243B">
      <w:pPr>
        <w:spacing w:after="120" w:line="360" w:lineRule="auto"/>
        <w:jc w:val="both"/>
        <w:rPr>
          <w:rFonts w:ascii="Tahoma" w:hAnsi="Tahoma"/>
          <w:rtl/>
        </w:rPr>
      </w:pPr>
    </w:p>
    <w:p w14:paraId="3F19FCF2" w14:textId="77777777" w:rsidR="008D243B" w:rsidRPr="007B6018" w:rsidRDefault="008D243B" w:rsidP="008D243B">
      <w:pPr>
        <w:snapToGrid w:val="0"/>
        <w:spacing w:after="120" w:line="360" w:lineRule="auto"/>
        <w:jc w:val="both"/>
        <w:rPr>
          <w:b/>
          <w:bCs/>
          <w:u w:val="single"/>
          <w:rtl/>
        </w:rPr>
      </w:pPr>
      <w:r w:rsidRPr="007B6018">
        <w:rPr>
          <w:rFonts w:hint="cs"/>
          <w:b/>
          <w:bCs/>
          <w:rtl/>
        </w:rPr>
        <w:t>ד.</w:t>
      </w:r>
      <w:r w:rsidRPr="007B6018">
        <w:rPr>
          <w:b/>
          <w:bCs/>
          <w:rtl/>
        </w:rPr>
        <w:tab/>
      </w:r>
      <w:r>
        <w:rPr>
          <w:rFonts w:hint="cs"/>
          <w:b/>
          <w:bCs/>
          <w:u w:val="single"/>
          <w:rtl/>
        </w:rPr>
        <w:t>סוגיית ההרשעה ו</w:t>
      </w:r>
      <w:r w:rsidRPr="007B6018">
        <w:rPr>
          <w:rFonts w:hint="cs"/>
          <w:b/>
          <w:bCs/>
          <w:u w:val="single"/>
          <w:rtl/>
        </w:rPr>
        <w:t>קביעת מתחם העונש ההולם:</w:t>
      </w:r>
    </w:p>
    <w:p w14:paraId="63099333" w14:textId="77777777" w:rsidR="008D243B" w:rsidRPr="00B0448A" w:rsidRDefault="008D243B" w:rsidP="008D243B">
      <w:pPr>
        <w:numPr>
          <w:ilvl w:val="0"/>
          <w:numId w:val="1"/>
        </w:numPr>
        <w:tabs>
          <w:tab w:val="num" w:pos="720"/>
        </w:tabs>
        <w:spacing w:after="120" w:line="360" w:lineRule="auto"/>
        <w:ind w:left="720"/>
        <w:jc w:val="both"/>
        <w:rPr>
          <w:rFonts w:ascii="Tahoma" w:hAnsi="Tahoma"/>
        </w:rPr>
      </w:pPr>
      <w:r>
        <w:rPr>
          <w:rFonts w:hint="cs"/>
          <w:rtl/>
        </w:rPr>
        <w:t>ייאמר מיד, כי העתירה לביטול ההרשעה</w:t>
      </w:r>
      <w:r>
        <w:rPr>
          <w:rFonts w:ascii="Tahoma" w:hAnsi="Tahoma" w:hint="cs"/>
          <w:rtl/>
        </w:rPr>
        <w:t xml:space="preserve"> במקרה דנא</w:t>
      </w:r>
      <w:r w:rsidRPr="00B0448A">
        <w:rPr>
          <w:rFonts w:ascii="Tahoma" w:hAnsi="Tahoma" w:hint="cs"/>
          <w:rtl/>
        </w:rPr>
        <w:t xml:space="preserve"> היא על-פניה שלא במקומה. </w:t>
      </w:r>
      <w:r w:rsidRPr="006C5202">
        <w:rPr>
          <w:rFonts w:ascii="Tahoma" w:hAnsi="Tahoma" w:hint="cs"/>
          <w:b/>
          <w:bCs/>
          <w:rtl/>
        </w:rPr>
        <w:t>ראשית</w:t>
      </w:r>
      <w:r w:rsidRPr="00B0448A">
        <w:rPr>
          <w:rFonts w:ascii="Tahoma" w:hAnsi="Tahoma" w:hint="cs"/>
          <w:rtl/>
        </w:rPr>
        <w:t xml:space="preserve"> יש לציין, בהקשר זה, את ההמלצה השלילית </w:t>
      </w:r>
      <w:r>
        <w:rPr>
          <w:rFonts w:ascii="Tahoma" w:hAnsi="Tahoma" w:hint="cs"/>
          <w:rtl/>
        </w:rPr>
        <w:t xml:space="preserve">החוזרת </w:t>
      </w:r>
      <w:r w:rsidRPr="00B0448A">
        <w:rPr>
          <w:rFonts w:ascii="Tahoma" w:hAnsi="Tahoma" w:hint="cs"/>
          <w:rtl/>
        </w:rPr>
        <w:t>של שירות המבחן, שלא מצא כל אופק שיקומי בעניינו של הנאשם ואף הדגיש את עמדתו הקורבנית ו</w:t>
      </w:r>
      <w:r>
        <w:rPr>
          <w:rFonts w:ascii="Tahoma" w:hAnsi="Tahoma" w:hint="cs"/>
          <w:rtl/>
        </w:rPr>
        <w:t xml:space="preserve">את </w:t>
      </w:r>
      <w:r w:rsidRPr="00B0448A">
        <w:rPr>
          <w:rFonts w:ascii="Tahoma" w:hAnsi="Tahoma" w:hint="cs"/>
          <w:rtl/>
        </w:rPr>
        <w:t xml:space="preserve">תפיסותיו הנוקשות. </w:t>
      </w:r>
      <w:r w:rsidRPr="006C5202">
        <w:rPr>
          <w:rFonts w:ascii="Tahoma" w:hAnsi="Tahoma" w:hint="cs"/>
          <w:b/>
          <w:bCs/>
          <w:rtl/>
        </w:rPr>
        <w:t>שנית</w:t>
      </w:r>
      <w:r w:rsidRPr="00B0448A">
        <w:rPr>
          <w:rFonts w:ascii="Tahoma" w:hAnsi="Tahoma" w:hint="cs"/>
          <w:rtl/>
        </w:rPr>
        <w:t xml:space="preserve">, נסיבות יום האירוע וחומרתן </w:t>
      </w:r>
      <w:r w:rsidRPr="00B0448A">
        <w:rPr>
          <w:rFonts w:ascii="Tahoma" w:hAnsi="Tahoma"/>
          <w:rtl/>
        </w:rPr>
        <w:t>–</w:t>
      </w:r>
      <w:r w:rsidRPr="00B0448A">
        <w:rPr>
          <w:rFonts w:ascii="Tahoma" w:hAnsi="Tahoma" w:hint="cs"/>
          <w:rtl/>
        </w:rPr>
        <w:t xml:space="preserve"> כאשר מדובר בהתרחשויות ש</w:t>
      </w:r>
      <w:r>
        <w:rPr>
          <w:rFonts w:ascii="Tahoma" w:hAnsi="Tahoma" w:hint="cs"/>
          <w:rtl/>
        </w:rPr>
        <w:t>נ</w:t>
      </w:r>
      <w:r w:rsidRPr="00B0448A">
        <w:rPr>
          <w:rFonts w:ascii="Tahoma" w:hAnsi="Tahoma" w:hint="cs"/>
          <w:rtl/>
        </w:rPr>
        <w:t xml:space="preserve">משכו </w:t>
      </w:r>
      <w:r>
        <w:rPr>
          <w:rFonts w:ascii="Tahoma" w:hAnsi="Tahoma" w:hint="cs"/>
          <w:rtl/>
        </w:rPr>
        <w:t>זמן רב</w:t>
      </w:r>
      <w:r w:rsidRPr="00B0448A">
        <w:rPr>
          <w:rFonts w:ascii="Tahoma" w:hAnsi="Tahoma" w:hint="cs"/>
          <w:rtl/>
        </w:rPr>
        <w:t xml:space="preserve">, משעות הבוקר ועד הלילה </w:t>
      </w:r>
      <w:r w:rsidRPr="00B0448A">
        <w:rPr>
          <w:rFonts w:ascii="Tahoma" w:hAnsi="Tahoma"/>
          <w:rtl/>
        </w:rPr>
        <w:t>–</w:t>
      </w:r>
      <w:r w:rsidRPr="00B0448A">
        <w:rPr>
          <w:rFonts w:ascii="Tahoma" w:hAnsi="Tahoma" w:hint="cs"/>
          <w:rtl/>
        </w:rPr>
        <w:t xml:space="preserve"> אינן מתאימות, כלל ועיקר, לענישה ללא הרשעה. </w:t>
      </w:r>
      <w:r>
        <w:rPr>
          <w:rFonts w:ascii="Tahoma" w:hAnsi="Tahoma" w:hint="cs"/>
          <w:rtl/>
        </w:rPr>
        <w:t>לא למותר להזכיר כאן עוד, כי ההלכה הפסוקה קובעת ש</w:t>
      </w:r>
      <w:r w:rsidRPr="00B0448A">
        <w:rPr>
          <w:rFonts w:ascii="Tahoma" w:hAnsi="Tahoma" w:hint="cs"/>
          <w:rtl/>
        </w:rPr>
        <w:t>האפשרות לביטו</w:t>
      </w:r>
      <w:r>
        <w:rPr>
          <w:rFonts w:ascii="Tahoma" w:hAnsi="Tahoma" w:hint="cs"/>
          <w:rtl/>
        </w:rPr>
        <w:t>ל הרשעה היא חריגה ויוצאת דופן, ו</w:t>
      </w:r>
      <w:r w:rsidRPr="00B0448A">
        <w:rPr>
          <w:rFonts w:ascii="Tahoma" w:hAnsi="Tahoma" w:hint="cs"/>
          <w:rtl/>
        </w:rPr>
        <w:t xml:space="preserve">יש ליישמה </w:t>
      </w:r>
      <w:r>
        <w:rPr>
          <w:rFonts w:ascii="Tahoma" w:hAnsi="Tahoma" w:hint="cs"/>
          <w:rtl/>
        </w:rPr>
        <w:t xml:space="preserve">רק </w:t>
      </w:r>
      <w:r w:rsidRPr="00B0448A">
        <w:rPr>
          <w:rFonts w:ascii="Tahoma" w:hAnsi="Tahoma" w:hint="cs"/>
          <w:rtl/>
        </w:rPr>
        <w:t>במקרים מיוחדים המתאימים לכך, כאשר במקרה דנא התנאים שנקבעו בפסיקה לביטול הרשעה אינם מתקיימים.</w:t>
      </w:r>
    </w:p>
    <w:p w14:paraId="0160E9B7" w14:textId="77777777" w:rsidR="008D243B" w:rsidRDefault="008D243B" w:rsidP="008D243B">
      <w:pPr>
        <w:numPr>
          <w:ilvl w:val="0"/>
          <w:numId w:val="1"/>
        </w:numPr>
        <w:tabs>
          <w:tab w:val="num" w:pos="720"/>
        </w:tabs>
        <w:spacing w:after="120" w:line="360" w:lineRule="auto"/>
        <w:ind w:left="720"/>
        <w:jc w:val="both"/>
        <w:rPr>
          <w:rFonts w:ascii="Tahoma" w:hAnsi="Tahoma"/>
        </w:rPr>
      </w:pPr>
      <w:r w:rsidRPr="000F4809">
        <w:rPr>
          <w:rFonts w:ascii="Tahoma" w:hAnsi="Tahoma" w:hint="cs"/>
          <w:rtl/>
        </w:rPr>
        <w:t>באשר לקביעת מתחם העונש ההולם לאירוע מושא כתב האישום, מקובל עליי טיעון ב"כ המאשימה לעניין הערכים החברתיים שנפגעו מביצוע העבירות  על-ידי הנאשם, הן באופן כללי והן בהקשר לעבירה הספציפית של כליאת שווא. יחד עם זאת, מדיניות הענישה הנהוגה בכגון דא הי</w:t>
      </w:r>
      <w:r>
        <w:rPr>
          <w:rFonts w:ascii="Tahoma" w:hAnsi="Tahoma" w:hint="cs"/>
          <w:rtl/>
        </w:rPr>
        <w:t>א מתונה מכפי טיעון ב"כ המאשימה.</w:t>
      </w:r>
    </w:p>
    <w:p w14:paraId="7DF2D151" w14:textId="77777777" w:rsidR="008D243B" w:rsidRPr="000F4809" w:rsidRDefault="008D243B" w:rsidP="008D243B">
      <w:pPr>
        <w:spacing w:after="120" w:line="360" w:lineRule="auto"/>
        <w:ind w:left="720"/>
        <w:jc w:val="both"/>
        <w:rPr>
          <w:rFonts w:ascii="Tahoma" w:hAnsi="Tahoma"/>
        </w:rPr>
      </w:pPr>
      <w:r w:rsidRPr="000F4809">
        <w:rPr>
          <w:rFonts w:ascii="Tahoma" w:hAnsi="Tahoma" w:hint="cs"/>
          <w:rtl/>
        </w:rPr>
        <w:t xml:space="preserve">הלכה למעשה אף ניתן למצוא מקרים דומים </w:t>
      </w:r>
      <w:r w:rsidRPr="000F4809">
        <w:rPr>
          <w:rFonts w:ascii="Tahoma" w:hAnsi="Tahoma"/>
          <w:rtl/>
        </w:rPr>
        <w:t>–</w:t>
      </w:r>
      <w:r w:rsidRPr="000F4809">
        <w:rPr>
          <w:rFonts w:ascii="Tahoma" w:hAnsi="Tahoma" w:hint="cs"/>
          <w:rtl/>
        </w:rPr>
        <w:t xml:space="preserve"> של כליאת בן זוג בצירוף לתקיפה </w:t>
      </w:r>
      <w:r w:rsidRPr="000F4809">
        <w:rPr>
          <w:rFonts w:ascii="Tahoma" w:hAnsi="Tahoma"/>
          <w:rtl/>
        </w:rPr>
        <w:t>–</w:t>
      </w:r>
      <w:r w:rsidRPr="000F4809">
        <w:rPr>
          <w:rFonts w:ascii="Tahoma" w:hAnsi="Tahoma" w:hint="cs"/>
          <w:rtl/>
        </w:rPr>
        <w:t xml:space="preserve"> שבהם נקבע מתחם עונש הולם שתחילתו בענישה הצופה פני עתיד בלבד. כך נקבע, למשל, ב</w:t>
      </w:r>
      <w:hyperlink r:id="rId25" w:history="1">
        <w:r w:rsidR="00AD274D" w:rsidRPr="00AD274D">
          <w:rPr>
            <w:rFonts w:ascii="Tahoma" w:hAnsi="Tahoma"/>
            <w:color w:val="0000FF"/>
            <w:u w:val="single"/>
            <w:rtl/>
          </w:rPr>
          <w:t>ת"פ (שלום רחובות) 3446-10-16</w:t>
        </w:r>
      </w:hyperlink>
      <w:r w:rsidRPr="000F4809">
        <w:rPr>
          <w:rFonts w:ascii="Tahoma" w:hAnsi="Tahoma"/>
          <w:rtl/>
        </w:rPr>
        <w:t xml:space="preserve"> </w:t>
      </w:r>
      <w:r w:rsidRPr="000F4809">
        <w:rPr>
          <w:rFonts w:ascii="Tahoma" w:hAnsi="Tahoma"/>
          <w:b/>
          <w:bCs/>
          <w:rtl/>
        </w:rPr>
        <w:t>מדינת ישראל נ' פלוני</w:t>
      </w:r>
      <w:r w:rsidRPr="000F4809">
        <w:rPr>
          <w:rFonts w:ascii="Tahoma" w:hAnsi="Tahoma"/>
          <w:rtl/>
        </w:rPr>
        <w:t xml:space="preserve"> (25.10.2017)</w:t>
      </w:r>
      <w:r w:rsidRPr="000F4809">
        <w:rPr>
          <w:rFonts w:ascii="Tahoma" w:hAnsi="Tahoma" w:hint="cs"/>
          <w:rtl/>
        </w:rPr>
        <w:t xml:space="preserve">, וזאת לאחר בחינת מדיניות הענישה הנהוגה בפסיקה (ר' שם, בפסקה 18 ואילך לגזר הדין). יוטעם, כי באותו מקרה דובר </w:t>
      </w:r>
      <w:r>
        <w:rPr>
          <w:rFonts w:ascii="Tahoma" w:hAnsi="Tahoma" w:hint="cs"/>
          <w:rtl/>
        </w:rPr>
        <w:t xml:space="preserve">באירוע קצר מבענייננו אך </w:t>
      </w:r>
      <w:r w:rsidRPr="000F4809">
        <w:rPr>
          <w:rFonts w:ascii="Tahoma" w:hAnsi="Tahoma" w:hint="cs"/>
          <w:rtl/>
        </w:rPr>
        <w:t xml:space="preserve">בתקיפה חמורה </w:t>
      </w:r>
      <w:r>
        <w:rPr>
          <w:rFonts w:ascii="Tahoma" w:hAnsi="Tahoma" w:hint="cs"/>
          <w:rtl/>
        </w:rPr>
        <w:t xml:space="preserve">יותר </w:t>
      </w:r>
      <w:r w:rsidRPr="000F4809">
        <w:rPr>
          <w:rFonts w:ascii="Tahoma" w:hAnsi="Tahoma"/>
          <w:rtl/>
        </w:rPr>
        <w:t>–</w:t>
      </w:r>
      <w:r w:rsidRPr="000F4809">
        <w:rPr>
          <w:rFonts w:ascii="Tahoma" w:hAnsi="Tahoma" w:hint="cs"/>
          <w:rtl/>
        </w:rPr>
        <w:t xml:space="preserve"> תקיפה הגורמת חבלה ממשית, להבדיל מתקיפה סתם (</w:t>
      </w:r>
      <w:r>
        <w:rPr>
          <w:rFonts w:ascii="Tahoma" w:hAnsi="Tahoma" w:hint="cs"/>
          <w:rtl/>
        </w:rPr>
        <w:t>כ</w:t>
      </w:r>
      <w:r w:rsidRPr="000F4809">
        <w:rPr>
          <w:rFonts w:ascii="Tahoma" w:hAnsi="Tahoma" w:hint="cs"/>
          <w:rtl/>
        </w:rPr>
        <w:t xml:space="preserve">בענייננו). </w:t>
      </w:r>
    </w:p>
    <w:p w14:paraId="67550756" w14:textId="77777777" w:rsidR="008D243B" w:rsidRPr="000F4809" w:rsidRDefault="008D243B" w:rsidP="008D243B">
      <w:pPr>
        <w:numPr>
          <w:ilvl w:val="0"/>
          <w:numId w:val="1"/>
        </w:numPr>
        <w:tabs>
          <w:tab w:val="num" w:pos="720"/>
        </w:tabs>
        <w:spacing w:after="120" w:line="360" w:lineRule="auto"/>
        <w:ind w:left="720"/>
        <w:jc w:val="both"/>
        <w:rPr>
          <w:rFonts w:ascii="Tahoma" w:hAnsi="Tahoma"/>
        </w:rPr>
      </w:pPr>
      <w:r w:rsidRPr="000F4809">
        <w:rPr>
          <w:rFonts w:ascii="Tahoma" w:hAnsi="Tahoma" w:hint="cs"/>
          <w:rtl/>
        </w:rPr>
        <w:t xml:space="preserve">זאת ועוד: בקביעת מתחם העונש ההולם יש מקום להתחשב, בין השאר, בנזק שנגרם כתולדה מביצוע העבירה (כאמור בהוראות </w:t>
      </w:r>
      <w:hyperlink r:id="rId26" w:history="1">
        <w:r w:rsidR="00300CD5" w:rsidRPr="00300CD5">
          <w:rPr>
            <w:rFonts w:ascii="Tahoma" w:hAnsi="Tahoma"/>
            <w:color w:val="0000FF"/>
            <w:u w:val="single"/>
            <w:rtl/>
          </w:rPr>
          <w:t>סעיף 40ט(א)(4)</w:t>
        </w:r>
      </w:hyperlink>
      <w:r w:rsidRPr="000F4809">
        <w:rPr>
          <w:rFonts w:ascii="Tahoma" w:hAnsi="Tahoma" w:hint="cs"/>
          <w:rtl/>
        </w:rPr>
        <w:t xml:space="preserve"> ל</w:t>
      </w:r>
      <w:hyperlink r:id="rId27" w:history="1">
        <w:r w:rsidR="00AD274D" w:rsidRPr="00AD274D">
          <w:rPr>
            <w:rFonts w:ascii="Tahoma" w:hAnsi="Tahoma"/>
            <w:color w:val="0000FF"/>
            <w:u w:val="single"/>
            <w:rtl/>
          </w:rPr>
          <w:t>חוק העונשין</w:t>
        </w:r>
      </w:hyperlink>
      <w:r w:rsidRPr="000F4809">
        <w:rPr>
          <w:rFonts w:ascii="Tahoma" w:hAnsi="Tahoma" w:hint="cs"/>
          <w:rtl/>
        </w:rPr>
        <w:t xml:space="preserve">). במקרה דנא המתלוננת חזרה וציינה </w:t>
      </w:r>
      <w:r w:rsidRPr="000F4809">
        <w:rPr>
          <w:rFonts w:ascii="Tahoma" w:hAnsi="Tahoma"/>
          <w:rtl/>
        </w:rPr>
        <w:t>–</w:t>
      </w:r>
      <w:r w:rsidRPr="000F4809">
        <w:rPr>
          <w:rFonts w:ascii="Tahoma" w:hAnsi="Tahoma" w:hint="cs"/>
          <w:rtl/>
        </w:rPr>
        <w:t xml:space="preserve"> הן במשטרה והן בבית המשפט </w:t>
      </w:r>
      <w:r w:rsidRPr="000F4809">
        <w:rPr>
          <w:rFonts w:ascii="Tahoma" w:hAnsi="Tahoma"/>
          <w:rtl/>
        </w:rPr>
        <w:t>–</w:t>
      </w:r>
      <w:r w:rsidRPr="000F4809">
        <w:rPr>
          <w:rFonts w:ascii="Tahoma" w:hAnsi="Tahoma" w:hint="cs"/>
          <w:rtl/>
        </w:rPr>
        <w:t xml:space="preserve"> כי אינה רוצה שייגרם לנאשם כל נזק ובכך יש אינדיקציה </w:t>
      </w:r>
      <w:r>
        <w:rPr>
          <w:rFonts w:ascii="Tahoma" w:hAnsi="Tahoma" w:hint="cs"/>
          <w:rtl/>
        </w:rPr>
        <w:t xml:space="preserve">ממשית </w:t>
      </w:r>
      <w:r w:rsidRPr="000F4809">
        <w:rPr>
          <w:rFonts w:ascii="Tahoma" w:hAnsi="Tahoma" w:hint="cs"/>
          <w:rtl/>
        </w:rPr>
        <w:t>שהנזק שנגרם לה לא היה חמור</w:t>
      </w:r>
      <w:r>
        <w:rPr>
          <w:rFonts w:ascii="Tahoma" w:hAnsi="Tahoma" w:hint="cs"/>
          <w:rtl/>
        </w:rPr>
        <w:t xml:space="preserve"> במיוחד</w:t>
      </w:r>
      <w:r w:rsidRPr="000F4809">
        <w:rPr>
          <w:rFonts w:ascii="Tahoma" w:hAnsi="Tahoma" w:hint="cs"/>
          <w:rtl/>
        </w:rPr>
        <w:t xml:space="preserve">. אכן, מעדות המתלוננת עולה כי בזמנו </w:t>
      </w:r>
      <w:r>
        <w:rPr>
          <w:rFonts w:ascii="Tahoma" w:hAnsi="Tahoma" w:hint="cs"/>
          <w:rtl/>
        </w:rPr>
        <w:t xml:space="preserve">היא אמנם </w:t>
      </w:r>
      <w:r w:rsidRPr="000F4809">
        <w:rPr>
          <w:rFonts w:ascii="Tahoma" w:hAnsi="Tahoma" w:hint="cs"/>
          <w:rtl/>
        </w:rPr>
        <w:t xml:space="preserve">נבהלה מאוד מהתנהגות הנאשם, אך </w:t>
      </w:r>
      <w:r>
        <w:rPr>
          <w:rFonts w:ascii="Tahoma" w:hAnsi="Tahoma" w:hint="cs"/>
          <w:rtl/>
        </w:rPr>
        <w:t>היא לא נחבלה ו</w:t>
      </w:r>
      <w:r w:rsidRPr="000F4809">
        <w:rPr>
          <w:rFonts w:ascii="Tahoma" w:hAnsi="Tahoma" w:hint="cs"/>
          <w:rtl/>
        </w:rPr>
        <w:t xml:space="preserve">לא נראה שנגרם </w:t>
      </w:r>
      <w:r>
        <w:rPr>
          <w:rFonts w:ascii="Tahoma" w:hAnsi="Tahoma" w:hint="cs"/>
          <w:rtl/>
        </w:rPr>
        <w:t xml:space="preserve">לה </w:t>
      </w:r>
      <w:r w:rsidRPr="000F4809">
        <w:rPr>
          <w:rFonts w:ascii="Tahoma" w:hAnsi="Tahoma" w:hint="cs"/>
          <w:rtl/>
        </w:rPr>
        <w:t>נזק ארוך טווח או קבוע</w:t>
      </w:r>
      <w:r>
        <w:rPr>
          <w:rFonts w:ascii="Tahoma" w:hAnsi="Tahoma" w:hint="cs"/>
          <w:rtl/>
        </w:rPr>
        <w:t xml:space="preserve">. </w:t>
      </w:r>
      <w:r w:rsidRPr="000F4809">
        <w:rPr>
          <w:rFonts w:ascii="Tahoma" w:hAnsi="Tahoma" w:hint="cs"/>
          <w:rtl/>
        </w:rPr>
        <w:t>בנסיבות אלה</w:t>
      </w:r>
      <w:r>
        <w:rPr>
          <w:rFonts w:ascii="Tahoma" w:hAnsi="Tahoma" w:hint="cs"/>
          <w:rtl/>
        </w:rPr>
        <w:t>,</w:t>
      </w:r>
      <w:r w:rsidRPr="000F4809">
        <w:rPr>
          <w:rFonts w:ascii="Tahoma" w:hAnsi="Tahoma" w:hint="cs"/>
          <w:rtl/>
        </w:rPr>
        <w:t xml:space="preserve"> מתחם העונש ההולם שנקבע בעניין </w:t>
      </w:r>
      <w:r w:rsidRPr="000F4809">
        <w:rPr>
          <w:rFonts w:ascii="Tahoma" w:hAnsi="Tahoma" w:hint="cs"/>
          <w:b/>
          <w:bCs/>
          <w:rtl/>
        </w:rPr>
        <w:t>פלוני</w:t>
      </w:r>
      <w:r w:rsidRPr="000F4809">
        <w:rPr>
          <w:rFonts w:ascii="Tahoma" w:hAnsi="Tahoma" w:hint="cs"/>
          <w:rtl/>
        </w:rPr>
        <w:t xml:space="preserve"> הנ"ל </w:t>
      </w:r>
      <w:r w:rsidRPr="000F4809">
        <w:rPr>
          <w:rFonts w:ascii="Tahoma" w:hAnsi="Tahoma"/>
          <w:rtl/>
        </w:rPr>
        <w:t>–</w:t>
      </w:r>
      <w:r w:rsidRPr="000F4809">
        <w:rPr>
          <w:rFonts w:ascii="Tahoma" w:hAnsi="Tahoma" w:hint="cs"/>
          <w:rtl/>
        </w:rPr>
        <w:t xml:space="preserve"> דהיינו: מתחם שבין ענישה צופה פני עתיד לבין 8 חודשי מאסר בפועל </w:t>
      </w:r>
      <w:r w:rsidRPr="000F4809">
        <w:rPr>
          <w:rFonts w:ascii="Tahoma" w:hAnsi="Tahoma"/>
          <w:rtl/>
        </w:rPr>
        <w:t>–</w:t>
      </w:r>
      <w:r w:rsidRPr="000F4809">
        <w:rPr>
          <w:rFonts w:ascii="Tahoma" w:hAnsi="Tahoma" w:hint="cs"/>
          <w:rtl/>
        </w:rPr>
        <w:t xml:space="preserve"> מתאים גם בענייננו.</w:t>
      </w:r>
    </w:p>
    <w:p w14:paraId="44075DCF" w14:textId="77777777" w:rsidR="008D243B" w:rsidRPr="00761D70" w:rsidRDefault="008D243B" w:rsidP="008D243B">
      <w:pPr>
        <w:spacing w:after="120" w:line="360" w:lineRule="auto"/>
        <w:jc w:val="both"/>
        <w:rPr>
          <w:rtl/>
        </w:rPr>
      </w:pPr>
    </w:p>
    <w:p w14:paraId="69A6B9CB" w14:textId="77777777" w:rsidR="008D243B" w:rsidRPr="00A255B7" w:rsidRDefault="008D243B" w:rsidP="008D243B">
      <w:pPr>
        <w:snapToGrid w:val="0"/>
        <w:spacing w:after="120" w:line="360" w:lineRule="auto"/>
        <w:jc w:val="both"/>
        <w:rPr>
          <w:b/>
          <w:bCs/>
          <w:u w:val="single"/>
          <w:rtl/>
        </w:rPr>
      </w:pPr>
      <w:r w:rsidRPr="00A255B7">
        <w:rPr>
          <w:rFonts w:hint="cs"/>
          <w:b/>
          <w:bCs/>
          <w:rtl/>
        </w:rPr>
        <w:t>ה.</w:t>
      </w:r>
      <w:r w:rsidRPr="00A255B7">
        <w:rPr>
          <w:b/>
          <w:bCs/>
          <w:rtl/>
        </w:rPr>
        <w:tab/>
      </w:r>
      <w:r w:rsidRPr="00A255B7">
        <w:rPr>
          <w:rFonts w:hint="cs"/>
          <w:b/>
          <w:bCs/>
          <w:u w:val="single"/>
          <w:rtl/>
        </w:rPr>
        <w:t>גזירת עונשו של הנאשם בתוך מתחם העונש ההולם:</w:t>
      </w:r>
    </w:p>
    <w:p w14:paraId="3C329AA8" w14:textId="77777777" w:rsidR="008D243B" w:rsidRDefault="008D243B" w:rsidP="008D243B">
      <w:pPr>
        <w:numPr>
          <w:ilvl w:val="0"/>
          <w:numId w:val="1"/>
        </w:numPr>
        <w:tabs>
          <w:tab w:val="num" w:pos="720"/>
        </w:tabs>
        <w:spacing w:after="120" w:line="360" w:lineRule="auto"/>
        <w:ind w:left="720"/>
        <w:jc w:val="both"/>
        <w:rPr>
          <w:rFonts w:ascii="Tahoma" w:hAnsi="Tahoma"/>
        </w:rPr>
      </w:pPr>
      <w:r>
        <w:rPr>
          <w:rFonts w:hint="cs"/>
          <w:rtl/>
        </w:rPr>
        <w:t xml:space="preserve">לאחר קביעת מתחם העונש ההולם על בית המשפט לגזור את עונשו של הנאשם בתוך מתחם זה </w:t>
      </w:r>
      <w:r>
        <w:rPr>
          <w:rtl/>
        </w:rPr>
        <w:t>–</w:t>
      </w:r>
      <w:r>
        <w:rPr>
          <w:rFonts w:hint="cs"/>
          <w:rtl/>
        </w:rPr>
        <w:t xml:space="preserve"> למעט במקרים יוצאי דופן, בהם הוא רשאי לחרוג מכך, שאין עניינם לכאן </w:t>
      </w:r>
      <w:r>
        <w:rPr>
          <w:rtl/>
        </w:rPr>
        <w:t>–</w:t>
      </w:r>
      <w:r>
        <w:rPr>
          <w:rFonts w:hint="cs"/>
          <w:rtl/>
        </w:rPr>
        <w:t xml:space="preserve"> תוך התחשבות בנסיבות שאינן קשורות בביצוע העבירות.</w:t>
      </w:r>
    </w:p>
    <w:p w14:paraId="7C63E6CF" w14:textId="77777777" w:rsidR="008D243B" w:rsidRPr="00627467" w:rsidRDefault="008D243B" w:rsidP="008D243B">
      <w:pPr>
        <w:numPr>
          <w:ilvl w:val="0"/>
          <w:numId w:val="1"/>
        </w:numPr>
        <w:tabs>
          <w:tab w:val="num" w:pos="720"/>
        </w:tabs>
        <w:spacing w:after="120" w:line="360" w:lineRule="auto"/>
        <w:ind w:left="720"/>
        <w:jc w:val="both"/>
        <w:rPr>
          <w:rFonts w:ascii="Tahoma" w:hAnsi="Tahoma"/>
        </w:rPr>
      </w:pPr>
      <w:r>
        <w:rPr>
          <w:rFonts w:hint="cs"/>
          <w:rtl/>
        </w:rPr>
        <w:t>באשר לנאשם שלפניי, השיקולים הרלוואנטיים לגזירת עונשו הם כלהלן:</w:t>
      </w:r>
    </w:p>
    <w:p w14:paraId="1F9A93DA" w14:textId="77777777" w:rsidR="008D243B" w:rsidRDefault="008D243B" w:rsidP="008D243B">
      <w:pPr>
        <w:snapToGrid w:val="0"/>
        <w:spacing w:after="120" w:line="360" w:lineRule="auto"/>
        <w:ind w:left="1440"/>
        <w:jc w:val="both"/>
        <w:rPr>
          <w:rtl/>
        </w:rPr>
      </w:pPr>
      <w:r w:rsidRPr="00627467">
        <w:rPr>
          <w:rFonts w:hint="cs"/>
          <w:b/>
          <w:bCs/>
          <w:rtl/>
        </w:rPr>
        <w:t xml:space="preserve">עברו הפלילי של הנאשם </w:t>
      </w:r>
      <w:r w:rsidRPr="00627467">
        <w:rPr>
          <w:b/>
          <w:bCs/>
          <w:rtl/>
        </w:rPr>
        <w:t>–</w:t>
      </w:r>
      <w:r w:rsidRPr="00627467">
        <w:rPr>
          <w:rFonts w:hint="cs"/>
          <w:b/>
          <w:bCs/>
          <w:rtl/>
        </w:rPr>
        <w:t xml:space="preserve"> </w:t>
      </w:r>
      <w:r>
        <w:rPr>
          <w:rFonts w:hint="cs"/>
          <w:rtl/>
        </w:rPr>
        <w:t>לנאשם, יליד שנת 1975, אין הרשעות קודמות או מאוחרת לעבירות דנא. מדובר, כמובן, בנסיבה מהותית לקולת העונש.</w:t>
      </w:r>
    </w:p>
    <w:p w14:paraId="0826E764" w14:textId="77777777" w:rsidR="008D243B" w:rsidRDefault="008D243B" w:rsidP="008D243B">
      <w:pPr>
        <w:snapToGrid w:val="0"/>
        <w:spacing w:after="120" w:line="360" w:lineRule="auto"/>
        <w:ind w:left="1440"/>
        <w:jc w:val="both"/>
        <w:rPr>
          <w:rFonts w:ascii="Tahoma" w:hAnsi="Tahoma"/>
          <w:rtl/>
        </w:rPr>
      </w:pPr>
      <w:r w:rsidRPr="00627467">
        <w:rPr>
          <w:rFonts w:hint="cs"/>
          <w:b/>
          <w:bCs/>
          <w:rtl/>
        </w:rPr>
        <w:t xml:space="preserve">הודאה ונטילת אחריות </w:t>
      </w:r>
      <w:r>
        <w:rPr>
          <w:rtl/>
        </w:rPr>
        <w:t>–</w:t>
      </w:r>
      <w:r>
        <w:rPr>
          <w:rFonts w:hint="cs"/>
          <w:rtl/>
        </w:rPr>
        <w:t xml:space="preserve"> </w:t>
      </w:r>
      <w:r>
        <w:rPr>
          <w:rFonts w:ascii="Tahoma" w:hAnsi="Tahoma" w:hint="cs"/>
          <w:rtl/>
        </w:rPr>
        <w:t xml:space="preserve">הנאשם כפר בעובדות כתב האישום ועמד על ניהול הליך שמיעת ראיות מלא, שכלל חקירה נגדית ממצה של המתלוננת. זוהי כמובן זכותו הבסיסית של הנאשם לעמוד על ניהול משפטו במלואו ואין לזקוף זאת לחובתו (ור' גם בהוראות </w:t>
      </w:r>
      <w:hyperlink r:id="rId28" w:history="1">
        <w:r w:rsidR="00300CD5" w:rsidRPr="00300CD5">
          <w:rPr>
            <w:rFonts w:ascii="Tahoma" w:hAnsi="Tahoma"/>
            <w:color w:val="0000FF"/>
            <w:u w:val="single"/>
            <w:rtl/>
          </w:rPr>
          <w:t>סעיף 40יא(6)</w:t>
        </w:r>
      </w:hyperlink>
      <w:r>
        <w:rPr>
          <w:rFonts w:ascii="Tahoma" w:hAnsi="Tahoma" w:hint="cs"/>
          <w:rtl/>
        </w:rPr>
        <w:t xml:space="preserve"> סיפא ל</w:t>
      </w:r>
      <w:hyperlink r:id="rId29" w:history="1">
        <w:r w:rsidR="00AD274D" w:rsidRPr="00AD274D">
          <w:rPr>
            <w:rFonts w:ascii="Tahoma" w:hAnsi="Tahoma"/>
            <w:color w:val="0000FF"/>
            <w:u w:val="single"/>
            <w:rtl/>
          </w:rPr>
          <w:t>חוק העונשין</w:t>
        </w:r>
      </w:hyperlink>
      <w:r>
        <w:rPr>
          <w:rFonts w:ascii="Tahoma" w:hAnsi="Tahoma" w:hint="cs"/>
          <w:rtl/>
        </w:rPr>
        <w:t>). יחד עם זאת, בנסיבות אלה אין הנאשם זכאי להקלה הניתנת למי שמודה באשמה, נוטל אחריות על מעשיו, או לכל הפחות מקבל עליו את הדין לאחר הרשעתו.</w:t>
      </w:r>
    </w:p>
    <w:p w14:paraId="5787AEF5" w14:textId="77777777" w:rsidR="008D243B" w:rsidRDefault="008D243B" w:rsidP="008D243B">
      <w:pPr>
        <w:snapToGrid w:val="0"/>
        <w:spacing w:after="120" w:line="360" w:lineRule="auto"/>
        <w:ind w:left="1440"/>
        <w:jc w:val="both"/>
        <w:rPr>
          <w:rtl/>
        </w:rPr>
      </w:pPr>
      <w:r w:rsidRPr="00627467">
        <w:rPr>
          <w:rFonts w:hint="cs"/>
          <w:b/>
          <w:bCs/>
          <w:rtl/>
        </w:rPr>
        <w:t xml:space="preserve">נתוניו האישיים של הנאשם ונסיבות חייו </w:t>
      </w:r>
      <w:r>
        <w:rPr>
          <w:rtl/>
        </w:rPr>
        <w:t>–</w:t>
      </w:r>
      <w:r>
        <w:rPr>
          <w:rFonts w:hint="cs"/>
          <w:rtl/>
        </w:rPr>
        <w:t xml:space="preserve"> הנאשם רווק, כבן 43 שנים כיום. לנאשם השכלה אקדמית והכשרה כאמור בפסקה 14 דלעיל. בנוסף, עדי האופי שהעידו לפניי סיפרו על מעשיו הטובים של הנאשם ועל נכונותו להושיט עזרה לזולתו.</w:t>
      </w:r>
    </w:p>
    <w:p w14:paraId="0B4FDFB9" w14:textId="77777777" w:rsidR="008D243B" w:rsidRDefault="008D243B" w:rsidP="008D243B">
      <w:pPr>
        <w:snapToGrid w:val="0"/>
        <w:spacing w:after="120" w:line="360" w:lineRule="auto"/>
        <w:ind w:left="1440"/>
        <w:jc w:val="both"/>
        <w:rPr>
          <w:rtl/>
        </w:rPr>
      </w:pPr>
      <w:r>
        <w:rPr>
          <w:rFonts w:hint="cs"/>
          <w:b/>
          <w:bCs/>
          <w:rtl/>
        </w:rPr>
        <w:t>חלוף הזמן מעת ביצוע העבירה –</w:t>
      </w:r>
      <w:r>
        <w:rPr>
          <w:rFonts w:hint="cs"/>
          <w:rtl/>
        </w:rPr>
        <w:t xml:space="preserve"> מעת ביצוע העבירה כבר חלפו כארבע וחצי שנים, זמן ניכר ומשמעותי לכל הדעות. יחד עם זאת, חלוף הזמן נגרם בשל התנהלות הנאשם, כפי שתוארה בתחילת גזר הדין, ובעניין זה אין לנאשם להלין אלא על עצמו. בהקשר זה אף לא ברורה הטרוניה שהעלה הנאשם בעניין חלוף הזמן במסגרת דברו האחרון לעונש, כאשר אפילו את מועד הטיעונים לעונש ביקש הוא-עצמו שוב לדחות.</w:t>
      </w:r>
    </w:p>
    <w:p w14:paraId="12467335" w14:textId="77777777" w:rsidR="008D243B" w:rsidRDefault="008D243B" w:rsidP="008D243B">
      <w:pPr>
        <w:numPr>
          <w:ilvl w:val="0"/>
          <w:numId w:val="1"/>
        </w:numPr>
        <w:tabs>
          <w:tab w:val="num" w:pos="720"/>
        </w:tabs>
        <w:spacing w:after="120" w:line="360" w:lineRule="auto"/>
        <w:ind w:left="720"/>
        <w:jc w:val="both"/>
        <w:rPr>
          <w:rFonts w:ascii="Tahoma" w:hAnsi="Tahoma"/>
        </w:rPr>
      </w:pPr>
      <w:r>
        <w:rPr>
          <w:rFonts w:hint="cs"/>
          <w:rtl/>
        </w:rPr>
        <w:t>התמונה העולה ממכלול הנסיבות והשיקולים שפורטו לעיל היא מורכבת. יחד עם זאת, ובמיוחד בשים לב לעמדת המתלוננת, ניתן להסתפק במקרה זה, ולו לפנים משורת הדין, ברף התחתון של מתחם העונש ההולם; תוך איזון הקלה זו בהטלת קנס כספי ופיצויים משמעותיים.</w:t>
      </w:r>
    </w:p>
    <w:p w14:paraId="33BE782B" w14:textId="77777777" w:rsidR="008D243B" w:rsidRPr="00AC62DF" w:rsidRDefault="008D243B" w:rsidP="008D243B">
      <w:pPr>
        <w:numPr>
          <w:ilvl w:val="0"/>
          <w:numId w:val="1"/>
        </w:numPr>
        <w:tabs>
          <w:tab w:val="num" w:pos="720"/>
        </w:tabs>
        <w:spacing w:after="120" w:line="360" w:lineRule="auto"/>
        <w:ind w:left="720"/>
        <w:jc w:val="both"/>
        <w:rPr>
          <w:rFonts w:ascii="Tahoma" w:hAnsi="Tahoma"/>
          <w:rtl/>
        </w:rPr>
      </w:pPr>
      <w:r>
        <w:rPr>
          <w:rFonts w:hint="cs"/>
          <w:rtl/>
        </w:rPr>
        <w:t xml:space="preserve">בנוסף, הנאשם הורשע בעבירה של החזקה ושימוש בסמים מסוכנים לצריכה עצמית, ותוצאות הבדיקות שנערכו לו בשירות המבחן מלמדות לכאורה על המשך שימוש בסמים מסוכנים. מכאן, שעתירת המאשימה לפסילת רישיון הנהיגה של הנאשם, בגדרי הוראות </w:t>
      </w:r>
      <w:hyperlink r:id="rId30" w:history="1">
        <w:r w:rsidR="00300CD5" w:rsidRPr="00300CD5">
          <w:rPr>
            <w:color w:val="0000FF"/>
            <w:u w:val="single"/>
            <w:rtl/>
          </w:rPr>
          <w:t>סעיף 37א</w:t>
        </w:r>
      </w:hyperlink>
      <w:r>
        <w:rPr>
          <w:rFonts w:hint="cs"/>
          <w:rtl/>
        </w:rPr>
        <w:t xml:space="preserve"> ל</w:t>
      </w:r>
      <w:hyperlink r:id="rId31" w:history="1">
        <w:r w:rsidR="00AD274D" w:rsidRPr="00AD274D">
          <w:rPr>
            <w:color w:val="0000FF"/>
            <w:u w:val="single"/>
            <w:rtl/>
          </w:rPr>
          <w:t>פקודת הסמים המסוכנים</w:t>
        </w:r>
      </w:hyperlink>
      <w:r>
        <w:rPr>
          <w:rFonts w:hint="cs"/>
          <w:rtl/>
        </w:rPr>
        <w:t>, היא במקומה. עם זאת, ניתן להסתפק בהקשר זה בענישה הצופה פני עתיד.</w:t>
      </w:r>
    </w:p>
    <w:p w14:paraId="2D14E124" w14:textId="77777777" w:rsidR="008D243B" w:rsidRDefault="008D243B" w:rsidP="008D243B">
      <w:pPr>
        <w:spacing w:after="120" w:line="360" w:lineRule="auto"/>
        <w:jc w:val="both"/>
        <w:rPr>
          <w:rtl/>
        </w:rPr>
      </w:pPr>
    </w:p>
    <w:p w14:paraId="150DDB8D" w14:textId="77777777" w:rsidR="008D243B" w:rsidRPr="00DE411D" w:rsidRDefault="008D243B" w:rsidP="008D243B">
      <w:pPr>
        <w:snapToGrid w:val="0"/>
        <w:spacing w:after="120" w:line="360" w:lineRule="auto"/>
        <w:jc w:val="both"/>
        <w:rPr>
          <w:b/>
          <w:bCs/>
          <w:u w:val="single"/>
          <w:rtl/>
        </w:rPr>
      </w:pPr>
      <w:r>
        <w:rPr>
          <w:rFonts w:hint="cs"/>
          <w:b/>
          <w:bCs/>
          <w:rtl/>
        </w:rPr>
        <w:t>ו</w:t>
      </w:r>
      <w:r w:rsidRPr="00627467">
        <w:rPr>
          <w:rFonts w:hint="cs"/>
          <w:b/>
          <w:bCs/>
          <w:rtl/>
        </w:rPr>
        <w:t>.</w:t>
      </w:r>
      <w:r w:rsidRPr="00627467">
        <w:rPr>
          <w:rFonts w:hint="cs"/>
          <w:b/>
          <w:bCs/>
          <w:rtl/>
        </w:rPr>
        <w:tab/>
      </w:r>
      <w:r>
        <w:rPr>
          <w:rFonts w:hint="cs"/>
          <w:b/>
          <w:bCs/>
          <w:u w:val="single"/>
          <w:rtl/>
        </w:rPr>
        <w:t>סוף</w:t>
      </w:r>
      <w:r w:rsidRPr="00DE411D">
        <w:rPr>
          <w:rFonts w:hint="cs"/>
          <w:b/>
          <w:bCs/>
          <w:u w:val="single"/>
          <w:rtl/>
        </w:rPr>
        <w:t xml:space="preserve"> </w:t>
      </w:r>
      <w:r>
        <w:rPr>
          <w:rFonts w:hint="cs"/>
          <w:b/>
          <w:bCs/>
          <w:u w:val="single"/>
          <w:rtl/>
        </w:rPr>
        <w:t>דבר</w:t>
      </w:r>
      <w:r w:rsidRPr="00DE411D">
        <w:rPr>
          <w:rFonts w:hint="cs"/>
          <w:b/>
          <w:bCs/>
          <w:u w:val="single"/>
          <w:rtl/>
        </w:rPr>
        <w:t>:</w:t>
      </w:r>
    </w:p>
    <w:p w14:paraId="4FAC6FE9" w14:textId="77777777" w:rsidR="008D243B" w:rsidRPr="00120D59" w:rsidRDefault="008D243B" w:rsidP="008D243B">
      <w:pPr>
        <w:numPr>
          <w:ilvl w:val="0"/>
          <w:numId w:val="1"/>
        </w:numPr>
        <w:tabs>
          <w:tab w:val="num" w:pos="720"/>
        </w:tabs>
        <w:spacing w:after="120" w:line="360" w:lineRule="auto"/>
        <w:ind w:left="72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254E269F" w14:textId="77777777" w:rsidR="008D243B" w:rsidRDefault="008D243B" w:rsidP="008D243B">
      <w:pPr>
        <w:spacing w:after="120" w:line="360" w:lineRule="auto"/>
        <w:ind w:left="1440" w:hanging="720"/>
        <w:jc w:val="both"/>
        <w:rPr>
          <w:rFonts w:ascii="Tahoma" w:hAnsi="Tahoma"/>
        </w:rPr>
      </w:pPr>
      <w:r>
        <w:rPr>
          <w:rFonts w:hint="cs"/>
          <w:rtl/>
        </w:rPr>
        <w:t>(א)</w:t>
      </w:r>
      <w:r>
        <w:rPr>
          <w:rtl/>
        </w:rPr>
        <w:tab/>
      </w:r>
      <w:r>
        <w:rPr>
          <w:rFonts w:hint="cs"/>
          <w:rtl/>
        </w:rPr>
        <w:t>מאסר על תנאי למשך 6 חודשים, אותו לא יישא הנאשם אלא אם כן יעבור, תוך שלוש שנים מהיום, עבירה של כליאת שווא או עבירה של אלימות נגד הגוף מכל סוג שהוא.</w:t>
      </w:r>
    </w:p>
    <w:p w14:paraId="422C6798" w14:textId="77777777" w:rsidR="008D243B" w:rsidRPr="00E0628E" w:rsidRDefault="008D243B" w:rsidP="008D243B">
      <w:pPr>
        <w:spacing w:after="120" w:line="360" w:lineRule="auto"/>
        <w:ind w:left="720"/>
        <w:jc w:val="both"/>
        <w:rPr>
          <w:rFonts w:ascii="Tahoma" w:hAnsi="Tahoma"/>
        </w:rPr>
      </w:pPr>
      <w:r>
        <w:rPr>
          <w:rFonts w:hint="cs"/>
          <w:rtl/>
        </w:rPr>
        <w:t>(ב)</w:t>
      </w:r>
      <w:r>
        <w:rPr>
          <w:rtl/>
        </w:rPr>
        <w:tab/>
      </w:r>
      <w:r>
        <w:rPr>
          <w:rFonts w:hint="cs"/>
          <w:rtl/>
        </w:rPr>
        <w:t>קנס בסך של 6,000 ₪, או 30 ימי מאסר תמורתו.</w:t>
      </w:r>
    </w:p>
    <w:p w14:paraId="3C8F1726" w14:textId="77777777" w:rsidR="008D243B" w:rsidRDefault="008D243B" w:rsidP="008D243B">
      <w:pPr>
        <w:spacing w:after="120" w:line="360" w:lineRule="auto"/>
        <w:ind w:left="1440"/>
        <w:jc w:val="both"/>
        <w:rPr>
          <w:rFonts w:ascii="Tahoma" w:hAnsi="Tahoma"/>
        </w:rPr>
      </w:pPr>
      <w:r>
        <w:rPr>
          <w:rFonts w:hint="cs"/>
          <w:rtl/>
        </w:rPr>
        <w:t>הקנס ישולם בשישה תשלומים חודשיים, שווים ורצופים, החל מיום 1.3.19 ובכל אחד בחודש שלאחריו. היה והנאשם לא ישלם את אחד התשלומים במועד תועמד כל יתרת הקנס לפירעון מידי.</w:t>
      </w:r>
    </w:p>
    <w:p w14:paraId="5877D9FB" w14:textId="77777777" w:rsidR="008D243B" w:rsidRDefault="008D243B" w:rsidP="008D243B">
      <w:pPr>
        <w:spacing w:after="120" w:line="360" w:lineRule="auto"/>
        <w:ind w:left="1440" w:hanging="720"/>
        <w:jc w:val="both"/>
        <w:rPr>
          <w:rtl/>
        </w:rPr>
      </w:pPr>
      <w:r>
        <w:rPr>
          <w:rFonts w:hint="cs"/>
          <w:rtl/>
        </w:rPr>
        <w:t>(ג)</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32" w:history="1">
        <w:r w:rsidR="00AD274D" w:rsidRPr="00AD274D">
          <w:rPr>
            <w:color w:val="0000FF"/>
            <w:u w:val="single"/>
            <w:rtl/>
          </w:rPr>
          <w:t>פקודת הסמים המסוכנים</w:t>
        </w:r>
      </w:hyperlink>
      <w:r>
        <w:rPr>
          <w:rFonts w:hint="cs"/>
          <w:rtl/>
        </w:rPr>
        <w:t>.</w:t>
      </w:r>
    </w:p>
    <w:p w14:paraId="08F24F79" w14:textId="77777777" w:rsidR="008D243B" w:rsidRDefault="008D243B" w:rsidP="008D243B">
      <w:pPr>
        <w:spacing w:after="120" w:line="360" w:lineRule="auto"/>
        <w:ind w:left="1440" w:hanging="720"/>
        <w:jc w:val="both"/>
        <w:rPr>
          <w:rFonts w:ascii="Tahoma" w:hAnsi="Tahoma"/>
          <w:rtl/>
        </w:rPr>
      </w:pPr>
      <w:r>
        <w:rPr>
          <w:rFonts w:hint="cs"/>
          <w:rtl/>
        </w:rPr>
        <w:t>(ד)</w:t>
      </w:r>
      <w:r>
        <w:rPr>
          <w:rtl/>
        </w:rPr>
        <w:tab/>
      </w:r>
      <w:r>
        <w:rPr>
          <w:rFonts w:hint="cs"/>
          <w:rtl/>
        </w:rPr>
        <w:t>פיצויים למתלוננת, עדת תביעה מס' 2, בסך של 9,000 ₪. הפיצויים יופקדו בקופת בית המשפט עד ולא יאוחר מיום 1.3.19</w:t>
      </w:r>
      <w:r>
        <w:rPr>
          <w:rFonts w:ascii="Tahoma" w:hAnsi="Tahoma" w:hint="cs"/>
          <w:rtl/>
        </w:rPr>
        <w:t>.</w:t>
      </w:r>
    </w:p>
    <w:p w14:paraId="52DF8DE7" w14:textId="77777777" w:rsidR="008D243B" w:rsidRDefault="008D243B" w:rsidP="008D243B">
      <w:pPr>
        <w:spacing w:after="240" w:line="360" w:lineRule="auto"/>
        <w:ind w:left="1440" w:hanging="720"/>
        <w:jc w:val="both"/>
        <w:rPr>
          <w:rFonts w:ascii="Tahoma" w:hAnsi="Tahoma"/>
        </w:rPr>
      </w:pPr>
      <w:r>
        <w:rPr>
          <w:rFonts w:ascii="Tahoma" w:hAnsi="Tahoma"/>
          <w:rtl/>
        </w:rPr>
        <w:tab/>
      </w:r>
      <w:r>
        <w:rPr>
          <w:rFonts w:ascii="Tahoma" w:hAnsi="Tahoma" w:hint="cs"/>
          <w:rtl/>
        </w:rPr>
        <w:t>באחריות ב"כ המאשימה להגיש הודעה למזכירות בית המשפט בדבר פרטי המתלוננת, לצורך העברת הפיצויים.</w:t>
      </w:r>
    </w:p>
    <w:p w14:paraId="6553B28E" w14:textId="77777777" w:rsidR="008D243B" w:rsidRDefault="008D243B" w:rsidP="008D243B">
      <w:pPr>
        <w:spacing w:after="240" w:line="360" w:lineRule="auto"/>
        <w:jc w:val="both"/>
        <w:rPr>
          <w:rtl/>
        </w:rPr>
      </w:pPr>
      <w:r>
        <w:rPr>
          <w:rFonts w:hint="cs"/>
          <w:rtl/>
        </w:rPr>
        <w:t>ניתן בזה צו כללי, לעניין מוצגים, לשיקול דעתו של קצין משטרה. הסמים יושמדו.</w:t>
      </w:r>
    </w:p>
    <w:p w14:paraId="56F5D10B" w14:textId="77777777" w:rsidR="008D243B" w:rsidRDefault="008D243B" w:rsidP="008D243B">
      <w:pPr>
        <w:snapToGrid w:val="0"/>
        <w:spacing w:after="240" w:line="360" w:lineRule="auto"/>
        <w:jc w:val="both"/>
        <w:rPr>
          <w:rtl/>
        </w:rPr>
      </w:pPr>
      <w:r>
        <w:rPr>
          <w:rFonts w:hint="cs"/>
          <w:rtl/>
        </w:rPr>
        <w:t>זכות ערעור בתוך 45 יום מהיום.</w:t>
      </w:r>
    </w:p>
    <w:p w14:paraId="2F617C92" w14:textId="77777777" w:rsidR="008D243B" w:rsidRPr="00761D70" w:rsidRDefault="008D243B" w:rsidP="008D243B">
      <w:pPr>
        <w:spacing w:after="240" w:line="360" w:lineRule="auto"/>
        <w:jc w:val="both"/>
        <w:rPr>
          <w:rFonts w:ascii="Tahoma" w:hAnsi="Tahoma"/>
          <w:rtl/>
        </w:rPr>
      </w:pPr>
      <w:r>
        <w:rPr>
          <w:rFonts w:hint="cs"/>
          <w:rtl/>
        </w:rPr>
        <w:t>המזכירות תשלח העתק גזר דין זה לשירות המבחן.</w:t>
      </w:r>
    </w:p>
    <w:p w14:paraId="49F4C441" w14:textId="77777777" w:rsidR="008D243B" w:rsidRPr="00250B83" w:rsidRDefault="00AD274D" w:rsidP="008D243B">
      <w:pPr>
        <w:spacing w:line="360" w:lineRule="auto"/>
        <w:jc w:val="both"/>
        <w:rPr>
          <w:rFonts w:ascii="Arial" w:hAnsi="Arial"/>
        </w:rPr>
      </w:pPr>
      <w:r w:rsidRPr="00AD274D">
        <w:rPr>
          <w:rFonts w:ascii="Arial" w:hAnsi="Arial"/>
          <w:color w:val="FFFFFF"/>
          <w:sz w:val="2"/>
          <w:szCs w:val="2"/>
          <w:rtl/>
        </w:rPr>
        <w:t>5129371</w:t>
      </w:r>
      <w:r>
        <w:rPr>
          <w:rFonts w:ascii="Arial" w:hAnsi="Arial"/>
          <w:rtl/>
        </w:rPr>
        <w:t xml:space="preserve">ניתן היום,  ג' שבט תשע"ט, 09 ינואר 2019, במעמד הצדדים. </w:t>
      </w:r>
    </w:p>
    <w:p w14:paraId="4E19DBF0" w14:textId="77777777" w:rsidR="008D243B" w:rsidRPr="00AD274D" w:rsidRDefault="00AD274D" w:rsidP="008D243B">
      <w:pPr>
        <w:rPr>
          <w:color w:val="FFFFFF"/>
          <w:sz w:val="2"/>
          <w:szCs w:val="2"/>
          <w:rtl/>
        </w:rPr>
      </w:pPr>
      <w:r w:rsidRPr="00AD274D">
        <w:rPr>
          <w:color w:val="FFFFFF"/>
          <w:sz w:val="2"/>
          <w:szCs w:val="2"/>
          <w:rtl/>
        </w:rPr>
        <w:t>54678313</w:t>
      </w:r>
    </w:p>
    <w:p w14:paraId="5117565C" w14:textId="77777777" w:rsidR="008D243B" w:rsidRPr="00250B83" w:rsidRDefault="008D243B" w:rsidP="008D243B">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0758EEE7" w14:textId="77777777" w:rsidR="008D243B" w:rsidRPr="00250B83" w:rsidRDefault="008D243B" w:rsidP="008D243B">
      <w:pPr>
        <w:jc w:val="center"/>
        <w:rPr>
          <w:rFonts w:ascii="Arial" w:hAnsi="Arial"/>
          <w:rtl/>
        </w:rPr>
      </w:pPr>
    </w:p>
    <w:p w14:paraId="79D1C179" w14:textId="77777777" w:rsidR="008D243B" w:rsidRPr="00250B83" w:rsidRDefault="008D243B" w:rsidP="008D243B">
      <w:pPr>
        <w:rPr>
          <w:rtl/>
        </w:rPr>
      </w:pPr>
    </w:p>
    <w:p w14:paraId="7EF82994" w14:textId="77777777" w:rsidR="008D243B" w:rsidRPr="00625C29" w:rsidRDefault="00625C29" w:rsidP="008D243B">
      <w:pPr>
        <w:pStyle w:val="a3"/>
        <w:jc w:val="center"/>
        <w:rPr>
          <w:color w:val="FFFFFF"/>
          <w:sz w:val="2"/>
          <w:szCs w:val="2"/>
          <w:rtl/>
        </w:rPr>
      </w:pPr>
      <w:r w:rsidRPr="00625C29">
        <w:rPr>
          <w:color w:val="FFFFFF"/>
          <w:sz w:val="2"/>
          <w:szCs w:val="2"/>
          <w:rtl/>
        </w:rPr>
        <w:t>5129371</w:t>
      </w:r>
    </w:p>
    <w:p w14:paraId="115FFEE4" w14:textId="77777777" w:rsidR="003B45E9" w:rsidRPr="00625C29" w:rsidRDefault="00625C29" w:rsidP="00AD274D">
      <w:pPr>
        <w:keepNext/>
        <w:rPr>
          <w:rFonts w:ascii="David" w:hAnsi="David"/>
          <w:color w:val="FFFFFF"/>
          <w:sz w:val="2"/>
          <w:szCs w:val="2"/>
          <w:rtl/>
        </w:rPr>
      </w:pPr>
      <w:r w:rsidRPr="00625C29">
        <w:rPr>
          <w:rFonts w:ascii="David" w:hAnsi="David"/>
          <w:color w:val="FFFFFF"/>
          <w:sz w:val="2"/>
          <w:szCs w:val="2"/>
          <w:rtl/>
        </w:rPr>
        <w:t>54678313</w:t>
      </w:r>
    </w:p>
    <w:p w14:paraId="2AC22880" w14:textId="77777777" w:rsidR="00AD274D" w:rsidRPr="00AD274D" w:rsidRDefault="00AD274D" w:rsidP="00AD274D">
      <w:pPr>
        <w:keepNext/>
        <w:rPr>
          <w:rFonts w:ascii="David" w:hAnsi="David"/>
          <w:color w:val="000000"/>
          <w:sz w:val="22"/>
          <w:szCs w:val="22"/>
          <w:rtl/>
        </w:rPr>
      </w:pPr>
      <w:r w:rsidRPr="00AD274D">
        <w:rPr>
          <w:rFonts w:ascii="David" w:hAnsi="David"/>
          <w:color w:val="000000"/>
          <w:sz w:val="22"/>
          <w:szCs w:val="22"/>
          <w:rtl/>
        </w:rPr>
        <w:t>שאול אבינור 54678313</w:t>
      </w:r>
    </w:p>
    <w:p w14:paraId="75988EC3" w14:textId="77777777" w:rsidR="00AD274D" w:rsidRDefault="00AD274D" w:rsidP="00AD274D">
      <w:r w:rsidRPr="00AD274D">
        <w:rPr>
          <w:color w:val="000000"/>
          <w:rtl/>
        </w:rPr>
        <w:t>נוסח מסמך זה כפוף לשינויי ניסוח ועריכה</w:t>
      </w:r>
    </w:p>
    <w:p w14:paraId="78A9CDFD" w14:textId="77777777" w:rsidR="00AD274D" w:rsidRDefault="00AD274D" w:rsidP="00AD274D">
      <w:pPr>
        <w:rPr>
          <w:rtl/>
        </w:rPr>
      </w:pPr>
    </w:p>
    <w:p w14:paraId="25506C8E" w14:textId="77777777" w:rsidR="00AD274D" w:rsidRDefault="00AD274D" w:rsidP="00AD274D">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196150FD" w14:textId="77777777" w:rsidR="00AD274D" w:rsidRPr="00AD274D" w:rsidRDefault="00AD274D" w:rsidP="00625C29">
      <w:pPr>
        <w:rPr>
          <w:color w:val="0000FF"/>
          <w:u w:val="single"/>
        </w:rPr>
      </w:pPr>
    </w:p>
    <w:sectPr w:rsidR="00AD274D" w:rsidRPr="00AD274D" w:rsidSect="00625C29">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6F208" w14:textId="77777777" w:rsidR="008906E2" w:rsidRDefault="008906E2" w:rsidP="009E01FE">
      <w:r>
        <w:separator/>
      </w:r>
    </w:p>
  </w:endnote>
  <w:endnote w:type="continuationSeparator" w:id="0">
    <w:p w14:paraId="7A042A45" w14:textId="77777777" w:rsidR="008906E2" w:rsidRDefault="008906E2" w:rsidP="009E0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9E90F" w14:textId="77777777" w:rsidR="00625C29" w:rsidRDefault="00625C29" w:rsidP="00625C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13E90A8" w14:textId="77777777" w:rsidR="0003513C" w:rsidRPr="00625C29" w:rsidRDefault="00625C29" w:rsidP="00625C29">
    <w:pPr>
      <w:pStyle w:val="a5"/>
      <w:pBdr>
        <w:top w:val="single" w:sz="4" w:space="1" w:color="auto"/>
        <w:between w:val="single" w:sz="4" w:space="0" w:color="auto"/>
      </w:pBdr>
      <w:spacing w:after="60"/>
      <w:jc w:val="center"/>
      <w:rPr>
        <w:rFonts w:ascii="FrankRuehl" w:hAnsi="FrankRuehl" w:cs="FrankRuehl"/>
        <w:color w:val="000000"/>
      </w:rPr>
    </w:pPr>
    <w:r w:rsidRPr="00625C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8C691" w14:textId="77777777" w:rsidR="00625C29" w:rsidRDefault="00625C29" w:rsidP="00625C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D495F">
      <w:rPr>
        <w:rFonts w:ascii="FrankRuehl" w:hAnsi="FrankRuehl" w:cs="FrankRuehl"/>
        <w:noProof/>
        <w:rtl/>
      </w:rPr>
      <w:t>1</w:t>
    </w:r>
    <w:r>
      <w:rPr>
        <w:rFonts w:ascii="FrankRuehl" w:hAnsi="FrankRuehl" w:cs="FrankRuehl"/>
        <w:rtl/>
      </w:rPr>
      <w:fldChar w:fldCharType="end"/>
    </w:r>
  </w:p>
  <w:p w14:paraId="6AF66FDB" w14:textId="77777777" w:rsidR="0003513C" w:rsidRPr="00625C29" w:rsidRDefault="00625C29" w:rsidP="00625C29">
    <w:pPr>
      <w:pStyle w:val="a5"/>
      <w:pBdr>
        <w:top w:val="single" w:sz="4" w:space="1" w:color="auto"/>
        <w:between w:val="single" w:sz="4" w:space="0" w:color="auto"/>
      </w:pBdr>
      <w:spacing w:after="60"/>
      <w:jc w:val="center"/>
      <w:rPr>
        <w:rFonts w:ascii="FrankRuehl" w:hAnsi="FrankRuehl" w:cs="FrankRuehl"/>
        <w:color w:val="000000"/>
      </w:rPr>
    </w:pPr>
    <w:r w:rsidRPr="00625C29">
      <w:rPr>
        <w:rFonts w:ascii="FrankRuehl" w:hAnsi="FrankRuehl" w:cs="FrankRuehl"/>
        <w:color w:val="000000"/>
      </w:rPr>
      <w:pict w14:anchorId="1089C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AB69A" w14:textId="77777777" w:rsidR="008906E2" w:rsidRDefault="008906E2" w:rsidP="009E01FE">
      <w:r>
        <w:separator/>
      </w:r>
    </w:p>
  </w:footnote>
  <w:footnote w:type="continuationSeparator" w:id="0">
    <w:p w14:paraId="553CC895" w14:textId="77777777" w:rsidR="008906E2" w:rsidRDefault="008906E2" w:rsidP="009E0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6E860" w14:textId="77777777" w:rsidR="00AD274D" w:rsidRPr="00625C29" w:rsidRDefault="00625C29" w:rsidP="00625C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50305-12-14</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D0688" w14:textId="77777777" w:rsidR="00AD274D" w:rsidRPr="00625C29" w:rsidRDefault="00625C29" w:rsidP="00625C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50305-12-14</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81BE8"/>
    <w:multiLevelType w:val="hybridMultilevel"/>
    <w:tmpl w:val="AB02FB9C"/>
    <w:lvl w:ilvl="0" w:tplc="4DEA6950">
      <w:start w:val="1"/>
      <w:numFmt w:val="decimal"/>
      <w:lvlText w:val="%1."/>
      <w:lvlJc w:val="left"/>
      <w:pPr>
        <w:tabs>
          <w:tab w:val="num" w:pos="1080"/>
        </w:tabs>
        <w:ind w:left="1080" w:hanging="720"/>
      </w:pPr>
      <w:rPr>
        <w:rFonts w:cs="David"/>
        <w:b w:val="0"/>
        <w:bCs w:val="0"/>
        <w:lang w:val="en-US" w:bidi="he-I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1447403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243B"/>
    <w:rsid w:val="0003513C"/>
    <w:rsid w:val="00231663"/>
    <w:rsid w:val="00300CD5"/>
    <w:rsid w:val="00381020"/>
    <w:rsid w:val="003B45E9"/>
    <w:rsid w:val="00625C29"/>
    <w:rsid w:val="0066793D"/>
    <w:rsid w:val="007D495F"/>
    <w:rsid w:val="0085019C"/>
    <w:rsid w:val="008906E2"/>
    <w:rsid w:val="008D243B"/>
    <w:rsid w:val="009E01FE"/>
    <w:rsid w:val="00A4146F"/>
    <w:rsid w:val="00AD274D"/>
    <w:rsid w:val="00BB08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CF90CB6"/>
  <w15:chartTrackingRefBased/>
  <w15:docId w15:val="{B054A0E2-0C9F-4480-A3F9-B29C5922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243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D243B"/>
    <w:pPr>
      <w:tabs>
        <w:tab w:val="center" w:pos="4153"/>
        <w:tab w:val="right" w:pos="8306"/>
      </w:tabs>
    </w:pPr>
  </w:style>
  <w:style w:type="character" w:customStyle="1" w:styleId="a4">
    <w:name w:val="כותרת עליונה תו"/>
    <w:link w:val="a3"/>
    <w:rsid w:val="008D243B"/>
    <w:rPr>
      <w:rFonts w:ascii="Times New Roman" w:eastAsia="Times New Roman" w:hAnsi="Times New Roman" w:cs="David"/>
      <w:sz w:val="24"/>
      <w:szCs w:val="24"/>
    </w:rPr>
  </w:style>
  <w:style w:type="paragraph" w:styleId="a5">
    <w:name w:val="footer"/>
    <w:basedOn w:val="a"/>
    <w:link w:val="a6"/>
    <w:rsid w:val="008D243B"/>
    <w:pPr>
      <w:tabs>
        <w:tab w:val="center" w:pos="4153"/>
        <w:tab w:val="right" w:pos="8306"/>
      </w:tabs>
    </w:pPr>
  </w:style>
  <w:style w:type="character" w:customStyle="1" w:styleId="a6">
    <w:name w:val="כותרת תחתונה תו"/>
    <w:link w:val="a5"/>
    <w:rsid w:val="008D243B"/>
    <w:rPr>
      <w:rFonts w:ascii="Times New Roman" w:eastAsia="Times New Roman" w:hAnsi="Times New Roman" w:cs="David"/>
      <w:sz w:val="24"/>
      <w:szCs w:val="24"/>
    </w:rPr>
  </w:style>
  <w:style w:type="table" w:styleId="a7">
    <w:name w:val="Table Grid"/>
    <w:basedOn w:val="a1"/>
    <w:rsid w:val="008D24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D243B"/>
  </w:style>
  <w:style w:type="character" w:styleId="Hyperlink">
    <w:name w:val="Hyperlink"/>
    <w:rsid w:val="00AD274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40i.a.4" TargetMode="External"/><Relationship Id="rId39" Type="http://schemas.openxmlformats.org/officeDocument/2006/relationships/theme" Target="theme/theme1.xml"/><Relationship Id="rId21" Type="http://schemas.openxmlformats.org/officeDocument/2006/relationships/hyperlink" Target="http://www.nevo.co.il/law/4216/7.c"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40ja.6" TargetMode="External"/><Relationship Id="rId17" Type="http://schemas.openxmlformats.org/officeDocument/2006/relationships/hyperlink" Target="http://www.nevo.co.il/law/70301/377" TargetMode="External"/><Relationship Id="rId25" Type="http://schemas.openxmlformats.org/officeDocument/2006/relationships/hyperlink" Target="http://www.nevo.co.il/case/21483050"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37a" TargetMode="External"/><Relationship Id="rId20" Type="http://schemas.openxmlformats.org/officeDocument/2006/relationships/hyperlink" Target="http://www.nevo.co.il/law/4216/7.a"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2.b"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aw/70301/192" TargetMode="External"/><Relationship Id="rId28" Type="http://schemas.openxmlformats.org/officeDocument/2006/relationships/hyperlink" Target="http://www.nevo.co.il/law/70301/40ja.6" TargetMode="External"/><Relationship Id="rId36" Type="http://schemas.openxmlformats.org/officeDocument/2006/relationships/footer" Target="footer1.xml"/><Relationship Id="rId10" Type="http://schemas.openxmlformats.org/officeDocument/2006/relationships/hyperlink" Target="http://www.nevo.co.il/law/70301/377" TargetMode="External"/><Relationship Id="rId19" Type="http://schemas.openxmlformats.org/officeDocument/2006/relationships/hyperlink" Target="http://www.nevo.co.il/law/70301/382.b"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37a" TargetMode="External"/><Relationship Id="rId35" Type="http://schemas.openxmlformats.org/officeDocument/2006/relationships/header" Target="header2.xml"/><Relationship Id="rId8" Type="http://schemas.openxmlformats.org/officeDocument/2006/relationships/hyperlink" Target="http://www.nevo.co.il/law/70301/40i.a.4"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2570</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15393</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2883709</vt:i4>
      </vt:variant>
      <vt:variant>
        <vt:i4>69</vt:i4>
      </vt:variant>
      <vt:variant>
        <vt:i4>0</vt:i4>
      </vt:variant>
      <vt:variant>
        <vt:i4>5</vt:i4>
      </vt:variant>
      <vt:variant>
        <vt:lpwstr>http://www.nevo.co.il/law/4216/37a</vt:lpwstr>
      </vt:variant>
      <vt:variant>
        <vt:lpwstr/>
      </vt:variant>
      <vt:variant>
        <vt:i4>7995492</vt:i4>
      </vt:variant>
      <vt:variant>
        <vt:i4>66</vt:i4>
      </vt:variant>
      <vt:variant>
        <vt:i4>0</vt:i4>
      </vt:variant>
      <vt:variant>
        <vt:i4>5</vt:i4>
      </vt:variant>
      <vt:variant>
        <vt:lpwstr>http://www.nevo.co.il/law/70301</vt:lpwstr>
      </vt:variant>
      <vt:variant>
        <vt:lpwstr/>
      </vt:variant>
      <vt:variant>
        <vt:i4>3276837</vt:i4>
      </vt:variant>
      <vt:variant>
        <vt:i4>63</vt:i4>
      </vt:variant>
      <vt:variant>
        <vt:i4>0</vt:i4>
      </vt:variant>
      <vt:variant>
        <vt:i4>5</vt:i4>
      </vt:variant>
      <vt:variant>
        <vt:lpwstr>http://www.nevo.co.il/law/70301/40ja.6</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6619241</vt:i4>
      </vt:variant>
      <vt:variant>
        <vt:i4>57</vt:i4>
      </vt:variant>
      <vt:variant>
        <vt:i4>0</vt:i4>
      </vt:variant>
      <vt:variant>
        <vt:i4>5</vt:i4>
      </vt:variant>
      <vt:variant>
        <vt:lpwstr>http://www.nevo.co.il/law/70301/40i.a.4</vt:lpwstr>
      </vt:variant>
      <vt:variant>
        <vt:lpwstr/>
      </vt:variant>
      <vt:variant>
        <vt:i4>3145853</vt:i4>
      </vt:variant>
      <vt:variant>
        <vt:i4>54</vt:i4>
      </vt:variant>
      <vt:variant>
        <vt:i4>0</vt:i4>
      </vt:variant>
      <vt:variant>
        <vt:i4>5</vt:i4>
      </vt:variant>
      <vt:variant>
        <vt:lpwstr>http://www.nevo.co.il/case/21483050</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4390996</vt:i4>
      </vt:variant>
      <vt:variant>
        <vt:i4>36</vt:i4>
      </vt:variant>
      <vt:variant>
        <vt:i4>0</vt:i4>
      </vt:variant>
      <vt:variant>
        <vt:i4>5</vt:i4>
      </vt:variant>
      <vt:variant>
        <vt:lpwstr>http://www.nevo.co.il/law/70301/382.b</vt:lpwstr>
      </vt:variant>
      <vt:variant>
        <vt:lpwstr/>
      </vt:variant>
      <vt:variant>
        <vt:i4>7995492</vt:i4>
      </vt:variant>
      <vt:variant>
        <vt:i4>33</vt:i4>
      </vt:variant>
      <vt:variant>
        <vt:i4>0</vt:i4>
      </vt:variant>
      <vt:variant>
        <vt:i4>5</vt:i4>
      </vt:variant>
      <vt:variant>
        <vt:lpwstr>http://www.nevo.co.il/law/70301</vt:lpwstr>
      </vt:variant>
      <vt:variant>
        <vt:lpwstr/>
      </vt:variant>
      <vt:variant>
        <vt:i4>6422630</vt:i4>
      </vt:variant>
      <vt:variant>
        <vt:i4>30</vt:i4>
      </vt:variant>
      <vt:variant>
        <vt:i4>0</vt:i4>
      </vt:variant>
      <vt:variant>
        <vt:i4>5</vt:i4>
      </vt:variant>
      <vt:variant>
        <vt:lpwstr>http://www.nevo.co.il/law/70301/377</vt:lpwstr>
      </vt:variant>
      <vt:variant>
        <vt:lpwstr/>
      </vt:variant>
      <vt:variant>
        <vt:i4>2883709</vt:i4>
      </vt:variant>
      <vt:variant>
        <vt:i4>27</vt:i4>
      </vt:variant>
      <vt:variant>
        <vt:i4>0</vt:i4>
      </vt:variant>
      <vt:variant>
        <vt:i4>5</vt:i4>
      </vt:variant>
      <vt:variant>
        <vt:lpwstr>http://www.nevo.co.il/law/4216/37a</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3276837</vt:i4>
      </vt:variant>
      <vt:variant>
        <vt:i4>15</vt:i4>
      </vt:variant>
      <vt:variant>
        <vt:i4>0</vt:i4>
      </vt:variant>
      <vt:variant>
        <vt:i4>5</vt:i4>
      </vt:variant>
      <vt:variant>
        <vt:lpwstr>http://www.nevo.co.il/law/70301/40ja.6</vt:lpwstr>
      </vt:variant>
      <vt:variant>
        <vt:lpwstr/>
      </vt:variant>
      <vt:variant>
        <vt:i4>4390996</vt:i4>
      </vt:variant>
      <vt:variant>
        <vt:i4>12</vt:i4>
      </vt:variant>
      <vt:variant>
        <vt:i4>0</vt:i4>
      </vt:variant>
      <vt:variant>
        <vt:i4>5</vt:i4>
      </vt:variant>
      <vt:variant>
        <vt:lpwstr>http://www.nevo.co.il/law/70301/382.b</vt:lpwstr>
      </vt:variant>
      <vt:variant>
        <vt:lpwstr/>
      </vt:variant>
      <vt:variant>
        <vt:i4>6422630</vt:i4>
      </vt:variant>
      <vt:variant>
        <vt:i4>9</vt:i4>
      </vt:variant>
      <vt:variant>
        <vt:i4>0</vt:i4>
      </vt:variant>
      <vt:variant>
        <vt:i4>5</vt:i4>
      </vt:variant>
      <vt:variant>
        <vt:lpwstr>http://www.nevo.co.il/law/70301/377</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6619241</vt:i4>
      </vt:variant>
      <vt:variant>
        <vt:i4>3</vt:i4>
      </vt:variant>
      <vt:variant>
        <vt:i4>0</vt:i4>
      </vt:variant>
      <vt:variant>
        <vt:i4>5</vt:i4>
      </vt:variant>
      <vt:variant>
        <vt:lpwstr>http://www.nevo.co.il/law/70301/40i.a.4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2025-04-22T22:31:00Z</dcterms:created>
  <dcterms:modified xsi:type="dcterms:W3CDTF">2025-04-22T22:31:00Z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50305</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שאול אבינור</vt:lpwstr>
  </property>
  <property fmtid="{D5CDD505-2E9C-101B-9397-08002B2CF9AE}" pid="11" name="CITY">
    <vt:lpwstr>ת"א</vt:lpwstr>
  </property>
  <property fmtid="{D5CDD505-2E9C-101B-9397-08002B2CF9AE}" pid="12" name="DATE">
    <vt:lpwstr>20190109</vt:lpwstr>
  </property>
  <property fmtid="{D5CDD505-2E9C-101B-9397-08002B2CF9AE}" pid="13" name="TYPE_N_DATE">
    <vt:lpwstr>38020190109</vt:lpwstr>
  </property>
  <property fmtid="{D5CDD505-2E9C-101B-9397-08002B2CF9AE}" pid="14" name="CASESLISTTMP1">
    <vt:lpwstr>21483050</vt:lpwstr>
  </property>
  <property fmtid="{D5CDD505-2E9C-101B-9397-08002B2CF9AE}" pid="15" name="WORDNUMPAGES">
    <vt:lpwstr>8</vt:lpwstr>
  </property>
  <property fmtid="{D5CDD505-2E9C-101B-9397-08002B2CF9AE}" pid="16" name="TYPE_ABS_DATE">
    <vt:lpwstr>380020190109</vt:lpwstr>
  </property>
  <property fmtid="{D5CDD505-2E9C-101B-9397-08002B2CF9AE}" pid="17" name="ISABSTRACT">
    <vt:lpwstr>Y</vt:lpwstr>
  </property>
  <property fmtid="{D5CDD505-2E9C-101B-9397-08002B2CF9AE}" pid="18" name="LAWLISTTMP1">
    <vt:lpwstr>70301/377;382.b;192;040i.a.4;40ja.6</vt:lpwstr>
  </property>
  <property fmtid="{D5CDD505-2E9C-101B-9397-08002B2CF9AE}" pid="19" name="LAWLISTTMP2">
    <vt:lpwstr>4216/007.a;007.c;037a</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