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A43DC" w:rsidRPr="004530FC" w14:paraId="6218FADD" w14:textId="77777777">
        <w:trPr>
          <w:trHeight w:hRule="exact" w:val="418"/>
          <w:jc w:val="center"/>
        </w:trPr>
        <w:tc>
          <w:tcPr>
            <w:tcW w:w="8721" w:type="dxa"/>
            <w:gridSpan w:val="2"/>
          </w:tcPr>
          <w:p w14:paraId="3DAAF22A" w14:textId="77777777" w:rsidR="00FA43DC" w:rsidRPr="004530FC" w:rsidRDefault="004530FC">
            <w:pPr>
              <w:pStyle w:val="a3"/>
              <w:jc w:val="center"/>
              <w:rPr>
                <w:rFonts w:ascii="Tahoma" w:hAnsi="Tahoma" w:cs="Tahoma"/>
                <w:color w:val="000080"/>
                <w:rtl/>
              </w:rPr>
            </w:pPr>
            <w:bookmarkStart w:id="0" w:name="LastJudge"/>
            <w:r w:rsidRPr="004530FC">
              <w:rPr>
                <w:rFonts w:ascii="Tahoma" w:hAnsi="Tahoma" w:cs="Tahoma"/>
                <w:b/>
                <w:bCs/>
                <w:color w:val="000080"/>
                <w:rtl/>
              </w:rPr>
              <w:t>בית משפט השלום בתל אביב - יפו</w:t>
            </w:r>
          </w:p>
        </w:tc>
      </w:tr>
      <w:tr w:rsidR="00FA43DC" w:rsidRPr="004530FC" w14:paraId="15DC6B5A" w14:textId="77777777">
        <w:trPr>
          <w:trHeight w:val="337"/>
          <w:jc w:val="center"/>
        </w:trPr>
        <w:tc>
          <w:tcPr>
            <w:tcW w:w="5055" w:type="dxa"/>
          </w:tcPr>
          <w:p w14:paraId="735CE6AB" w14:textId="77777777" w:rsidR="00FA43DC" w:rsidRPr="004530FC" w:rsidRDefault="004530FC">
            <w:pPr>
              <w:rPr>
                <w:rFonts w:cs="FrankRuehl"/>
                <w:sz w:val="28"/>
                <w:szCs w:val="28"/>
                <w:rtl/>
              </w:rPr>
            </w:pPr>
            <w:r w:rsidRPr="004530FC">
              <w:rPr>
                <w:rFonts w:cs="FrankRuehl"/>
                <w:sz w:val="28"/>
                <w:szCs w:val="28"/>
                <w:rtl/>
              </w:rPr>
              <w:t>ת"פ</w:t>
            </w:r>
            <w:r w:rsidRPr="004530FC">
              <w:rPr>
                <w:rFonts w:cs="FrankRuehl" w:hint="cs"/>
                <w:sz w:val="28"/>
                <w:szCs w:val="28"/>
                <w:rtl/>
              </w:rPr>
              <w:t xml:space="preserve"> </w:t>
            </w:r>
            <w:r w:rsidRPr="004530FC">
              <w:rPr>
                <w:rFonts w:cs="FrankRuehl"/>
                <w:sz w:val="28"/>
                <w:szCs w:val="28"/>
                <w:rtl/>
              </w:rPr>
              <w:t>27025-01-15</w:t>
            </w:r>
            <w:r w:rsidRPr="004530FC">
              <w:rPr>
                <w:rFonts w:cs="FrankRuehl" w:hint="cs"/>
                <w:sz w:val="28"/>
                <w:szCs w:val="28"/>
                <w:rtl/>
              </w:rPr>
              <w:t xml:space="preserve"> </w:t>
            </w:r>
            <w:r w:rsidRPr="004530FC">
              <w:rPr>
                <w:rFonts w:cs="FrankRuehl"/>
                <w:sz w:val="28"/>
                <w:szCs w:val="28"/>
                <w:rtl/>
              </w:rPr>
              <w:t>מדינת ישראל נ' סטניסלב</w:t>
            </w:r>
            <w:r w:rsidRPr="004530FC">
              <w:rPr>
                <w:rFonts w:cs="FrankRuehl" w:hint="cs"/>
                <w:sz w:val="28"/>
                <w:szCs w:val="28"/>
                <w:rtl/>
              </w:rPr>
              <w:t xml:space="preserve"> </w:t>
            </w:r>
            <w:r w:rsidRPr="004530FC">
              <w:rPr>
                <w:rFonts w:cs="FrankRuehl"/>
                <w:sz w:val="28"/>
                <w:szCs w:val="28"/>
                <w:rtl/>
              </w:rPr>
              <w:t>(עציר)</w:t>
            </w:r>
          </w:p>
          <w:p w14:paraId="4E0A2E06" w14:textId="77777777" w:rsidR="00FA43DC" w:rsidRPr="004530FC" w:rsidRDefault="00FA43DC">
            <w:pPr>
              <w:pStyle w:val="a3"/>
              <w:rPr>
                <w:rFonts w:cs="FrankRuehl"/>
                <w:sz w:val="28"/>
                <w:szCs w:val="28"/>
                <w:rtl/>
              </w:rPr>
            </w:pPr>
          </w:p>
        </w:tc>
        <w:tc>
          <w:tcPr>
            <w:tcW w:w="3666" w:type="dxa"/>
          </w:tcPr>
          <w:p w14:paraId="7794786A" w14:textId="77777777" w:rsidR="00FA43DC" w:rsidRPr="004530FC" w:rsidRDefault="00FA43DC">
            <w:pPr>
              <w:pStyle w:val="a3"/>
              <w:jc w:val="right"/>
              <w:rPr>
                <w:rFonts w:cs="FrankRuehl"/>
                <w:sz w:val="28"/>
                <w:szCs w:val="28"/>
                <w:rtl/>
              </w:rPr>
            </w:pPr>
          </w:p>
        </w:tc>
      </w:tr>
    </w:tbl>
    <w:p w14:paraId="440F2473" w14:textId="77777777" w:rsidR="00FA43DC" w:rsidRPr="004530FC" w:rsidRDefault="004530FC">
      <w:pPr>
        <w:pStyle w:val="a3"/>
        <w:rPr>
          <w:rtl/>
        </w:rPr>
      </w:pPr>
      <w:r w:rsidRPr="004530FC">
        <w:rPr>
          <w:rFonts w:hint="cs"/>
          <w:rtl/>
        </w:rPr>
        <w:t xml:space="preserve"> </w:t>
      </w:r>
    </w:p>
    <w:p w14:paraId="13F637EE" w14:textId="77777777" w:rsidR="00FA43DC" w:rsidRPr="004530FC" w:rsidRDefault="00FA43DC">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A43DC" w:rsidRPr="004530FC" w14:paraId="0A806F69" w14:textId="77777777">
        <w:trPr>
          <w:trHeight w:val="295"/>
          <w:jc w:val="center"/>
        </w:trPr>
        <w:tc>
          <w:tcPr>
            <w:tcW w:w="923" w:type="dxa"/>
            <w:tcBorders>
              <w:top w:val="nil"/>
              <w:left w:val="nil"/>
              <w:bottom w:val="nil"/>
              <w:right w:val="nil"/>
            </w:tcBorders>
            <w:shd w:val="clear" w:color="auto" w:fill="auto"/>
          </w:tcPr>
          <w:p w14:paraId="67CC6B5E" w14:textId="77777777" w:rsidR="00FA43DC" w:rsidRPr="004530FC" w:rsidRDefault="004530FC">
            <w:pPr>
              <w:jc w:val="both"/>
              <w:rPr>
                <w:rFonts w:ascii="Arial" w:hAnsi="Arial"/>
                <w:b/>
                <w:bCs/>
                <w:sz w:val="26"/>
                <w:szCs w:val="26"/>
              </w:rPr>
            </w:pPr>
            <w:r w:rsidRPr="004530FC">
              <w:rPr>
                <w:rFonts w:ascii="Arial" w:hAnsi="Arial" w:hint="cs"/>
                <w:b/>
                <w:bCs/>
                <w:sz w:val="26"/>
                <w:szCs w:val="26"/>
                <w:rtl/>
              </w:rPr>
              <w:t>ב</w:t>
            </w:r>
            <w:r w:rsidRPr="004530FC">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283FE10C" w14:textId="77777777" w:rsidR="00FA43DC" w:rsidRPr="004530FC" w:rsidRDefault="004530FC">
            <w:pPr>
              <w:rPr>
                <w:rFonts w:ascii="Arial" w:hAnsi="Arial"/>
                <w:b/>
                <w:bCs/>
                <w:sz w:val="26"/>
                <w:szCs w:val="26"/>
                <w:rtl/>
              </w:rPr>
            </w:pPr>
            <w:r w:rsidRPr="004530FC">
              <w:rPr>
                <w:rFonts w:ascii="Arial" w:hAnsi="Arial" w:hint="cs"/>
                <w:b/>
                <w:bCs/>
                <w:sz w:val="26"/>
                <w:szCs w:val="26"/>
                <w:rtl/>
              </w:rPr>
              <w:t>כבוד ה</w:t>
            </w:r>
            <w:r w:rsidRPr="004530FC">
              <w:rPr>
                <w:rFonts w:hint="cs"/>
                <w:b/>
                <w:bCs/>
                <w:sz w:val="26"/>
                <w:szCs w:val="26"/>
                <w:rtl/>
              </w:rPr>
              <w:t>שופט</w:t>
            </w:r>
            <w:r w:rsidRPr="004530FC">
              <w:rPr>
                <w:rFonts w:ascii="Arial" w:hAnsi="Arial" w:hint="cs"/>
                <w:b/>
                <w:bCs/>
                <w:sz w:val="26"/>
                <w:szCs w:val="26"/>
                <w:rtl/>
              </w:rPr>
              <w:t xml:space="preserve"> </w:t>
            </w:r>
            <w:r w:rsidRPr="004530FC">
              <w:rPr>
                <w:rFonts w:hint="cs"/>
                <w:b/>
                <w:bCs/>
                <w:sz w:val="26"/>
                <w:szCs w:val="26"/>
                <w:rtl/>
              </w:rPr>
              <w:t>ד"ר שאול אבינור</w:t>
            </w:r>
          </w:p>
          <w:p w14:paraId="35A9526A" w14:textId="77777777" w:rsidR="00FA43DC" w:rsidRPr="004530FC" w:rsidRDefault="00FA43DC">
            <w:pPr>
              <w:rPr>
                <w:b/>
                <w:bCs/>
                <w:sz w:val="26"/>
                <w:szCs w:val="26"/>
                <w:rtl/>
              </w:rPr>
            </w:pPr>
          </w:p>
          <w:p w14:paraId="3BCB8A2B" w14:textId="77777777" w:rsidR="00FA43DC" w:rsidRPr="004530FC" w:rsidRDefault="00FA43DC">
            <w:pPr>
              <w:jc w:val="both"/>
              <w:rPr>
                <w:rFonts w:ascii="Arial" w:hAnsi="Arial"/>
                <w:b/>
                <w:bCs/>
                <w:sz w:val="26"/>
                <w:szCs w:val="26"/>
              </w:rPr>
            </w:pPr>
          </w:p>
        </w:tc>
      </w:tr>
      <w:tr w:rsidR="00FA43DC" w:rsidRPr="004530FC" w14:paraId="75092CBA" w14:textId="77777777">
        <w:trPr>
          <w:trHeight w:val="355"/>
          <w:jc w:val="center"/>
        </w:trPr>
        <w:tc>
          <w:tcPr>
            <w:tcW w:w="923" w:type="dxa"/>
            <w:tcBorders>
              <w:top w:val="nil"/>
              <w:left w:val="nil"/>
              <w:bottom w:val="nil"/>
              <w:right w:val="nil"/>
            </w:tcBorders>
            <w:shd w:val="clear" w:color="auto" w:fill="auto"/>
          </w:tcPr>
          <w:p w14:paraId="7C3ED62C" w14:textId="77777777" w:rsidR="00FA43DC" w:rsidRPr="004530FC" w:rsidRDefault="00FA43DC">
            <w:pPr>
              <w:jc w:val="both"/>
              <w:rPr>
                <w:rFonts w:ascii="Arial" w:hAnsi="Arial"/>
                <w:b/>
                <w:bCs/>
                <w:sz w:val="26"/>
                <w:szCs w:val="26"/>
                <w:rtl/>
              </w:rPr>
            </w:pPr>
            <w:bookmarkStart w:id="1" w:name="FirstAppellant"/>
          </w:p>
          <w:p w14:paraId="11AB5DAF" w14:textId="77777777" w:rsidR="00FA43DC" w:rsidRPr="004530FC" w:rsidRDefault="004530FC">
            <w:pPr>
              <w:jc w:val="both"/>
              <w:rPr>
                <w:rFonts w:ascii="Arial" w:hAnsi="Arial"/>
                <w:b/>
                <w:bCs/>
                <w:sz w:val="26"/>
                <w:szCs w:val="26"/>
              </w:rPr>
            </w:pPr>
            <w:r w:rsidRPr="004530F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635B440" w14:textId="77777777" w:rsidR="00FA43DC" w:rsidRPr="004530FC" w:rsidRDefault="00FA43DC">
            <w:pPr>
              <w:rPr>
                <w:b/>
                <w:bCs/>
                <w:sz w:val="26"/>
                <w:szCs w:val="26"/>
                <w:rtl/>
              </w:rPr>
            </w:pPr>
          </w:p>
          <w:p w14:paraId="0550E581" w14:textId="77777777" w:rsidR="00FA43DC" w:rsidRPr="004530FC" w:rsidRDefault="004530FC">
            <w:pPr>
              <w:rPr>
                <w:b/>
                <w:bCs/>
                <w:sz w:val="26"/>
                <w:szCs w:val="26"/>
              </w:rPr>
            </w:pPr>
            <w:r w:rsidRPr="004530FC">
              <w:rPr>
                <w:rFonts w:hint="cs"/>
                <w:b/>
                <w:bCs/>
                <w:sz w:val="26"/>
                <w:szCs w:val="26"/>
                <w:rtl/>
              </w:rPr>
              <w:t>מדינת ישראל</w:t>
            </w:r>
          </w:p>
        </w:tc>
        <w:tc>
          <w:tcPr>
            <w:tcW w:w="3771" w:type="dxa"/>
            <w:tcBorders>
              <w:top w:val="nil"/>
              <w:left w:val="nil"/>
              <w:bottom w:val="nil"/>
              <w:right w:val="nil"/>
            </w:tcBorders>
            <w:shd w:val="clear" w:color="auto" w:fill="auto"/>
          </w:tcPr>
          <w:p w14:paraId="0B8128DC" w14:textId="77777777" w:rsidR="00FA43DC" w:rsidRPr="004530FC" w:rsidRDefault="00FA43DC">
            <w:pPr>
              <w:jc w:val="both"/>
              <w:rPr>
                <w:rFonts w:ascii="Arial" w:hAnsi="Arial"/>
                <w:b/>
                <w:bCs/>
                <w:sz w:val="26"/>
                <w:szCs w:val="26"/>
              </w:rPr>
            </w:pPr>
          </w:p>
        </w:tc>
      </w:tr>
      <w:bookmarkEnd w:id="1"/>
      <w:tr w:rsidR="00FA43DC" w:rsidRPr="004530FC" w14:paraId="30A3B8E5" w14:textId="77777777">
        <w:trPr>
          <w:trHeight w:val="355"/>
          <w:jc w:val="center"/>
        </w:trPr>
        <w:tc>
          <w:tcPr>
            <w:tcW w:w="923" w:type="dxa"/>
            <w:tcBorders>
              <w:top w:val="nil"/>
              <w:left w:val="nil"/>
              <w:bottom w:val="nil"/>
              <w:right w:val="nil"/>
            </w:tcBorders>
            <w:shd w:val="clear" w:color="auto" w:fill="auto"/>
          </w:tcPr>
          <w:p w14:paraId="7C05CD3C" w14:textId="77777777" w:rsidR="00FA43DC" w:rsidRPr="004530FC" w:rsidRDefault="00FA43DC">
            <w:pPr>
              <w:jc w:val="both"/>
              <w:rPr>
                <w:rFonts w:ascii="Arial" w:hAnsi="Arial"/>
                <w:b/>
                <w:bCs/>
                <w:sz w:val="26"/>
                <w:szCs w:val="26"/>
                <w:rtl/>
              </w:rPr>
            </w:pPr>
          </w:p>
        </w:tc>
        <w:tc>
          <w:tcPr>
            <w:tcW w:w="4126" w:type="dxa"/>
            <w:tcBorders>
              <w:top w:val="nil"/>
              <w:left w:val="nil"/>
              <w:bottom w:val="nil"/>
              <w:right w:val="nil"/>
            </w:tcBorders>
            <w:shd w:val="clear" w:color="auto" w:fill="auto"/>
          </w:tcPr>
          <w:p w14:paraId="059F65C5" w14:textId="77777777" w:rsidR="00FA43DC" w:rsidRPr="004530FC" w:rsidRDefault="00FA43DC">
            <w:pPr>
              <w:jc w:val="both"/>
              <w:rPr>
                <w:b/>
                <w:bCs/>
                <w:sz w:val="26"/>
                <w:szCs w:val="26"/>
                <w:rtl/>
              </w:rPr>
            </w:pPr>
          </w:p>
        </w:tc>
        <w:tc>
          <w:tcPr>
            <w:tcW w:w="3771" w:type="dxa"/>
            <w:tcBorders>
              <w:top w:val="nil"/>
              <w:left w:val="nil"/>
              <w:bottom w:val="nil"/>
              <w:right w:val="nil"/>
            </w:tcBorders>
            <w:shd w:val="clear" w:color="auto" w:fill="auto"/>
          </w:tcPr>
          <w:p w14:paraId="4F0FEA7E" w14:textId="77777777" w:rsidR="00FA43DC" w:rsidRPr="004530FC" w:rsidRDefault="004530FC">
            <w:pPr>
              <w:jc w:val="right"/>
              <w:rPr>
                <w:rFonts w:ascii="Arial" w:hAnsi="Arial"/>
                <w:b/>
                <w:bCs/>
                <w:sz w:val="26"/>
                <w:szCs w:val="26"/>
                <w:rtl/>
              </w:rPr>
            </w:pPr>
            <w:r w:rsidRPr="004530FC">
              <w:rPr>
                <w:rFonts w:ascii="Arial" w:hAnsi="Arial" w:hint="cs"/>
                <w:b/>
                <w:bCs/>
                <w:sz w:val="26"/>
                <w:szCs w:val="26"/>
                <w:rtl/>
              </w:rPr>
              <w:t>ה</w:t>
            </w:r>
            <w:r w:rsidRPr="004530FC">
              <w:rPr>
                <w:rFonts w:hint="cs"/>
                <w:b/>
                <w:bCs/>
                <w:sz w:val="26"/>
                <w:szCs w:val="26"/>
                <w:rtl/>
              </w:rPr>
              <w:t>מאשימה</w:t>
            </w:r>
          </w:p>
        </w:tc>
      </w:tr>
      <w:tr w:rsidR="00FA43DC" w:rsidRPr="004530FC" w14:paraId="5986A021" w14:textId="77777777">
        <w:trPr>
          <w:trHeight w:val="355"/>
          <w:jc w:val="center"/>
        </w:trPr>
        <w:tc>
          <w:tcPr>
            <w:tcW w:w="923" w:type="dxa"/>
            <w:tcBorders>
              <w:top w:val="nil"/>
              <w:left w:val="nil"/>
              <w:bottom w:val="nil"/>
              <w:right w:val="nil"/>
            </w:tcBorders>
            <w:shd w:val="clear" w:color="auto" w:fill="auto"/>
          </w:tcPr>
          <w:p w14:paraId="13F8E9DC" w14:textId="77777777" w:rsidR="00FA43DC" w:rsidRPr="004530FC" w:rsidRDefault="00FA43DC">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F304708" w14:textId="77777777" w:rsidR="00FA43DC" w:rsidRPr="004530FC" w:rsidRDefault="00FA43DC">
            <w:pPr>
              <w:jc w:val="center"/>
              <w:rPr>
                <w:rFonts w:ascii="Arial" w:hAnsi="Arial"/>
                <w:b/>
                <w:bCs/>
                <w:sz w:val="26"/>
                <w:szCs w:val="26"/>
                <w:rtl/>
              </w:rPr>
            </w:pPr>
          </w:p>
          <w:p w14:paraId="0A21DAE5" w14:textId="77777777" w:rsidR="00FA43DC" w:rsidRPr="004530FC" w:rsidRDefault="00FA43DC">
            <w:pPr>
              <w:jc w:val="center"/>
              <w:rPr>
                <w:rFonts w:ascii="Arial" w:hAnsi="Arial"/>
                <w:b/>
                <w:bCs/>
                <w:sz w:val="26"/>
                <w:szCs w:val="26"/>
                <w:rtl/>
              </w:rPr>
            </w:pPr>
          </w:p>
          <w:p w14:paraId="4FD746A0" w14:textId="77777777" w:rsidR="00FA43DC" w:rsidRPr="004530FC" w:rsidRDefault="004530FC">
            <w:pPr>
              <w:jc w:val="center"/>
              <w:rPr>
                <w:rFonts w:ascii="Arial" w:hAnsi="Arial"/>
                <w:b/>
                <w:bCs/>
                <w:sz w:val="26"/>
                <w:szCs w:val="26"/>
                <w:rtl/>
              </w:rPr>
            </w:pPr>
            <w:r w:rsidRPr="004530FC">
              <w:rPr>
                <w:rFonts w:ascii="Arial" w:hAnsi="Arial"/>
                <w:b/>
                <w:bCs/>
                <w:sz w:val="26"/>
                <w:szCs w:val="26"/>
                <w:rtl/>
              </w:rPr>
              <w:t>נגד</w:t>
            </w:r>
          </w:p>
          <w:p w14:paraId="10BD5440" w14:textId="77777777" w:rsidR="00FA43DC" w:rsidRPr="004530FC" w:rsidRDefault="00FA43DC">
            <w:pPr>
              <w:jc w:val="both"/>
              <w:rPr>
                <w:rFonts w:ascii="Arial" w:hAnsi="Arial"/>
                <w:b/>
                <w:bCs/>
                <w:sz w:val="26"/>
                <w:szCs w:val="26"/>
                <w:rtl/>
              </w:rPr>
            </w:pPr>
          </w:p>
          <w:p w14:paraId="4A55D2D9" w14:textId="77777777" w:rsidR="00FA43DC" w:rsidRPr="004530FC" w:rsidRDefault="00FA43DC">
            <w:pPr>
              <w:jc w:val="both"/>
              <w:rPr>
                <w:rFonts w:ascii="Arial" w:hAnsi="Arial"/>
                <w:b/>
                <w:bCs/>
                <w:sz w:val="26"/>
                <w:szCs w:val="26"/>
              </w:rPr>
            </w:pPr>
          </w:p>
        </w:tc>
      </w:tr>
      <w:tr w:rsidR="00FA43DC" w:rsidRPr="004530FC" w14:paraId="7D014F0D" w14:textId="77777777">
        <w:trPr>
          <w:trHeight w:val="355"/>
          <w:jc w:val="center"/>
        </w:trPr>
        <w:tc>
          <w:tcPr>
            <w:tcW w:w="923" w:type="dxa"/>
            <w:tcBorders>
              <w:top w:val="nil"/>
              <w:left w:val="nil"/>
              <w:bottom w:val="nil"/>
              <w:right w:val="nil"/>
            </w:tcBorders>
            <w:shd w:val="clear" w:color="auto" w:fill="auto"/>
          </w:tcPr>
          <w:p w14:paraId="1CB9EEE7" w14:textId="77777777" w:rsidR="00FA43DC" w:rsidRPr="004530FC" w:rsidRDefault="00FA43DC">
            <w:pPr>
              <w:rPr>
                <w:rFonts w:ascii="Arial" w:hAnsi="Arial"/>
                <w:b/>
                <w:bCs/>
                <w:sz w:val="26"/>
                <w:szCs w:val="26"/>
                <w:rtl/>
              </w:rPr>
            </w:pPr>
          </w:p>
        </w:tc>
        <w:tc>
          <w:tcPr>
            <w:tcW w:w="4126" w:type="dxa"/>
            <w:tcBorders>
              <w:top w:val="nil"/>
              <w:left w:val="nil"/>
              <w:bottom w:val="nil"/>
              <w:right w:val="nil"/>
            </w:tcBorders>
            <w:shd w:val="clear" w:color="auto" w:fill="auto"/>
          </w:tcPr>
          <w:p w14:paraId="240ED063" w14:textId="77777777" w:rsidR="00FA43DC" w:rsidRPr="004530FC" w:rsidRDefault="004530FC">
            <w:pPr>
              <w:rPr>
                <w:b/>
                <w:bCs/>
                <w:sz w:val="26"/>
                <w:szCs w:val="26"/>
                <w:rtl/>
              </w:rPr>
            </w:pPr>
            <w:r w:rsidRPr="004530FC">
              <w:rPr>
                <w:rFonts w:hint="cs"/>
                <w:b/>
                <w:bCs/>
                <w:sz w:val="26"/>
                <w:szCs w:val="26"/>
                <w:rtl/>
              </w:rPr>
              <w:t>קובלנקו סטניסלב (עציר)</w:t>
            </w:r>
          </w:p>
        </w:tc>
        <w:tc>
          <w:tcPr>
            <w:tcW w:w="3771" w:type="dxa"/>
            <w:tcBorders>
              <w:top w:val="nil"/>
              <w:left w:val="nil"/>
              <w:bottom w:val="nil"/>
              <w:right w:val="nil"/>
            </w:tcBorders>
            <w:shd w:val="clear" w:color="auto" w:fill="auto"/>
          </w:tcPr>
          <w:p w14:paraId="675D2FD8" w14:textId="77777777" w:rsidR="00FA43DC" w:rsidRPr="004530FC" w:rsidRDefault="00FA43DC">
            <w:pPr>
              <w:jc w:val="right"/>
              <w:rPr>
                <w:rFonts w:ascii="Arial" w:hAnsi="Arial"/>
                <w:b/>
                <w:bCs/>
                <w:sz w:val="26"/>
                <w:szCs w:val="26"/>
              </w:rPr>
            </w:pPr>
          </w:p>
        </w:tc>
      </w:tr>
      <w:tr w:rsidR="00FA43DC" w:rsidRPr="004530FC" w14:paraId="7879A3A4" w14:textId="77777777">
        <w:trPr>
          <w:trHeight w:val="355"/>
          <w:jc w:val="center"/>
        </w:trPr>
        <w:tc>
          <w:tcPr>
            <w:tcW w:w="923" w:type="dxa"/>
            <w:tcBorders>
              <w:top w:val="nil"/>
              <w:left w:val="nil"/>
              <w:bottom w:val="nil"/>
              <w:right w:val="nil"/>
            </w:tcBorders>
            <w:shd w:val="clear" w:color="auto" w:fill="auto"/>
          </w:tcPr>
          <w:p w14:paraId="3642A0E8" w14:textId="77777777" w:rsidR="00FA43DC" w:rsidRPr="004530FC" w:rsidRDefault="00FA43DC">
            <w:pPr>
              <w:jc w:val="both"/>
              <w:rPr>
                <w:rFonts w:ascii="Arial" w:hAnsi="Arial"/>
                <w:b/>
                <w:bCs/>
                <w:sz w:val="26"/>
                <w:szCs w:val="26"/>
                <w:rtl/>
              </w:rPr>
            </w:pPr>
          </w:p>
        </w:tc>
        <w:tc>
          <w:tcPr>
            <w:tcW w:w="4126" w:type="dxa"/>
            <w:tcBorders>
              <w:top w:val="nil"/>
              <w:left w:val="nil"/>
              <w:bottom w:val="nil"/>
              <w:right w:val="nil"/>
            </w:tcBorders>
            <w:shd w:val="clear" w:color="auto" w:fill="auto"/>
          </w:tcPr>
          <w:p w14:paraId="3523AF6F" w14:textId="77777777" w:rsidR="00FA43DC" w:rsidRPr="004530FC" w:rsidRDefault="00FA43DC">
            <w:pPr>
              <w:jc w:val="both"/>
              <w:rPr>
                <w:b/>
                <w:bCs/>
                <w:sz w:val="26"/>
                <w:szCs w:val="26"/>
                <w:rtl/>
              </w:rPr>
            </w:pPr>
          </w:p>
        </w:tc>
        <w:tc>
          <w:tcPr>
            <w:tcW w:w="3771" w:type="dxa"/>
            <w:tcBorders>
              <w:top w:val="nil"/>
              <w:left w:val="nil"/>
              <w:bottom w:val="nil"/>
              <w:right w:val="nil"/>
            </w:tcBorders>
            <w:shd w:val="clear" w:color="auto" w:fill="auto"/>
          </w:tcPr>
          <w:p w14:paraId="350E1648" w14:textId="77777777" w:rsidR="00FA43DC" w:rsidRPr="004530FC" w:rsidRDefault="004530FC">
            <w:pPr>
              <w:jc w:val="right"/>
              <w:rPr>
                <w:rFonts w:ascii="Arial" w:hAnsi="Arial"/>
                <w:b/>
                <w:bCs/>
                <w:sz w:val="26"/>
                <w:szCs w:val="26"/>
              </w:rPr>
            </w:pPr>
            <w:r w:rsidRPr="004530FC">
              <w:rPr>
                <w:rFonts w:ascii="Arial" w:hAnsi="Arial" w:hint="cs"/>
                <w:b/>
                <w:bCs/>
                <w:sz w:val="26"/>
                <w:szCs w:val="26"/>
                <w:rtl/>
              </w:rPr>
              <w:t>ה</w:t>
            </w:r>
            <w:r w:rsidRPr="004530FC">
              <w:rPr>
                <w:rFonts w:hint="cs"/>
                <w:b/>
                <w:bCs/>
                <w:sz w:val="26"/>
                <w:szCs w:val="26"/>
                <w:rtl/>
              </w:rPr>
              <w:t>נאשם</w:t>
            </w:r>
          </w:p>
        </w:tc>
      </w:tr>
    </w:tbl>
    <w:p w14:paraId="6D87C276" w14:textId="77777777" w:rsidR="00F44EB9" w:rsidRPr="00F44EB9" w:rsidRDefault="00F44EB9" w:rsidP="00F44EB9">
      <w:pPr>
        <w:spacing w:after="120" w:line="240" w:lineRule="exact"/>
        <w:ind w:left="283" w:hanging="283"/>
        <w:jc w:val="both"/>
        <w:rPr>
          <w:rFonts w:ascii="FrankRuehl" w:hAnsi="FrankRuehl" w:cs="FrankRuehl"/>
          <w:rtl/>
        </w:rPr>
      </w:pPr>
      <w:bookmarkStart w:id="2" w:name="LawTable"/>
      <w:bookmarkEnd w:id="2"/>
    </w:p>
    <w:p w14:paraId="0C3C1AB0" w14:textId="77777777" w:rsidR="00F44EB9" w:rsidRPr="00F44EB9" w:rsidRDefault="00F44EB9" w:rsidP="00F44EB9">
      <w:pPr>
        <w:spacing w:after="120" w:line="240" w:lineRule="exact"/>
        <w:ind w:left="283" w:hanging="283"/>
        <w:jc w:val="both"/>
        <w:rPr>
          <w:rFonts w:ascii="FrankRuehl" w:hAnsi="FrankRuehl" w:cs="FrankRuehl"/>
          <w:rtl/>
        </w:rPr>
      </w:pPr>
      <w:r w:rsidRPr="00F44EB9">
        <w:rPr>
          <w:rFonts w:ascii="FrankRuehl" w:hAnsi="FrankRuehl" w:cs="FrankRuehl"/>
          <w:rtl/>
        </w:rPr>
        <w:t xml:space="preserve">חקיקה שאוזכרה: </w:t>
      </w:r>
    </w:p>
    <w:p w14:paraId="78D8821D" w14:textId="77777777" w:rsidR="00F44EB9" w:rsidRPr="00F44EB9" w:rsidRDefault="00F44EB9" w:rsidP="00F44EB9">
      <w:pPr>
        <w:spacing w:after="120" w:line="240" w:lineRule="exact"/>
        <w:ind w:left="283" w:hanging="283"/>
        <w:jc w:val="both"/>
        <w:rPr>
          <w:rFonts w:ascii="FrankRuehl" w:hAnsi="FrankRuehl" w:cs="FrankRuehl"/>
          <w:rtl/>
        </w:rPr>
      </w:pPr>
      <w:hyperlink r:id="rId7" w:history="1">
        <w:r w:rsidRPr="00F44EB9">
          <w:rPr>
            <w:rFonts w:ascii="FrankRuehl" w:hAnsi="FrankRuehl" w:cs="FrankRuehl"/>
            <w:color w:val="0000FF"/>
            <w:u w:val="single"/>
            <w:rtl/>
          </w:rPr>
          <w:t>פקודת הסמים המסוכנים [נוסח חדש], תשל"ג-1973</w:t>
        </w:r>
      </w:hyperlink>
      <w:r w:rsidRPr="00F44EB9">
        <w:rPr>
          <w:rFonts w:ascii="FrankRuehl" w:hAnsi="FrankRuehl" w:cs="FrankRuehl"/>
          <w:rtl/>
        </w:rPr>
        <w:t xml:space="preserve">: סע'  </w:t>
      </w:r>
      <w:hyperlink r:id="rId8" w:history="1">
        <w:r w:rsidRPr="00F44EB9">
          <w:rPr>
            <w:rFonts w:ascii="FrankRuehl" w:hAnsi="FrankRuehl" w:cs="FrankRuehl"/>
            <w:color w:val="0000FF"/>
            <w:u w:val="single"/>
            <w:rtl/>
          </w:rPr>
          <w:t>7(א)</w:t>
        </w:r>
      </w:hyperlink>
      <w:r w:rsidRPr="00F44EB9">
        <w:rPr>
          <w:rFonts w:ascii="FrankRuehl" w:hAnsi="FrankRuehl" w:cs="FrankRuehl"/>
          <w:rtl/>
        </w:rPr>
        <w:t xml:space="preserve">, </w:t>
      </w:r>
      <w:hyperlink r:id="rId9" w:history="1">
        <w:r w:rsidRPr="00F44EB9">
          <w:rPr>
            <w:rFonts w:ascii="FrankRuehl" w:hAnsi="FrankRuehl" w:cs="FrankRuehl"/>
            <w:color w:val="0000FF"/>
            <w:u w:val="single"/>
            <w:rtl/>
          </w:rPr>
          <w:t>(ג)</w:t>
        </w:r>
      </w:hyperlink>
      <w:r w:rsidRPr="00F44EB9">
        <w:rPr>
          <w:rFonts w:ascii="FrankRuehl" w:hAnsi="FrankRuehl" w:cs="FrankRuehl"/>
          <w:rtl/>
        </w:rPr>
        <w:t xml:space="preserve">, </w:t>
      </w:r>
      <w:hyperlink r:id="rId10" w:history="1">
        <w:r w:rsidRPr="00F44EB9">
          <w:rPr>
            <w:rFonts w:ascii="FrankRuehl" w:hAnsi="FrankRuehl" w:cs="FrankRuehl"/>
            <w:color w:val="0000FF"/>
            <w:u w:val="single"/>
            <w:rtl/>
          </w:rPr>
          <w:t>13</w:t>
        </w:r>
      </w:hyperlink>
      <w:r w:rsidRPr="00F44EB9">
        <w:rPr>
          <w:rFonts w:ascii="FrankRuehl" w:hAnsi="FrankRuehl" w:cs="FrankRuehl"/>
          <w:rtl/>
        </w:rPr>
        <w:t xml:space="preserve">, </w:t>
      </w:r>
      <w:hyperlink r:id="rId11" w:history="1">
        <w:r w:rsidRPr="00F44EB9">
          <w:rPr>
            <w:rFonts w:ascii="FrankRuehl" w:hAnsi="FrankRuehl" w:cs="FrankRuehl"/>
            <w:color w:val="0000FF"/>
            <w:u w:val="single"/>
            <w:rtl/>
          </w:rPr>
          <w:t>19א</w:t>
        </w:r>
      </w:hyperlink>
    </w:p>
    <w:p w14:paraId="25048ADF" w14:textId="77777777" w:rsidR="00F44EB9" w:rsidRPr="00F44EB9" w:rsidRDefault="00F44EB9" w:rsidP="00F44EB9">
      <w:pPr>
        <w:spacing w:after="120" w:line="240" w:lineRule="exact"/>
        <w:ind w:left="283" w:hanging="283"/>
        <w:jc w:val="both"/>
        <w:rPr>
          <w:rFonts w:ascii="FrankRuehl" w:hAnsi="FrankRuehl" w:cs="FrankRuehl"/>
          <w:rtl/>
        </w:rPr>
      </w:pPr>
      <w:hyperlink r:id="rId12" w:history="1">
        <w:r w:rsidRPr="00F44EB9">
          <w:rPr>
            <w:rFonts w:ascii="FrankRuehl" w:hAnsi="FrankRuehl" w:cs="FrankRuehl"/>
            <w:color w:val="0000FF"/>
            <w:u w:val="single"/>
            <w:rtl/>
          </w:rPr>
          <w:t>חוק העונשין, תשל"ז-1977</w:t>
        </w:r>
      </w:hyperlink>
      <w:r w:rsidRPr="00F44EB9">
        <w:rPr>
          <w:rFonts w:ascii="FrankRuehl" w:hAnsi="FrankRuehl" w:cs="FrankRuehl"/>
          <w:rtl/>
        </w:rPr>
        <w:t xml:space="preserve">: סע'  </w:t>
      </w:r>
      <w:hyperlink r:id="rId13" w:history="1">
        <w:r w:rsidRPr="00F44EB9">
          <w:rPr>
            <w:rFonts w:ascii="FrankRuehl" w:hAnsi="FrankRuehl" w:cs="FrankRuehl"/>
            <w:color w:val="0000FF"/>
            <w:u w:val="single"/>
            <w:rtl/>
          </w:rPr>
          <w:t>40ג</w:t>
        </w:r>
      </w:hyperlink>
      <w:r w:rsidRPr="00F44EB9">
        <w:rPr>
          <w:rFonts w:ascii="FrankRuehl" w:hAnsi="FrankRuehl" w:cs="FrankRuehl"/>
          <w:rtl/>
        </w:rPr>
        <w:t xml:space="preserve">, </w:t>
      </w:r>
      <w:hyperlink r:id="rId14" w:history="1">
        <w:r w:rsidRPr="00F44EB9">
          <w:rPr>
            <w:rFonts w:ascii="FrankRuehl" w:hAnsi="FrankRuehl" w:cs="FrankRuehl"/>
            <w:color w:val="0000FF"/>
            <w:u w:val="single"/>
            <w:rtl/>
          </w:rPr>
          <w:t>40ט</w:t>
        </w:r>
      </w:hyperlink>
      <w:r w:rsidRPr="00F44EB9">
        <w:rPr>
          <w:rFonts w:ascii="FrankRuehl" w:hAnsi="FrankRuehl" w:cs="FrankRuehl"/>
          <w:rtl/>
        </w:rPr>
        <w:t xml:space="preserve">, </w:t>
      </w:r>
      <w:hyperlink r:id="rId15" w:history="1">
        <w:r w:rsidRPr="00F44EB9">
          <w:rPr>
            <w:rFonts w:ascii="FrankRuehl" w:hAnsi="FrankRuehl" w:cs="FrankRuehl"/>
            <w:color w:val="0000FF"/>
            <w:u w:val="single"/>
            <w:rtl/>
          </w:rPr>
          <w:t>58</w:t>
        </w:r>
      </w:hyperlink>
      <w:r w:rsidRPr="00F44EB9">
        <w:rPr>
          <w:rFonts w:ascii="FrankRuehl" w:hAnsi="FrankRuehl" w:cs="FrankRuehl"/>
          <w:rtl/>
        </w:rPr>
        <w:t xml:space="preserve">, </w:t>
      </w:r>
      <w:hyperlink r:id="rId16" w:history="1">
        <w:r w:rsidRPr="00F44EB9">
          <w:rPr>
            <w:rFonts w:ascii="FrankRuehl" w:hAnsi="FrankRuehl" w:cs="FrankRuehl"/>
            <w:color w:val="0000FF"/>
            <w:u w:val="single"/>
            <w:rtl/>
          </w:rPr>
          <w:t>275</w:t>
        </w:r>
      </w:hyperlink>
      <w:r w:rsidRPr="00F44EB9">
        <w:rPr>
          <w:rFonts w:ascii="FrankRuehl" w:hAnsi="FrankRuehl" w:cs="FrankRuehl"/>
          <w:rtl/>
        </w:rPr>
        <w:t xml:space="preserve">, </w:t>
      </w:r>
      <w:hyperlink r:id="rId17" w:history="1">
        <w:r w:rsidRPr="00F44EB9">
          <w:rPr>
            <w:rFonts w:ascii="FrankRuehl" w:hAnsi="FrankRuehl" w:cs="FrankRuehl"/>
            <w:color w:val="0000FF"/>
            <w:u w:val="single"/>
            <w:rtl/>
          </w:rPr>
          <w:t>40יא</w:t>
        </w:r>
      </w:hyperlink>
      <w:r w:rsidRPr="00F44EB9">
        <w:rPr>
          <w:rFonts w:ascii="FrankRuehl" w:hAnsi="FrankRuehl" w:cs="FrankRuehl"/>
          <w:rtl/>
        </w:rPr>
        <w:t xml:space="preserve">, </w:t>
      </w:r>
      <w:hyperlink r:id="rId18" w:history="1">
        <w:r w:rsidRPr="00F44EB9">
          <w:rPr>
            <w:rFonts w:ascii="FrankRuehl" w:hAnsi="FrankRuehl" w:cs="FrankRuehl"/>
            <w:color w:val="0000FF"/>
            <w:u w:val="single"/>
            <w:rtl/>
          </w:rPr>
          <w:t>40יא(6)</w:t>
        </w:r>
      </w:hyperlink>
      <w:r w:rsidRPr="00F44EB9">
        <w:rPr>
          <w:rFonts w:ascii="FrankRuehl" w:hAnsi="FrankRuehl" w:cs="FrankRuehl"/>
          <w:rtl/>
        </w:rPr>
        <w:t xml:space="preserve">, </w:t>
      </w:r>
      <w:hyperlink r:id="rId19" w:history="1">
        <w:r w:rsidRPr="00F44EB9">
          <w:rPr>
            <w:rFonts w:ascii="FrankRuehl" w:hAnsi="FrankRuehl" w:cs="FrankRuehl"/>
            <w:color w:val="0000FF"/>
            <w:u w:val="single"/>
            <w:rtl/>
          </w:rPr>
          <w:t>40יג</w:t>
        </w:r>
      </w:hyperlink>
    </w:p>
    <w:p w14:paraId="3A505C10" w14:textId="77777777" w:rsidR="00F44EB9" w:rsidRPr="00F44EB9" w:rsidRDefault="00F44EB9" w:rsidP="00F44EB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43DC" w14:paraId="6CDA70A8" w14:textId="77777777">
        <w:trPr>
          <w:trHeight w:val="355"/>
          <w:jc w:val="center"/>
        </w:trPr>
        <w:tc>
          <w:tcPr>
            <w:tcW w:w="8820" w:type="dxa"/>
            <w:tcBorders>
              <w:top w:val="nil"/>
              <w:left w:val="nil"/>
              <w:bottom w:val="nil"/>
              <w:right w:val="nil"/>
            </w:tcBorders>
            <w:shd w:val="clear" w:color="auto" w:fill="auto"/>
          </w:tcPr>
          <w:p w14:paraId="37E89D7E" w14:textId="77777777" w:rsidR="004530FC" w:rsidRPr="004530FC" w:rsidRDefault="004530FC" w:rsidP="004530FC">
            <w:pPr>
              <w:jc w:val="center"/>
              <w:rPr>
                <w:rFonts w:ascii="Arial" w:hAnsi="Arial"/>
                <w:b/>
                <w:bCs/>
                <w:sz w:val="36"/>
                <w:szCs w:val="36"/>
                <w:u w:val="single"/>
                <w:rtl/>
              </w:rPr>
            </w:pPr>
            <w:bookmarkStart w:id="3" w:name="LawTable_End"/>
            <w:bookmarkStart w:id="4" w:name="PsakDin" w:colFirst="0" w:colLast="0"/>
            <w:bookmarkEnd w:id="0"/>
            <w:bookmarkEnd w:id="3"/>
            <w:r w:rsidRPr="004530FC">
              <w:rPr>
                <w:rFonts w:ascii="Arial" w:hAnsi="Arial"/>
                <w:b/>
                <w:bCs/>
                <w:sz w:val="36"/>
                <w:szCs w:val="36"/>
                <w:u w:val="single"/>
                <w:rtl/>
              </w:rPr>
              <w:t>גזר דין</w:t>
            </w:r>
          </w:p>
          <w:p w14:paraId="71EEAFC8" w14:textId="77777777" w:rsidR="00FA43DC" w:rsidRPr="004530FC" w:rsidRDefault="00FA43DC" w:rsidP="004530FC">
            <w:pPr>
              <w:jc w:val="center"/>
              <w:rPr>
                <w:rFonts w:ascii="Arial" w:hAnsi="Arial"/>
                <w:b/>
                <w:bCs/>
                <w:sz w:val="36"/>
                <w:szCs w:val="36"/>
                <w:u w:val="single"/>
                <w:rtl/>
              </w:rPr>
            </w:pPr>
          </w:p>
        </w:tc>
      </w:tr>
      <w:bookmarkEnd w:id="4"/>
    </w:tbl>
    <w:p w14:paraId="1320D78B" w14:textId="77777777" w:rsidR="00FA43DC" w:rsidRDefault="00FA43DC">
      <w:pPr>
        <w:rPr>
          <w:rFonts w:ascii="Arial" w:hAnsi="Arial"/>
          <w:b/>
          <w:bCs/>
          <w:sz w:val="26"/>
          <w:szCs w:val="26"/>
          <w:rtl/>
        </w:rPr>
      </w:pPr>
    </w:p>
    <w:p w14:paraId="6DF9A25F" w14:textId="77777777" w:rsidR="00FA43DC" w:rsidRDefault="004530FC">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1CD6FD2A" w14:textId="77777777" w:rsidR="00FA43DC" w:rsidRDefault="004530FC">
      <w:pPr>
        <w:numPr>
          <w:ilvl w:val="0"/>
          <w:numId w:val="1"/>
        </w:numPr>
        <w:tabs>
          <w:tab w:val="num" w:pos="720"/>
        </w:tabs>
        <w:spacing w:after="120" w:line="360" w:lineRule="auto"/>
        <w:ind w:left="720"/>
        <w:jc w:val="both"/>
        <w:rPr>
          <w:rFonts w:ascii="Tahoma" w:hAnsi="Tahoma"/>
          <w:rtl/>
        </w:rPr>
      </w:pPr>
      <w:bookmarkStart w:id="5" w:name="ABSTRACT_START"/>
      <w:bookmarkEnd w:id="5"/>
      <w:r>
        <w:rPr>
          <w:rFonts w:ascii="Tahoma" w:hAnsi="Tahoma" w:hint="cs"/>
          <w:rtl/>
        </w:rPr>
        <w:t xml:space="preserve">הנאשם הורשע לפניי, לאחר שמיעת הראיות, בעבירות של ניסיון הספקת סמים מסוכנים, לפי הוראות </w:t>
      </w:r>
      <w:hyperlink r:id="rId20" w:history="1">
        <w:r w:rsidR="00F44EB9" w:rsidRPr="00F44EB9">
          <w:rPr>
            <w:rFonts w:ascii="Tahoma" w:hAnsi="Tahoma"/>
            <w:color w:val="0000FF"/>
            <w:u w:val="single"/>
            <w:rtl/>
          </w:rPr>
          <w:t>סעיף 13</w:t>
        </w:r>
      </w:hyperlink>
      <w:r>
        <w:rPr>
          <w:rFonts w:ascii="Tahoma" w:hAnsi="Tahoma" w:hint="cs"/>
          <w:rtl/>
        </w:rPr>
        <w:t xml:space="preserve"> יחד עם </w:t>
      </w:r>
      <w:hyperlink r:id="rId21" w:history="1">
        <w:r w:rsidR="00F44EB9" w:rsidRPr="00F44EB9">
          <w:rPr>
            <w:rFonts w:ascii="Tahoma" w:hAnsi="Tahoma"/>
            <w:color w:val="0000FF"/>
            <w:u w:val="single"/>
            <w:rtl/>
          </w:rPr>
          <w:t>סעיף 19א</w:t>
        </w:r>
      </w:hyperlink>
      <w:r>
        <w:rPr>
          <w:rFonts w:ascii="Tahoma" w:hAnsi="Tahoma" w:hint="cs"/>
          <w:rtl/>
        </w:rPr>
        <w:t xml:space="preserve"> ל</w:t>
      </w:r>
      <w:hyperlink r:id="rId22" w:history="1">
        <w:r w:rsidRPr="004530FC">
          <w:rPr>
            <w:rFonts w:ascii="Tahoma" w:hAnsi="Tahoma"/>
            <w:color w:val="0000FF"/>
            <w:u w:val="single"/>
            <w:rtl/>
          </w:rPr>
          <w:t>פקודת הסמים המסוכנים</w:t>
        </w:r>
      </w:hyperlink>
      <w:r>
        <w:rPr>
          <w:rFonts w:ascii="Tahoma" w:hAnsi="Tahoma" w:hint="cs"/>
          <w:rtl/>
        </w:rPr>
        <w:t xml:space="preserve"> [נוסח חדש], תשל"ג-1973 (להלן – פקודת הסמים המסוכנים), וכן החזקה או שימוש בסמים מסוכנים, שלא לצריכה עצמית, לפי הוראות סעיף </w:t>
      </w:r>
      <w:hyperlink r:id="rId23" w:history="1">
        <w:r w:rsidR="00F44EB9" w:rsidRPr="00F44EB9">
          <w:rPr>
            <w:rFonts w:ascii="Tahoma" w:hAnsi="Tahoma"/>
            <w:color w:val="0000FF"/>
            <w:u w:val="single"/>
            <w:rtl/>
          </w:rPr>
          <w:t>7(א)</w:t>
        </w:r>
      </w:hyperlink>
      <w:r>
        <w:rPr>
          <w:rFonts w:ascii="Tahoma" w:hAnsi="Tahoma" w:hint="cs"/>
          <w:rtl/>
        </w:rPr>
        <w:t xml:space="preserve"> ו-</w:t>
      </w:r>
      <w:hyperlink r:id="rId24" w:history="1">
        <w:r w:rsidR="00F44EB9" w:rsidRPr="00F44EB9">
          <w:rPr>
            <w:rFonts w:ascii="Tahoma" w:hAnsi="Tahoma"/>
            <w:color w:val="0000FF"/>
            <w:u w:val="single"/>
            <w:rtl/>
          </w:rPr>
          <w:t>(ג)</w:t>
        </w:r>
      </w:hyperlink>
      <w:r>
        <w:rPr>
          <w:rFonts w:ascii="Tahoma" w:hAnsi="Tahoma" w:hint="cs"/>
          <w:rtl/>
        </w:rPr>
        <w:t xml:space="preserve"> רישא לפקודת הסמים המסוכנים, והפרעה לשוטר בשעת מילוי תפקידו, לפי הוראות </w:t>
      </w:r>
      <w:hyperlink r:id="rId25" w:history="1">
        <w:r w:rsidR="00F44EB9" w:rsidRPr="00F44EB9">
          <w:rPr>
            <w:rFonts w:ascii="Tahoma" w:hAnsi="Tahoma"/>
            <w:color w:val="0000FF"/>
            <w:u w:val="single"/>
            <w:rtl/>
          </w:rPr>
          <w:t>סעיף 275</w:t>
        </w:r>
      </w:hyperlink>
      <w:r>
        <w:rPr>
          <w:rFonts w:ascii="Tahoma" w:hAnsi="Tahoma" w:hint="cs"/>
          <w:rtl/>
        </w:rPr>
        <w:t xml:space="preserve"> ל</w:t>
      </w:r>
      <w:hyperlink r:id="rId26" w:history="1">
        <w:r w:rsidRPr="004530FC">
          <w:rPr>
            <w:rFonts w:ascii="Tahoma" w:hAnsi="Tahoma"/>
            <w:color w:val="0000FF"/>
            <w:u w:val="single"/>
            <w:rtl/>
          </w:rPr>
          <w:t>חוק העונשין</w:t>
        </w:r>
      </w:hyperlink>
      <w:r>
        <w:rPr>
          <w:rFonts w:ascii="Tahoma" w:hAnsi="Tahoma" w:hint="cs"/>
          <w:rtl/>
        </w:rPr>
        <w:t>, תשל"ז-1977 (להלן – חוק העונשין).</w:t>
      </w:r>
    </w:p>
    <w:p w14:paraId="7EBB0866" w14:textId="77777777" w:rsidR="00FA43DC" w:rsidRDefault="004530FC">
      <w:pPr>
        <w:numPr>
          <w:ilvl w:val="0"/>
          <w:numId w:val="1"/>
        </w:numPr>
        <w:tabs>
          <w:tab w:val="num" w:pos="720"/>
        </w:tabs>
        <w:spacing w:after="120" w:line="360" w:lineRule="auto"/>
        <w:ind w:left="720"/>
        <w:jc w:val="both"/>
        <w:rPr>
          <w:rFonts w:ascii="Tahoma" w:hAnsi="Tahoma"/>
        </w:rPr>
      </w:pPr>
      <w:bookmarkStart w:id="6" w:name="ABSTRACT_END"/>
      <w:bookmarkEnd w:id="6"/>
      <w:r>
        <w:rPr>
          <w:rFonts w:ascii="Tahoma" w:hAnsi="Tahoma" w:hint="cs"/>
          <w:rtl/>
        </w:rPr>
        <w:t>פרטי העובדות נקבעו בהרחבה בהכרעת הדין, והמעיין יעיין שם. בקצירת האומר, ולצורכי גזר הדין בלבד, יצוינו העובדות הבאות:</w:t>
      </w:r>
    </w:p>
    <w:p w14:paraId="683E3095" w14:textId="77777777" w:rsidR="00FA43DC" w:rsidRDefault="004530FC">
      <w:pPr>
        <w:numPr>
          <w:ilvl w:val="0"/>
          <w:numId w:val="2"/>
        </w:numPr>
        <w:spacing w:after="120" w:line="360" w:lineRule="auto"/>
        <w:jc w:val="both"/>
        <w:rPr>
          <w:rFonts w:ascii="Tahoma" w:hAnsi="Tahoma"/>
        </w:rPr>
      </w:pPr>
      <w:r>
        <w:rPr>
          <w:rFonts w:ascii="Tahoma" w:hAnsi="Tahoma" w:hint="cs"/>
          <w:rtl/>
        </w:rPr>
        <w:lastRenderedPageBreak/>
        <w:t>העבירות האמורות בוצעו על רקע ניסיונו של הנאשם לספק סמים מסוכנים לבן משפחתו (להלן – מיכאל), אשר היה עצור באותה העת והובא לדיון בבית דין צבאי ביום 4.1.15.</w:t>
      </w:r>
    </w:p>
    <w:p w14:paraId="34DAA3F7" w14:textId="77777777" w:rsidR="00FA43DC" w:rsidRDefault="004530FC">
      <w:pPr>
        <w:numPr>
          <w:ilvl w:val="0"/>
          <w:numId w:val="2"/>
        </w:numPr>
        <w:spacing w:after="120" w:line="360" w:lineRule="auto"/>
        <w:jc w:val="both"/>
        <w:rPr>
          <w:rFonts w:ascii="Tahoma" w:hAnsi="Tahoma"/>
          <w:rtl/>
        </w:rPr>
      </w:pPr>
      <w:r>
        <w:rPr>
          <w:rFonts w:ascii="Tahoma" w:hAnsi="Tahoma" w:hint="cs"/>
          <w:rtl/>
        </w:rPr>
        <w:t>הנאשם הגיע לבית הדין במועד הנ"ל והסליק סמים מסוכנים בפח המצוי בתא שירותים בבית הדין, בכוונה להעבירם לידי מיכאל, אשר אמור היה להיכנס לתא השירותים מיד לאחריו. מדובר ב-30 טבליות של סם מסוכן מסוג אוכסיקודון, 14 טבליות של סם מסוכן מסוג בופרנורפין וכן 1.1448 גרם נטו של סם מסוכן מסוג קנבוס (להלן – הסמים).</w:t>
      </w:r>
    </w:p>
    <w:p w14:paraId="42D0FA6B" w14:textId="77777777" w:rsidR="00FA43DC" w:rsidRDefault="004530FC">
      <w:pPr>
        <w:numPr>
          <w:ilvl w:val="0"/>
          <w:numId w:val="2"/>
        </w:numPr>
        <w:spacing w:after="120" w:line="360" w:lineRule="auto"/>
        <w:jc w:val="both"/>
        <w:rPr>
          <w:rFonts w:ascii="Tahoma" w:hAnsi="Tahoma"/>
          <w:rtl/>
        </w:rPr>
      </w:pPr>
      <w:r>
        <w:rPr>
          <w:rFonts w:ascii="Tahoma" w:hAnsi="Tahoma" w:hint="cs"/>
          <w:rtl/>
        </w:rPr>
        <w:t>כשנתפס הנאשם הוא החזיק בתחתוניו, בנוסף לסמים הנ"ל, גם 17 טבליות של סם מסוכן מסוג בופרנורפין, שלא לצריכה עצמית.</w:t>
      </w:r>
    </w:p>
    <w:p w14:paraId="6623C3D8" w14:textId="77777777" w:rsidR="00FA43DC" w:rsidRDefault="004530FC">
      <w:pPr>
        <w:numPr>
          <w:ilvl w:val="0"/>
          <w:numId w:val="2"/>
        </w:numPr>
        <w:spacing w:after="120" w:line="360" w:lineRule="auto"/>
        <w:jc w:val="both"/>
        <w:rPr>
          <w:rFonts w:ascii="Tahoma" w:hAnsi="Tahoma"/>
        </w:rPr>
      </w:pPr>
      <w:r>
        <w:rPr>
          <w:rFonts w:ascii="Tahoma" w:hAnsi="Tahoma" w:hint="cs"/>
          <w:rtl/>
        </w:rPr>
        <w:t>לאחר מכן, כשהנאשם נעצר ונלקח לתחנת המשטרה, הוא הפריע לשוטרים בשעת מילוי תפקידם בדרכים שונות; והכל כפי שנקבע בהכרעת הדין.</w:t>
      </w:r>
    </w:p>
    <w:p w14:paraId="051D21AB" w14:textId="77777777" w:rsidR="00FA43DC" w:rsidRDefault="00FA43DC">
      <w:pPr>
        <w:spacing w:after="120" w:line="360" w:lineRule="auto"/>
        <w:jc w:val="both"/>
        <w:rPr>
          <w:rFonts w:ascii="Tahoma" w:hAnsi="Tahoma"/>
          <w:rtl/>
        </w:rPr>
      </w:pPr>
    </w:p>
    <w:p w14:paraId="49A15BB0" w14:textId="77777777" w:rsidR="00FA43DC" w:rsidRDefault="004530FC">
      <w:pPr>
        <w:spacing w:after="120" w:line="360" w:lineRule="auto"/>
        <w:jc w:val="both"/>
        <w:rPr>
          <w:rFonts w:ascii="Tahoma" w:hAnsi="Tahoma"/>
          <w:b/>
          <w:bCs/>
          <w:u w:val="single"/>
          <w:rtl/>
        </w:rPr>
      </w:pPr>
      <w:r>
        <w:rPr>
          <w:rFonts w:ascii="Tahoma" w:hAnsi="Tahoma" w:hint="cs"/>
          <w:b/>
          <w:bCs/>
          <w:rtl/>
        </w:rPr>
        <w:t>ב.</w:t>
      </w:r>
      <w:r>
        <w:rPr>
          <w:rFonts w:ascii="Tahoma" w:hAnsi="Tahoma" w:hint="cs"/>
          <w:b/>
          <w:bCs/>
          <w:rtl/>
        </w:rPr>
        <w:tab/>
      </w:r>
      <w:r>
        <w:rPr>
          <w:rFonts w:ascii="Tahoma" w:hAnsi="Tahoma" w:hint="cs"/>
          <w:b/>
          <w:bCs/>
          <w:u w:val="single"/>
          <w:rtl/>
        </w:rPr>
        <w:t>הראיות לקביעת העונש ועיקר טיעוני הצדדים:</w:t>
      </w:r>
    </w:p>
    <w:p w14:paraId="4E473C1D" w14:textId="77777777" w:rsidR="00FA43DC" w:rsidRDefault="004530FC">
      <w:pPr>
        <w:numPr>
          <w:ilvl w:val="0"/>
          <w:numId w:val="1"/>
        </w:numPr>
        <w:tabs>
          <w:tab w:val="num" w:pos="720"/>
        </w:tabs>
        <w:spacing w:after="120" w:line="360" w:lineRule="auto"/>
        <w:ind w:left="720"/>
        <w:jc w:val="both"/>
        <w:rPr>
          <w:rFonts w:ascii="Tahoma" w:hAnsi="Tahoma"/>
          <w:rtl/>
        </w:rPr>
      </w:pPr>
      <w:r>
        <w:rPr>
          <w:rFonts w:ascii="Tahoma" w:hAnsi="Tahoma" w:hint="cs"/>
          <w:rtl/>
        </w:rPr>
        <w:t>כראיות לקביעת העונש הגיש ב"כ המאשימה את גיליון הרשעותיו הקודמות של הנאשם (ע/1) וכן עותק גזר הדין שבו הושת על הנאשם מאסר מותנה בן 6 חודשים שהינו בר הפעלה בענייננו (ר' גזר הדין ב</w:t>
      </w:r>
      <w:hyperlink r:id="rId27" w:history="1">
        <w:r w:rsidRPr="004530FC">
          <w:rPr>
            <w:rFonts w:ascii="Tahoma" w:hAnsi="Tahoma"/>
            <w:color w:val="0000FF"/>
            <w:u w:val="single"/>
            <w:rtl/>
          </w:rPr>
          <w:t>ת.פ. 7493-02-11</w:t>
        </w:r>
      </w:hyperlink>
      <w:r>
        <w:rPr>
          <w:rFonts w:ascii="Tahoma" w:hAnsi="Tahoma" w:hint="cs"/>
          <w:rtl/>
        </w:rPr>
        <w:t>, מבית משפט השלום בקריות, מיום 23.11.11. סומן ע/2).</w:t>
      </w:r>
    </w:p>
    <w:p w14:paraId="1DDA01D3"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ב"כ המאשימה עתר להחמרה בעונשו של הנאשם. ב"כ המאשימה הדגיש כי לא זו בלבד שעסקינן בניסיון החדרת סמים לכלא, אלא שמנסיבות העניין – ריבוי סוגי הסמים וכמויותיהם – יש גם ללמוד כי מיכאל היה אמור להמשיך ולסחור בסמים בתוך הכלא. מדובר אפוא במעשה שמצביע על תעוזה של הנאשם ונכונות מצידו לבצע עבירות מתחת אפן של רשויות החוק ממש.</w:t>
      </w:r>
    </w:p>
    <w:p w14:paraId="4F84B499"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המאשימה עתר בתחילת טיעונו לקביעת שני מתחמי עונש הולמים. האחד לעבירות הסמים, בין 12 חודשי מאסר בפועל לבין 24 חודשי מאסר בפועל; והשני לעבירה של הפרעה לשוטר בשעת מילוי תפקידו, בין מספר חודשי מאסר בפועל לבין 10 חודשי מאסר בפועל. יחד עם זאת, לאחר מכן תיקן ב"כ המאשימה את טיעונו </w:t>
      </w:r>
      <w:r>
        <w:rPr>
          <w:rFonts w:ascii="Tahoma" w:hAnsi="Tahoma"/>
          <w:rtl/>
        </w:rPr>
        <w:t>–</w:t>
      </w:r>
      <w:r>
        <w:rPr>
          <w:rFonts w:ascii="Tahoma" w:hAnsi="Tahoma" w:hint="cs"/>
          <w:rtl/>
        </w:rPr>
        <w:t xml:space="preserve"> נוכח העובדה שעסקינן כאן באירוע אחד בלבד </w:t>
      </w:r>
      <w:r>
        <w:rPr>
          <w:rFonts w:ascii="Tahoma" w:hAnsi="Tahoma"/>
          <w:rtl/>
        </w:rPr>
        <w:t>–</w:t>
      </w:r>
      <w:r>
        <w:rPr>
          <w:rFonts w:ascii="Tahoma" w:hAnsi="Tahoma" w:hint="cs"/>
          <w:rtl/>
        </w:rPr>
        <w:t xml:space="preserve"> ועתר לענישה כוללת של 34 חודשי מאסר בפועל (כולל הפעלת המאסר המותנה במצטבר).</w:t>
      </w:r>
    </w:p>
    <w:p w14:paraId="31112D38"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הפנה, בין השאר, ל</w:t>
      </w:r>
      <w:hyperlink r:id="rId28" w:history="1">
        <w:r w:rsidRPr="004530FC">
          <w:rPr>
            <w:rFonts w:ascii="Tahoma" w:hAnsi="Tahoma"/>
            <w:color w:val="0000FF"/>
            <w:u w:val="single"/>
            <w:rtl/>
          </w:rPr>
          <w:t>רע"פ 4144/15</w:t>
        </w:r>
      </w:hyperlink>
      <w:r>
        <w:rPr>
          <w:rFonts w:ascii="Tahoma" w:hAnsi="Tahoma" w:hint="cs"/>
          <w:rtl/>
        </w:rPr>
        <w:t xml:space="preserve"> </w:t>
      </w:r>
      <w:r>
        <w:rPr>
          <w:rFonts w:ascii="Tahoma" w:hAnsi="Tahoma" w:hint="cs"/>
          <w:b/>
          <w:bCs/>
          <w:rtl/>
        </w:rPr>
        <w:t>אבו לטיף נ' מדינת ישראל</w:t>
      </w:r>
      <w:r>
        <w:rPr>
          <w:rFonts w:ascii="Tahoma" w:hAnsi="Tahoma" w:hint="cs"/>
          <w:rtl/>
        </w:rPr>
        <w:t xml:space="preserve"> (2015) (להלן </w:t>
      </w:r>
      <w:r>
        <w:rPr>
          <w:rFonts w:ascii="Tahoma" w:hAnsi="Tahoma"/>
          <w:rtl/>
        </w:rPr>
        <w:t>–</w:t>
      </w:r>
      <w:r>
        <w:rPr>
          <w:rFonts w:ascii="Tahoma" w:hAnsi="Tahoma" w:hint="cs"/>
          <w:rtl/>
        </w:rPr>
        <w:t xml:space="preserve"> עניין </w:t>
      </w:r>
      <w:r>
        <w:rPr>
          <w:rFonts w:ascii="Tahoma" w:hAnsi="Tahoma" w:hint="cs"/>
          <w:b/>
          <w:bCs/>
          <w:rtl/>
        </w:rPr>
        <w:t>אבו לטיף</w:t>
      </w:r>
      <w:r>
        <w:rPr>
          <w:rFonts w:ascii="Tahoma" w:hAnsi="Tahoma" w:hint="cs"/>
          <w:rtl/>
        </w:rPr>
        <w:t xml:space="preserve">), שבו דובר על ניסיון להספקת סמים מסוכנים לאסיר, על ידי מי שהגיע </w:t>
      </w:r>
      <w:r>
        <w:rPr>
          <w:rFonts w:ascii="Tahoma" w:hAnsi="Tahoma" w:hint="cs"/>
          <w:rtl/>
        </w:rPr>
        <w:lastRenderedPageBreak/>
        <w:t>לבקר את האסיר בכלא. דובר שם בסמים מסוכנים מסוג חשיש במשקל של 26.2 גרם וקנבוס במשקל של 1.6 גרם. בית משפט השלום בבאר שבע קבע כי מתחם העונש ההולם לאירוע הוא בין שישה חודשי מאסר בפועל לבין 18 חודשי מאסר בפועל, וערכאות הערעור לא התערבו בקביעה זו. לשיטת ב"כ המאשימה, המקרה דנא אף חמור מהמקרה הנ"ל, בשל נסיבותיו.</w:t>
      </w:r>
    </w:p>
    <w:p w14:paraId="7B009CCD"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הדגיש עוד את עברו הפלילי המכביד של הנאשם, הכולל שמונה הרשעות קודמות במגוון של עבירות בתחומי הרכוש, האלימות והסמים. הנאשם ריצה בעברו עונשי מאסר בפועל ואף המאסר המותנה שהיה תלוי ועומד נגדו לא הרתיע אותו מלחזור ולבצע עבירות. בנסיבות אלה ביקש ב"כ המאשימה להחמיר עם הנאשם ובנוסף לעונש של מאסר בפועל להפעיל את עונש המאסר המותנה במצטבר ולהטיל על הנאשם גם עונשי מאסר מותנה וקנס כספי. כמו כן, נוכח טענת הנאשם כי הוא משתמש בסמים מסוכנים עתר ב"כ המאשימה אף להטלת עונשי פסילה בפועל ועל תנאי של רישיון נהיגה.</w:t>
      </w:r>
    </w:p>
    <w:p w14:paraId="618C4E0B"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ב"כ הנאשם, מצידו, עתר להקלה בעונשו של הנאשם. ב"כ הנאשם הגיש מספר ראיות לעניין מצבם הבריאותי של הנאשם ושל אמו, כדלקמן: אישור מהביטוח הלאומי בו מצוין כי לנאשם 43% נכות רפואית (אם כי תביעתו לקצבת נכות כללית נדחתה) (ס/1); תעודה רפואית, המתייחסת לביקור אצל רופא מחודש דצמבר 2014, בה מצוין כי הנאשם מטופל במספר תרופות, הכוללות תחליפי סם (ס/2); תעודה רפואית בעניין מצב אמו של הנאשם, אשר בחודש יולי האחרון עברה צנתור לב דחוף (ס/3).</w:t>
      </w:r>
    </w:p>
    <w:p w14:paraId="5E9AF9A6"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לשיטת ב"כ הנאשם, מבלי להקל ראש במעשים שבהם הורשע הנאשם, הסמים המדוברים אינם סמי רחוב </w:t>
      </w:r>
      <w:r>
        <w:rPr>
          <w:rFonts w:ascii="Tahoma" w:hAnsi="Tahoma"/>
          <w:rtl/>
        </w:rPr>
        <w:t>–</w:t>
      </w:r>
      <w:r>
        <w:rPr>
          <w:rFonts w:ascii="Tahoma" w:hAnsi="Tahoma" w:hint="cs"/>
          <w:rtl/>
        </w:rPr>
        <w:t xml:space="preserve"> שבהפצתם נאבקות הרשויות </w:t>
      </w:r>
      <w:r>
        <w:rPr>
          <w:rFonts w:ascii="Tahoma" w:hAnsi="Tahoma"/>
          <w:rtl/>
        </w:rPr>
        <w:t>–</w:t>
      </w:r>
      <w:r>
        <w:rPr>
          <w:rFonts w:ascii="Tahoma" w:hAnsi="Tahoma" w:hint="cs"/>
          <w:rtl/>
        </w:rPr>
        <w:t xml:space="preserve"> אלא סמים העשויים לשמש כתחליפי סם. בנוסף, הגם שהתנהגותו של הנאשם לאחר שנעצר ובתחנת המשטרה לא היתה למופת, היא לא היתה כה חמורה; בפרט בהתחשב במצבו הבריאותי של הנאשם באותה העת, כאשר הוא סבל מרעלת בשל שימוש בסמים. לפיכך, כך לעתירת הסניגור, יש להקל בקביעת מתחם העונש ההולם במקרה זה.</w:t>
      </w:r>
    </w:p>
    <w:p w14:paraId="7A684698"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הסניגור הפנה, בהקשר זה, לגזר הדין ב</w:t>
      </w:r>
      <w:hyperlink r:id="rId29" w:history="1">
        <w:r w:rsidRPr="004530FC">
          <w:rPr>
            <w:rFonts w:ascii="Tahoma" w:hAnsi="Tahoma"/>
            <w:color w:val="0000FF"/>
            <w:u w:val="single"/>
            <w:rtl/>
          </w:rPr>
          <w:t>ת.פ. (רמלה) 47643-06-13</w:t>
        </w:r>
      </w:hyperlink>
      <w:r>
        <w:rPr>
          <w:rFonts w:ascii="Tahoma" w:hAnsi="Tahoma" w:hint="cs"/>
          <w:rtl/>
        </w:rPr>
        <w:t xml:space="preserve"> </w:t>
      </w:r>
      <w:r>
        <w:rPr>
          <w:rFonts w:ascii="Tahoma" w:hAnsi="Tahoma" w:hint="cs"/>
          <w:b/>
          <w:bCs/>
          <w:rtl/>
        </w:rPr>
        <w:t>מדינת ישראל נ' אוחיון</w:t>
      </w:r>
      <w:r>
        <w:rPr>
          <w:rFonts w:ascii="Tahoma" w:hAnsi="Tahoma" w:hint="cs"/>
          <w:rtl/>
        </w:rPr>
        <w:t xml:space="preserve"> (2014), שנסיבותיו דומות למדיי לאלה של עניין </w:t>
      </w:r>
      <w:r>
        <w:rPr>
          <w:rFonts w:ascii="Tahoma" w:hAnsi="Tahoma" w:hint="cs"/>
          <w:b/>
          <w:bCs/>
          <w:rtl/>
        </w:rPr>
        <w:t>אבו לטיף</w:t>
      </w:r>
      <w:r>
        <w:rPr>
          <w:rFonts w:ascii="Tahoma" w:hAnsi="Tahoma" w:hint="cs"/>
          <w:rtl/>
        </w:rPr>
        <w:t>. באותו מקרה הגיעה הנאשמת לבקר אסיר בכלא, כשברשותה חבילה שהכילה סמים מסוכנים כלהלן: הירואין במשקל של 9.79 גרם; חשיש במשקל של 28.69 גרם; וקנבוס במשקל של 2.47 גרם. בית משפט השלום ברמלה קבע כי מתחם העונש ההולם לאירוע הוא בין מספר חודשי מאסר בפועל, שיכול וירוצו בדרך של עבודות שירות, לבין 12 חודשי מאסר בפועל. ב"כאמנם  הנאשם ער לכך שמדובר בגזר דין מקל, אך עתר שבמקרה דנא העונש הכולל שיושת על הנאשם לא יעלה בכל מקרה על שנת מאסר בפועל.</w:t>
      </w:r>
    </w:p>
    <w:p w14:paraId="0D6927A3"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ב"כ הנאשם הרחיב בתיאור נסיבותיו האישיות והכלליות של הנאשם. אמנם לנאשם עבר פלילי לא קל, אך הנאשם אינו ראש כנופיה או עבריין ידוע אלא מי שנמצא בתחתית סולם ההיררכיה העבריינית. הנאשם מצוי במצב נפשי קשה, חסר כל וגלמוד בעולם. אין לנאשם מי שדואג לו למעט אמו, אשר מצבה הבריאותי התדרדר בעת האחרונה (ר' ס/3). לטענת ב"כ הנאשם, האם סובלת מבעיות לב ועד היום מצויה בהליכי שיקום ומתקשה לבקר את הנאשם ולשמור עמו על קשר. בנסיבות אלה, ובמיוחד נוכח בעיותיו הבריאותיות של הנאשם עצמו, תנאי המעצר (והמאסר) הם קשים מנשוא לנאשם, ועתירת ההגנה היא להתחשב בכך.</w:t>
      </w:r>
    </w:p>
    <w:p w14:paraId="162259C8"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ציין שאין לו מה להוסיף על דברי הסניגור (ר' בפרוטוקול, עמ' 40 שורה 15).</w:t>
      </w:r>
    </w:p>
    <w:p w14:paraId="3EDAFEA9" w14:textId="77777777" w:rsidR="00FA43DC" w:rsidRDefault="00FA43DC">
      <w:pPr>
        <w:tabs>
          <w:tab w:val="num" w:pos="720"/>
        </w:tabs>
        <w:spacing w:after="120" w:line="360" w:lineRule="auto"/>
        <w:jc w:val="both"/>
        <w:rPr>
          <w:rFonts w:ascii="Tahoma" w:hAnsi="Tahoma"/>
          <w:rtl/>
        </w:rPr>
      </w:pPr>
    </w:p>
    <w:p w14:paraId="72686B4A" w14:textId="77777777" w:rsidR="00FA43DC" w:rsidRDefault="004530FC">
      <w:pPr>
        <w:snapToGrid w:val="0"/>
        <w:spacing w:after="120" w:line="360" w:lineRule="auto"/>
        <w:jc w:val="both"/>
        <w:rPr>
          <w:b/>
          <w:bCs/>
          <w:u w:val="single"/>
          <w:rtl/>
        </w:rPr>
      </w:pPr>
      <w:r>
        <w:rPr>
          <w:rFonts w:hint="cs"/>
          <w:b/>
          <w:bCs/>
          <w:rtl/>
        </w:rPr>
        <w:t>ג.</w:t>
      </w:r>
      <w:r>
        <w:rPr>
          <w:rFonts w:hint="cs"/>
          <w:b/>
          <w:bCs/>
          <w:rtl/>
        </w:rPr>
        <w:tab/>
      </w:r>
      <w:r>
        <w:rPr>
          <w:rFonts w:hint="cs"/>
          <w:b/>
          <w:bCs/>
          <w:u w:val="single"/>
          <w:rtl/>
        </w:rPr>
        <w:t>קביעת מתחם העונש ההולם:</w:t>
      </w:r>
    </w:p>
    <w:p w14:paraId="2AE8E42E" w14:textId="77777777" w:rsidR="00FA43DC" w:rsidRDefault="004530FC">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העונש ההולם; והכל כאמור בהוראות </w:t>
      </w:r>
      <w:hyperlink r:id="rId30" w:history="1">
        <w:r w:rsidR="00F44EB9" w:rsidRPr="00F44EB9">
          <w:rPr>
            <w:color w:val="0000FF"/>
            <w:u w:val="single"/>
            <w:rtl/>
          </w:rPr>
          <w:t>סעיף 40ג</w:t>
        </w:r>
      </w:hyperlink>
      <w:r>
        <w:rPr>
          <w:rFonts w:hint="cs"/>
          <w:rtl/>
        </w:rPr>
        <w:t xml:space="preserve"> יחד עם </w:t>
      </w:r>
      <w:hyperlink r:id="rId31" w:history="1">
        <w:r w:rsidR="00F44EB9" w:rsidRPr="00F44EB9">
          <w:rPr>
            <w:color w:val="0000FF"/>
            <w:u w:val="single"/>
            <w:rtl/>
          </w:rPr>
          <w:t>סעיף 40יג</w:t>
        </w:r>
      </w:hyperlink>
      <w:r>
        <w:rPr>
          <w:rFonts w:hint="cs"/>
          <w:rtl/>
        </w:rPr>
        <w:t xml:space="preserve"> ל</w:t>
      </w:r>
      <w:hyperlink r:id="rId32" w:history="1">
        <w:r w:rsidRPr="004530FC">
          <w:rPr>
            <w:color w:val="0000FF"/>
            <w:u w:val="single"/>
            <w:rtl/>
          </w:rPr>
          <w:t>חוק העונשין</w:t>
        </w:r>
      </w:hyperlink>
      <w:r>
        <w:rPr>
          <w:rFonts w:hint="cs"/>
          <w:rtl/>
        </w:rPr>
        <w:t xml:space="preserve">. קביעת מתחם העונש ההולם לכל אירוע תיעשה בהתאם </w:t>
      </w:r>
      <w:r>
        <w:rPr>
          <w:rFonts w:ascii="Tahoma" w:hAnsi="Tahoma" w:hint="cs"/>
          <w:rtl/>
        </w:rPr>
        <w:t xml:space="preserve">לעיקרון המנחה בענישה – הוא עקרון ההלימה – </w:t>
      </w:r>
      <w:r>
        <w:rPr>
          <w:rFonts w:hint="cs"/>
          <w:rtl/>
        </w:rPr>
        <w:t xml:space="preserve">תוך התחשבות בערך החברתי שנפגע מביצוע העבירות ובמידת הפגיעה בו, במדיניות הענישה הנהוגה וכן בנסיבות הקשורות בביצוע העבירות, כמפורט בהוראות </w:t>
      </w:r>
      <w:hyperlink r:id="rId33" w:history="1">
        <w:r w:rsidR="00F44EB9" w:rsidRPr="00F44EB9">
          <w:rPr>
            <w:color w:val="0000FF"/>
            <w:u w:val="single"/>
            <w:rtl/>
          </w:rPr>
          <w:t>סעיף 40ט</w:t>
        </w:r>
      </w:hyperlink>
      <w:r>
        <w:rPr>
          <w:rFonts w:hint="cs"/>
          <w:rtl/>
        </w:rPr>
        <w:t xml:space="preserve"> ל</w:t>
      </w:r>
      <w:hyperlink r:id="rId34" w:history="1">
        <w:r w:rsidRPr="004530FC">
          <w:rPr>
            <w:color w:val="0000FF"/>
            <w:u w:val="single"/>
            <w:rtl/>
          </w:rPr>
          <w:t>חוק העונשין</w:t>
        </w:r>
      </w:hyperlink>
      <w:r>
        <w:rPr>
          <w:rFonts w:hint="cs"/>
          <w:rtl/>
        </w:rPr>
        <w:t>.</w:t>
      </w:r>
    </w:p>
    <w:p w14:paraId="43867A93" w14:textId="77777777" w:rsidR="00FA43DC" w:rsidRDefault="004530FC">
      <w:pPr>
        <w:numPr>
          <w:ilvl w:val="0"/>
          <w:numId w:val="1"/>
        </w:numPr>
        <w:tabs>
          <w:tab w:val="num" w:pos="720"/>
        </w:tabs>
        <w:spacing w:after="120" w:line="360" w:lineRule="auto"/>
        <w:ind w:left="720"/>
        <w:jc w:val="both"/>
        <w:rPr>
          <w:rFonts w:ascii="Tahoma" w:hAnsi="Tahoma"/>
        </w:rPr>
      </w:pPr>
      <w:r>
        <w:rPr>
          <w:rFonts w:hint="cs"/>
          <w:rtl/>
        </w:rPr>
        <w:t>במקרה דנא מדובר אמנם לא רק בניסיון הספקת סמים אלא גם בעבירות נגד שוטרים, אך בבירור מדובר ב"אירוע" אחד, ואין צורך להרחיב בדבר. באשר לערכים החברתיים שנפגעו כתוצאה מביצוע העבירות, פשיטא כי מדובר בפגיעה חמורה, שכן בנוסף</w:t>
      </w:r>
      <w:r>
        <w:rPr>
          <w:rFonts w:ascii="Tahoma" w:hAnsi="Tahoma" w:hint="cs"/>
          <w:rtl/>
        </w:rPr>
        <w:t xml:space="preserve"> לפגיעה הנגרמת מעבירות של הספקת סמים בכלל, בענייננו נגרמת פגיעה נוספת בשל החדרת הסמים לכלא.</w:t>
      </w:r>
    </w:p>
    <w:p w14:paraId="19192648"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אמנם ההחדרה סוכלה בסופו של דבר, אך דומה כי החומרה הנוספת שבהספקת סמים לכלא </w:t>
      </w:r>
      <w:r>
        <w:rPr>
          <w:rFonts w:ascii="Tahoma" w:hAnsi="Tahoma"/>
          <w:rtl/>
        </w:rPr>
        <w:t>–</w:t>
      </w:r>
      <w:r>
        <w:rPr>
          <w:rFonts w:ascii="Tahoma" w:hAnsi="Tahoma" w:hint="cs"/>
          <w:rtl/>
        </w:rPr>
        <w:t xml:space="preserve"> מעבר לחומרה שבהספקת סמים באופן כללי </w:t>
      </w:r>
      <w:r>
        <w:rPr>
          <w:rFonts w:ascii="Tahoma" w:hAnsi="Tahoma"/>
          <w:rtl/>
        </w:rPr>
        <w:t>–</w:t>
      </w:r>
      <w:r>
        <w:rPr>
          <w:rFonts w:ascii="Tahoma" w:hAnsi="Tahoma" w:hint="cs"/>
          <w:rtl/>
        </w:rPr>
        <w:t xml:space="preserve"> היא בבחינת ברורה מאליה. בהספקת סמים לכלא יש בה כדי לפגוע באופן חמור במשטר ובסדר הנדרשים בין חומותיו; בפרט נוכח העובדה שהסמים עלולים לשמש גם למסחר פנימי בתוך הכלא, על כל הסכנות הנוספות העלולות להיגרם כתוצאה מכך, לרבות במאבקים בין אסירים.</w:t>
      </w:r>
    </w:p>
    <w:p w14:paraId="74DE5991"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יחד עם זאת, המקרה דנא דומה למדיי למקרה מושא עניין </w:t>
      </w:r>
      <w:r>
        <w:rPr>
          <w:rFonts w:ascii="Tahoma" w:hAnsi="Tahoma" w:hint="cs"/>
          <w:b/>
          <w:bCs/>
          <w:rtl/>
        </w:rPr>
        <w:t>אבו לטיף</w:t>
      </w:r>
      <w:r>
        <w:rPr>
          <w:rFonts w:ascii="Tahoma" w:hAnsi="Tahoma" w:hint="cs"/>
          <w:rtl/>
        </w:rPr>
        <w:t xml:space="preserve">, ומתחם העונש ההולם שנקבע שם </w:t>
      </w:r>
      <w:r>
        <w:rPr>
          <w:rFonts w:ascii="Tahoma" w:hAnsi="Tahoma"/>
          <w:rtl/>
        </w:rPr>
        <w:t>–</w:t>
      </w:r>
      <w:r>
        <w:rPr>
          <w:rFonts w:ascii="Tahoma" w:hAnsi="Tahoma" w:hint="cs"/>
          <w:rtl/>
        </w:rPr>
        <w:t xml:space="preserve"> שאינו מקל כלל ועיקר </w:t>
      </w:r>
      <w:r>
        <w:rPr>
          <w:rFonts w:ascii="Tahoma" w:hAnsi="Tahoma"/>
          <w:rtl/>
        </w:rPr>
        <w:t>–</w:t>
      </w:r>
      <w:r>
        <w:rPr>
          <w:rFonts w:ascii="Tahoma" w:hAnsi="Tahoma" w:hint="cs"/>
          <w:rtl/>
        </w:rPr>
        <w:t xml:space="preserve"> מתאים גם לכאן. אמנם במקרה שלפניי נעברו גם עבירות נגד שוטרים, אך בהתחשב בנסיבותיהן </w:t>
      </w:r>
      <w:r>
        <w:rPr>
          <w:rFonts w:ascii="Tahoma" w:hAnsi="Tahoma"/>
          <w:rtl/>
        </w:rPr>
        <w:t>–</w:t>
      </w:r>
      <w:r>
        <w:rPr>
          <w:rFonts w:ascii="Tahoma" w:hAnsi="Tahoma" w:hint="cs"/>
          <w:rtl/>
        </w:rPr>
        <w:t xml:space="preserve"> לרבות בכך שעובדה 4 לכתב האישום לא הוכחה לפניי (ר' בפסקה 39 להכרעת הדין) </w:t>
      </w:r>
      <w:r>
        <w:rPr>
          <w:rFonts w:ascii="Tahoma" w:hAnsi="Tahoma"/>
          <w:rtl/>
        </w:rPr>
        <w:t>–</w:t>
      </w:r>
      <w:r>
        <w:rPr>
          <w:rFonts w:ascii="Tahoma" w:hAnsi="Tahoma" w:hint="cs"/>
          <w:rtl/>
        </w:rPr>
        <w:t xml:space="preserve"> אין בהן כדי לשנות מהותית מחומרת האירוע. בנסיבות אלה אני קובע, אפוא, כי מתחם העונש ההולם לאירוע דנא הוא בין שישה חודשי מאסר בפועל לבין 18 חודשי מאסר בפועל.</w:t>
      </w:r>
    </w:p>
    <w:p w14:paraId="111EFF79" w14:textId="77777777" w:rsidR="00FA43DC" w:rsidRDefault="00FA43DC">
      <w:pPr>
        <w:spacing w:after="120" w:line="360" w:lineRule="auto"/>
        <w:jc w:val="both"/>
        <w:rPr>
          <w:rFonts w:ascii="Tahoma" w:hAnsi="Tahoma"/>
          <w:rtl/>
        </w:rPr>
      </w:pPr>
    </w:p>
    <w:p w14:paraId="6D3B78BB" w14:textId="77777777" w:rsidR="00FA43DC" w:rsidRDefault="004530FC">
      <w:pPr>
        <w:snapToGrid w:val="0"/>
        <w:spacing w:after="120" w:line="360" w:lineRule="auto"/>
        <w:jc w:val="both"/>
        <w:rPr>
          <w:b/>
          <w:bCs/>
          <w:u w:val="single"/>
          <w:rtl/>
        </w:rPr>
      </w:pPr>
      <w:r>
        <w:rPr>
          <w:rFonts w:hint="cs"/>
          <w:b/>
          <w:bCs/>
          <w:rtl/>
        </w:rPr>
        <w:t>ד.</w:t>
      </w:r>
      <w:r>
        <w:rPr>
          <w:rFonts w:hint="cs"/>
          <w:b/>
          <w:bCs/>
          <w:rtl/>
        </w:rPr>
        <w:tab/>
      </w:r>
      <w:r>
        <w:rPr>
          <w:rFonts w:hint="cs"/>
          <w:b/>
          <w:bCs/>
          <w:u w:val="single"/>
          <w:rtl/>
        </w:rPr>
        <w:t>גזירת עונשו של הנאשם בתוך מתחם העונש ההולם:</w:t>
      </w:r>
    </w:p>
    <w:p w14:paraId="1D938B7B" w14:textId="77777777" w:rsidR="00FA43DC" w:rsidRDefault="004530FC">
      <w:pPr>
        <w:numPr>
          <w:ilvl w:val="0"/>
          <w:numId w:val="1"/>
        </w:numPr>
        <w:tabs>
          <w:tab w:val="num" w:pos="720"/>
        </w:tabs>
        <w:spacing w:after="120" w:line="360" w:lineRule="auto"/>
        <w:ind w:left="72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כמפורט בהוראות </w:t>
      </w:r>
      <w:hyperlink r:id="rId35" w:history="1">
        <w:r w:rsidR="00F44EB9" w:rsidRPr="00F44EB9">
          <w:rPr>
            <w:color w:val="0000FF"/>
            <w:u w:val="single"/>
            <w:rtl/>
          </w:rPr>
          <w:t>סעיף 40יא</w:t>
        </w:r>
      </w:hyperlink>
      <w:r>
        <w:rPr>
          <w:rFonts w:hint="cs"/>
          <w:rtl/>
        </w:rPr>
        <w:t xml:space="preserve"> ל</w:t>
      </w:r>
      <w:hyperlink r:id="rId36" w:history="1">
        <w:r w:rsidRPr="004530FC">
          <w:rPr>
            <w:color w:val="0000FF"/>
            <w:u w:val="single"/>
            <w:rtl/>
          </w:rPr>
          <w:t>חוק העונשין</w:t>
        </w:r>
      </w:hyperlink>
      <w:r>
        <w:rPr>
          <w:rFonts w:hint="cs"/>
          <w:rtl/>
        </w:rPr>
        <w:t>.</w:t>
      </w:r>
    </w:p>
    <w:p w14:paraId="405AB6BD" w14:textId="77777777" w:rsidR="00FA43DC" w:rsidRDefault="004530FC">
      <w:pPr>
        <w:numPr>
          <w:ilvl w:val="0"/>
          <w:numId w:val="1"/>
        </w:numPr>
        <w:tabs>
          <w:tab w:val="num" w:pos="720"/>
        </w:tabs>
        <w:spacing w:after="120" w:line="360" w:lineRule="auto"/>
        <w:ind w:left="720"/>
        <w:jc w:val="both"/>
        <w:rPr>
          <w:rFonts w:ascii="Tahoma" w:hAnsi="Tahoma"/>
          <w:rtl/>
        </w:rPr>
      </w:pPr>
      <w:r>
        <w:rPr>
          <w:rFonts w:hint="cs"/>
          <w:rtl/>
        </w:rPr>
        <w:t>באשר לנאשם שלפניי, השיקולים הרלוואנטיים לגזירת עונשו הם כלהלן:</w:t>
      </w:r>
    </w:p>
    <w:p w14:paraId="73214E51" w14:textId="77777777" w:rsidR="00FA43DC" w:rsidRDefault="004530FC">
      <w:pPr>
        <w:snapToGrid w:val="0"/>
        <w:spacing w:after="120" w:line="360" w:lineRule="auto"/>
        <w:ind w:left="1440"/>
        <w:jc w:val="both"/>
        <w:rPr>
          <w:rtl/>
        </w:rPr>
      </w:pPr>
      <w:r>
        <w:rPr>
          <w:rFonts w:hint="cs"/>
          <w:b/>
          <w:bCs/>
          <w:rtl/>
        </w:rPr>
        <w:t xml:space="preserve">עברו הפלילי של הנאשם </w:t>
      </w:r>
      <w:r>
        <w:rPr>
          <w:b/>
          <w:bCs/>
          <w:rtl/>
        </w:rPr>
        <w:t>–</w:t>
      </w:r>
      <w:r>
        <w:rPr>
          <w:rFonts w:hint="cs"/>
          <w:rtl/>
        </w:rPr>
        <w:t xml:space="preserve"> לנאשם 8 הרשעות קודמות, כאמור במגוון של עבירות. נתון זה הינו בעל משמעות מהותית, שכן ניתן ללמוד ממנו כי עסקינן בנאשם החוזר ומבצע עבירות, הפוגעות בציבור, וכי העונשים שהושתו עליו בעבר לא הרתיעו אותו מלשוב לסורו. זאת ועוד: לא מדובר במקרה בו עומד הנאשם בפעם הראשונה בפני עונש של מאסר בפועל, וכפועל יוצא מכך אין מקום להתחשבות, הננקטת בנסיבות המתאימות, כלפי מי שעומד לראשונה בחייו בפני עונש מאסר. לבסוף, נגד הנאשם גם תלוי ועומד עונש של מאסר מותנה בר הפעלה, שאף בו לא היה כדי להרתיע אותו מלשוב ולבצע עבירות.</w:t>
      </w:r>
    </w:p>
    <w:p w14:paraId="5FC67B93" w14:textId="77777777" w:rsidR="00FA43DC" w:rsidRDefault="004530FC">
      <w:pPr>
        <w:snapToGrid w:val="0"/>
        <w:spacing w:after="120" w:line="360" w:lineRule="auto"/>
        <w:ind w:left="1440"/>
        <w:jc w:val="both"/>
        <w:rPr>
          <w:rFonts w:ascii="Tahoma" w:hAnsi="Tahoma"/>
          <w:rtl/>
        </w:rPr>
      </w:pPr>
      <w:r>
        <w:rPr>
          <w:rFonts w:hint="cs"/>
          <w:b/>
          <w:bCs/>
          <w:rtl/>
        </w:rPr>
        <w:t xml:space="preserve">הודאה ונטילת אחריות </w:t>
      </w:r>
      <w:r>
        <w:rPr>
          <w:b/>
          <w:bCs/>
          <w:rtl/>
        </w:rPr>
        <w:t>–</w:t>
      </w:r>
      <w:r>
        <w:rPr>
          <w:rFonts w:hint="cs"/>
          <w:rtl/>
        </w:rPr>
        <w:t xml:space="preserve"> </w:t>
      </w:r>
      <w:r>
        <w:rPr>
          <w:rFonts w:ascii="Tahoma" w:hAnsi="Tahoma" w:hint="cs"/>
          <w:rtl/>
        </w:rPr>
        <w:t xml:space="preserve">הנאשם כפר בעובדות כתב האישום ועמד על ניהול הליך שמיעת ראיות מלא, שכלל חקירה נגדית ממצה של העדים. זוהי כמובן זכותו הבסיסית של הנאשם לעמוד על ניהול משפטו ופשיטא כי אין לזקוף את ניהול המשפט לחובתו (ור' גם בהוראות </w:t>
      </w:r>
      <w:hyperlink r:id="rId37" w:history="1">
        <w:r w:rsidR="00F44EB9" w:rsidRPr="00F44EB9">
          <w:rPr>
            <w:rFonts w:ascii="Tahoma" w:hAnsi="Tahoma"/>
            <w:color w:val="0000FF"/>
            <w:u w:val="single"/>
            <w:rtl/>
          </w:rPr>
          <w:t>סעיף 40יא(6)</w:t>
        </w:r>
      </w:hyperlink>
      <w:r>
        <w:rPr>
          <w:rFonts w:ascii="Tahoma" w:hAnsi="Tahoma" w:hint="cs"/>
          <w:rtl/>
        </w:rPr>
        <w:t xml:space="preserve"> סיפא ל</w:t>
      </w:r>
      <w:hyperlink r:id="rId38" w:history="1">
        <w:r w:rsidRPr="004530FC">
          <w:rPr>
            <w:rFonts w:ascii="Tahoma" w:hAnsi="Tahoma"/>
            <w:color w:val="0000FF"/>
            <w:u w:val="single"/>
            <w:rtl/>
          </w:rPr>
          <w:t>חוק העונשין</w:t>
        </w:r>
      </w:hyperlink>
      <w:r>
        <w:rPr>
          <w:rFonts w:ascii="Tahoma" w:hAnsi="Tahoma" w:hint="cs"/>
          <w:rtl/>
        </w:rPr>
        <w:t>).</w:t>
      </w:r>
    </w:p>
    <w:p w14:paraId="5C7FA3DF" w14:textId="77777777" w:rsidR="00FA43DC" w:rsidRDefault="004530FC">
      <w:pPr>
        <w:spacing w:after="120" w:line="360" w:lineRule="auto"/>
        <w:ind w:left="1440"/>
        <w:jc w:val="both"/>
        <w:rPr>
          <w:rtl/>
        </w:rPr>
      </w:pPr>
      <w:r>
        <w:rPr>
          <w:rFonts w:ascii="Tahoma" w:hAnsi="Tahoma" w:hint="cs"/>
          <w:rtl/>
        </w:rPr>
        <w:t>יחד עם זאת, בנסיבות אלה הנאשם אינו זכאי להקלה, הניתנת למי שמודה באשמה ונוטל אחריות על מעשיו, בבחינת "</w:t>
      </w:r>
      <w:r>
        <w:rPr>
          <w:rFonts w:ascii="Tahoma" w:hAnsi="Tahoma" w:hint="cs"/>
          <w:b/>
          <w:bCs/>
          <w:rtl/>
        </w:rPr>
        <w:t>מוֹדֶה</w:t>
      </w:r>
      <w:r>
        <w:rPr>
          <w:rFonts w:ascii="Tahoma" w:hAnsi="Tahoma"/>
          <w:b/>
          <w:bCs/>
          <w:rtl/>
        </w:rPr>
        <w:t xml:space="preserve"> </w:t>
      </w:r>
      <w:r>
        <w:rPr>
          <w:rFonts w:ascii="Tahoma" w:hAnsi="Tahoma" w:hint="cs"/>
          <w:b/>
          <w:bCs/>
          <w:rtl/>
        </w:rPr>
        <w:t>וְעֹזֵב</w:t>
      </w:r>
      <w:r>
        <w:rPr>
          <w:rFonts w:ascii="Tahoma" w:hAnsi="Tahoma"/>
          <w:b/>
          <w:bCs/>
          <w:rtl/>
        </w:rPr>
        <w:t xml:space="preserve"> </w:t>
      </w:r>
      <w:r>
        <w:rPr>
          <w:rFonts w:ascii="Tahoma" w:hAnsi="Tahoma" w:hint="cs"/>
          <w:b/>
          <w:bCs/>
          <w:rtl/>
        </w:rPr>
        <w:t>יְרֻחָם</w:t>
      </w:r>
      <w:r>
        <w:rPr>
          <w:rFonts w:ascii="Tahoma" w:hAnsi="Tahoma" w:hint="cs"/>
          <w:rtl/>
        </w:rPr>
        <w:t>" (משלי, פרק כ"ח פסוק י"ג).</w:t>
      </w:r>
    </w:p>
    <w:p w14:paraId="27BE8A50" w14:textId="77777777" w:rsidR="00FA43DC" w:rsidRDefault="004530FC">
      <w:pPr>
        <w:snapToGrid w:val="0"/>
        <w:spacing w:after="120" w:line="360" w:lineRule="auto"/>
        <w:ind w:left="1440"/>
        <w:jc w:val="both"/>
        <w:rPr>
          <w:rtl/>
        </w:rPr>
      </w:pPr>
      <w:r>
        <w:rPr>
          <w:rFonts w:hint="cs"/>
          <w:b/>
          <w:bCs/>
          <w:rtl/>
        </w:rPr>
        <w:t xml:space="preserve">נתוניו האישיים של הנאשם ונסיבות חייו </w:t>
      </w:r>
      <w:r>
        <w:rPr>
          <w:b/>
          <w:bCs/>
          <w:rtl/>
        </w:rPr>
        <w:t>–</w:t>
      </w:r>
      <w:r>
        <w:rPr>
          <w:rFonts w:hint="cs"/>
          <w:rtl/>
        </w:rPr>
        <w:t xml:space="preserve"> הנאשם הינו יליד שנת 1971. הנאשם מנהל מזה שנים אורח חיים שולי, והרשעתו הראשונה הינה משנת 1996, עת היה כבן 25 שנים. לטענת ההגנה, הנאשם משתמש בסמים מסוכנים ואינו מצליח לטפל בעצמו. לנאשם אף בעיות בריאותיות </w:t>
      </w:r>
      <w:r>
        <w:rPr>
          <w:rtl/>
        </w:rPr>
        <w:t>–</w:t>
      </w:r>
      <w:r>
        <w:rPr>
          <w:rFonts w:hint="cs"/>
          <w:rtl/>
        </w:rPr>
        <w:t xml:space="preserve"> לדבריו במישור הנפשי </w:t>
      </w:r>
      <w:r>
        <w:rPr>
          <w:rtl/>
        </w:rPr>
        <w:t>–</w:t>
      </w:r>
      <w:r>
        <w:rPr>
          <w:rFonts w:hint="cs"/>
          <w:rtl/>
        </w:rPr>
        <w:t xml:space="preserve"> שבגינן נקבע לו נכות צמיתה. לא זו אף זו: הנאשם הוא חסר כל וגלמוד, ויש טעם בטענת ב"כ הנאשם כי היבטים אלה יקשו על הנאשם את ריצויו של עונש המאסר.</w:t>
      </w:r>
    </w:p>
    <w:p w14:paraId="53CCF2E8" w14:textId="77777777" w:rsidR="00FA43DC" w:rsidRDefault="00FA43DC">
      <w:pPr>
        <w:snapToGrid w:val="0"/>
        <w:spacing w:after="120" w:line="360" w:lineRule="auto"/>
        <w:jc w:val="both"/>
        <w:rPr>
          <w:rtl/>
        </w:rPr>
      </w:pPr>
    </w:p>
    <w:p w14:paraId="788F91EF" w14:textId="77777777" w:rsidR="00FA43DC" w:rsidRDefault="004530FC">
      <w:pPr>
        <w:snapToGrid w:val="0"/>
        <w:spacing w:after="120" w:line="360" w:lineRule="auto"/>
        <w:jc w:val="both"/>
        <w:rPr>
          <w:b/>
          <w:bCs/>
          <w:u w:val="single"/>
          <w:rtl/>
        </w:rPr>
      </w:pPr>
      <w:r>
        <w:rPr>
          <w:rFonts w:hint="cs"/>
          <w:b/>
          <w:bCs/>
          <w:rtl/>
        </w:rPr>
        <w:t>ה.</w:t>
      </w:r>
      <w:r>
        <w:rPr>
          <w:rFonts w:hint="cs"/>
          <w:b/>
          <w:bCs/>
          <w:rtl/>
        </w:rPr>
        <w:tab/>
      </w:r>
      <w:r>
        <w:rPr>
          <w:rFonts w:hint="cs"/>
          <w:b/>
          <w:bCs/>
          <w:u w:val="single"/>
          <w:rtl/>
        </w:rPr>
        <w:t>דיון והכרעה:</w:t>
      </w:r>
    </w:p>
    <w:p w14:paraId="36DE6DFE" w14:textId="77777777" w:rsidR="00FA43DC" w:rsidRDefault="004530FC">
      <w:pPr>
        <w:numPr>
          <w:ilvl w:val="0"/>
          <w:numId w:val="1"/>
        </w:numPr>
        <w:tabs>
          <w:tab w:val="num" w:pos="720"/>
        </w:tabs>
        <w:spacing w:after="120" w:line="360" w:lineRule="auto"/>
        <w:ind w:left="720"/>
        <w:jc w:val="both"/>
        <w:rPr>
          <w:rFonts w:ascii="Tahoma" w:hAnsi="Tahoma"/>
        </w:rPr>
      </w:pPr>
      <w:r>
        <w:rPr>
          <w:rFonts w:hint="cs"/>
          <w:rtl/>
        </w:rPr>
        <w:t>העולה מכל המקובץ הוא כי במקרה דנא נסיבות החומרה עולות במידה ניכרת על נסיבות הקולה. לנאשם עבר פלילי מכביד ואף תלוי ועומד נגדו מאסר על תנאי בר הפעלה. הלכה למעשה נסיבות הקולה היחידות שניתן לזקוף לזכותו של הנאשם הן נסיבותיו האישיות העגומות, כפי שפורטו לעיל. לפיכך יש לקבוע את עונשו של הנאשם בשלושת רבעי מתחם העונש ההולם, דהיינו: לעונש מאסר בפועל לתקופה של 15 חודשים.</w:t>
      </w:r>
    </w:p>
    <w:p w14:paraId="0E2E7FF8"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בנסיבות האמורות, </w:t>
      </w:r>
      <w:r>
        <w:rPr>
          <w:rFonts w:hint="cs"/>
          <w:rtl/>
        </w:rPr>
        <w:t xml:space="preserve">באשר לעונש המאסר המותנה התלוי ועומד נגד הנאשם יש לפעול לפי הכלל, הקבוע בהוראות </w:t>
      </w:r>
      <w:hyperlink r:id="rId39" w:history="1">
        <w:r w:rsidR="00F44EB9" w:rsidRPr="00F44EB9">
          <w:rPr>
            <w:color w:val="0000FF"/>
            <w:u w:val="single"/>
            <w:rtl/>
          </w:rPr>
          <w:t>סעיף 58</w:t>
        </w:r>
      </w:hyperlink>
      <w:r>
        <w:rPr>
          <w:rFonts w:hint="cs"/>
          <w:rtl/>
        </w:rPr>
        <w:t xml:space="preserve"> ל</w:t>
      </w:r>
      <w:hyperlink r:id="rId40" w:history="1">
        <w:r w:rsidRPr="004530FC">
          <w:rPr>
            <w:color w:val="0000FF"/>
            <w:u w:val="single"/>
            <w:rtl/>
          </w:rPr>
          <w:t>חוק העונשין</w:t>
        </w:r>
      </w:hyperlink>
      <w:r>
        <w:rPr>
          <w:rFonts w:hint="cs"/>
          <w:rtl/>
        </w:rPr>
        <w:t>, שלפיו עונש מאסר מותנה יופעל במצטבר לעונש מאסר בפועל הנגזר על הנאשם. לא למותר להזכיר בהקשר זה כי על פי הדין נדרשות נסיבות מיוחדות, שעל בית המשפט לפרט בגזר הדין את טעמיהן, על מנת לסטות מכלל זה. מכל מקום, במקרה דנא, בהתחשב במכלול נסיבותיו כמו גם בעברו הפלילי של הנאשם, אין מקום לסטות מכלל תחיקתי זה, שהגיונו בצידו.</w:t>
      </w:r>
    </w:p>
    <w:p w14:paraId="28F006A4" w14:textId="77777777" w:rsidR="00FA43DC" w:rsidRDefault="004530FC">
      <w:pPr>
        <w:numPr>
          <w:ilvl w:val="0"/>
          <w:numId w:val="1"/>
        </w:numPr>
        <w:tabs>
          <w:tab w:val="num" w:pos="720"/>
        </w:tabs>
        <w:spacing w:after="120" w:line="360" w:lineRule="auto"/>
        <w:ind w:left="720"/>
        <w:jc w:val="both"/>
        <w:rPr>
          <w:rFonts w:ascii="Tahoma" w:hAnsi="Tahoma"/>
        </w:rPr>
      </w:pPr>
      <w:r>
        <w:rPr>
          <w:rFonts w:ascii="Tahoma" w:hAnsi="Tahoma" w:hint="cs"/>
          <w:rtl/>
        </w:rPr>
        <w:t xml:space="preserve">יחד עם זאת, </w:t>
      </w:r>
      <w:r>
        <w:rPr>
          <w:rFonts w:hint="cs"/>
          <w:rtl/>
        </w:rPr>
        <w:t>נוכח מכלול נסיבות המקרה ותקופת המאסר בפועל המשמעותית, הנגזרת בזה על הנאשם, איני מוצא מקום להשית על הנאשם ענישה נוספת, למעט מאסר מותנה. לאור נסיבותיו האישיות של הנאשם, נראה כי בהשתת קנס כספי עליו לא יהא אלא כדי להאריך את תקופת המאסר שנגזרה עליו, וכמעט למותר לציין שזו אינה המטרה העומדת ביסודה של ענישה כלכלית.</w:t>
      </w:r>
      <w:r>
        <w:rPr>
          <w:rFonts w:ascii="Tahoma" w:hAnsi="Tahoma" w:hint="cs"/>
          <w:rtl/>
        </w:rPr>
        <w:t xml:space="preserve"> בנסיבות אלה גם איני מוצא מקום להשית על הנאשם עונש של פסילת רישיון נהיגה, בפרט כאשר הנאשם לא הורשע לפניי בעבירות של שימוש עצמי בסמים מסוכנים.</w:t>
      </w:r>
    </w:p>
    <w:p w14:paraId="1B3B883D" w14:textId="77777777" w:rsidR="00FA43DC" w:rsidRDefault="004530FC">
      <w:pPr>
        <w:numPr>
          <w:ilvl w:val="0"/>
          <w:numId w:val="1"/>
        </w:numPr>
        <w:tabs>
          <w:tab w:val="num" w:pos="720"/>
        </w:tabs>
        <w:spacing w:after="120" w:line="360" w:lineRule="auto"/>
        <w:ind w:left="720"/>
        <w:jc w:val="both"/>
        <w:rPr>
          <w:rFonts w:ascii="Tahoma" w:hAnsi="Tahoma"/>
          <w:rtl/>
        </w:rPr>
      </w:pPr>
      <w:r>
        <w:rPr>
          <w:rFonts w:hint="cs"/>
          <w:rtl/>
        </w:rPr>
        <w:t>אשר על כן אני גוזר על הנאשם את העונשים הבאים:</w:t>
      </w:r>
    </w:p>
    <w:p w14:paraId="55E64AA6" w14:textId="77777777" w:rsidR="00FA43DC" w:rsidRDefault="004530FC">
      <w:pPr>
        <w:spacing w:after="120" w:line="360" w:lineRule="auto"/>
        <w:ind w:left="1440" w:hanging="720"/>
        <w:jc w:val="both"/>
        <w:rPr>
          <w:rFonts w:ascii="Tahoma" w:hAnsi="Tahoma"/>
        </w:rPr>
      </w:pPr>
      <w:r>
        <w:rPr>
          <w:rFonts w:hint="cs"/>
          <w:rtl/>
        </w:rPr>
        <w:t>(א)</w:t>
      </w:r>
      <w:r>
        <w:rPr>
          <w:rtl/>
        </w:rPr>
        <w:tab/>
      </w:r>
      <w:r>
        <w:rPr>
          <w:rFonts w:hint="cs"/>
          <w:rtl/>
        </w:rPr>
        <w:t>15 חודשי מאסר לריצוי בפועל, החל מיום מעצרו (4.1.15).</w:t>
      </w:r>
    </w:p>
    <w:p w14:paraId="7ECAAEDF" w14:textId="77777777" w:rsidR="00FA43DC" w:rsidRDefault="004530FC">
      <w:pPr>
        <w:spacing w:after="120" w:line="360" w:lineRule="auto"/>
        <w:ind w:left="1440" w:hanging="720"/>
        <w:jc w:val="both"/>
        <w:rPr>
          <w:rFonts w:ascii="Tahoma" w:hAnsi="Tahoma"/>
        </w:rPr>
      </w:pPr>
      <w:r>
        <w:rPr>
          <w:rFonts w:hint="cs"/>
          <w:rtl/>
        </w:rPr>
        <w:t>(ב)</w:t>
      </w:r>
      <w:r>
        <w:rPr>
          <w:rtl/>
        </w:rPr>
        <w:tab/>
      </w:r>
      <w:r>
        <w:rPr>
          <w:rFonts w:hint="cs"/>
          <w:rtl/>
        </w:rPr>
        <w:t xml:space="preserve">המאסר המותנה, בן 6 חודשים, אשר נגזר על הנאשם </w:t>
      </w:r>
      <w:r>
        <w:rPr>
          <w:rFonts w:ascii="Tahoma" w:hAnsi="Tahoma" w:hint="cs"/>
          <w:rtl/>
        </w:rPr>
        <w:t>ב</w:t>
      </w:r>
      <w:hyperlink r:id="rId41" w:history="1">
        <w:r w:rsidRPr="004530FC">
          <w:rPr>
            <w:rFonts w:ascii="Tahoma" w:hAnsi="Tahoma"/>
            <w:color w:val="0000FF"/>
            <w:u w:val="single"/>
            <w:rtl/>
          </w:rPr>
          <w:t>ת.פ. 7493-02-11</w:t>
        </w:r>
      </w:hyperlink>
      <w:r>
        <w:rPr>
          <w:rFonts w:ascii="Tahoma" w:hAnsi="Tahoma" w:hint="cs"/>
          <w:rtl/>
        </w:rPr>
        <w:t>, בבית משפט השלום בקריות</w:t>
      </w:r>
      <w:r>
        <w:rPr>
          <w:rFonts w:hint="cs"/>
          <w:rtl/>
        </w:rPr>
        <w:t>, מופעל בזה במצטבר לעונש המאסר אשר הוטל בסעיף-קטן (א) דלעיל.</w:t>
      </w:r>
    </w:p>
    <w:p w14:paraId="40A3A8C8" w14:textId="77777777" w:rsidR="00FA43DC" w:rsidRDefault="004530FC">
      <w:pPr>
        <w:spacing w:after="120" w:line="360" w:lineRule="auto"/>
        <w:ind w:left="2160" w:hanging="720"/>
        <w:jc w:val="both"/>
        <w:rPr>
          <w:rFonts w:ascii="Tahoma" w:hAnsi="Tahoma"/>
          <w:b/>
          <w:bCs/>
        </w:rPr>
      </w:pPr>
      <w:r>
        <w:rPr>
          <w:rFonts w:hint="cs"/>
          <w:b/>
          <w:bCs/>
          <w:rtl/>
        </w:rPr>
        <w:t>בסך הכל ירצה אפוא הנאשם 21 חודשי מאסר, החל מיום מעצרו (4.1.15).</w:t>
      </w:r>
    </w:p>
    <w:p w14:paraId="618EDF97" w14:textId="77777777" w:rsidR="00FA43DC" w:rsidRDefault="004530FC">
      <w:pPr>
        <w:spacing w:after="120" w:line="360" w:lineRule="auto"/>
        <w:ind w:left="1440" w:hanging="720"/>
        <w:jc w:val="both"/>
        <w:rPr>
          <w:rFonts w:ascii="Tahoma" w:hAnsi="Tahoma"/>
        </w:rPr>
      </w:pPr>
      <w:r>
        <w:rPr>
          <w:rFonts w:hint="cs"/>
          <w:rtl/>
        </w:rPr>
        <w:t>(ג)</w:t>
      </w:r>
      <w:r>
        <w:rPr>
          <w:rtl/>
        </w:rPr>
        <w:tab/>
      </w:r>
      <w:r>
        <w:rPr>
          <w:rFonts w:hint="cs"/>
          <w:rtl/>
        </w:rPr>
        <w:t xml:space="preserve">מאסר על תנאי למשך 6 חודשים, אותו לא יישא הנאשם אלא אם כן יעבור, תוך שלוש שנים מיום שחרורו מן המאסר, עבירה </w:t>
      </w:r>
      <w:r>
        <w:rPr>
          <w:rFonts w:ascii="Tahoma" w:hAnsi="Tahoma" w:hint="cs"/>
          <w:rtl/>
        </w:rPr>
        <w:t xml:space="preserve">מסוג פשע לפי הוראות </w:t>
      </w:r>
      <w:hyperlink r:id="rId42" w:history="1">
        <w:r w:rsidRPr="004530FC">
          <w:rPr>
            <w:rFonts w:ascii="Tahoma" w:hAnsi="Tahoma"/>
            <w:color w:val="0000FF"/>
            <w:u w:val="single"/>
            <w:rtl/>
          </w:rPr>
          <w:t>פקודת הסמים המסוכנים</w:t>
        </w:r>
      </w:hyperlink>
      <w:r>
        <w:rPr>
          <w:rFonts w:ascii="Tahoma" w:hAnsi="Tahoma" w:hint="cs"/>
          <w:rtl/>
        </w:rPr>
        <w:t>.</w:t>
      </w:r>
    </w:p>
    <w:p w14:paraId="41248304" w14:textId="77777777" w:rsidR="00FA43DC" w:rsidRDefault="004530FC">
      <w:pPr>
        <w:spacing w:after="120" w:line="360" w:lineRule="auto"/>
        <w:ind w:left="1440" w:hanging="720"/>
        <w:jc w:val="both"/>
        <w:rPr>
          <w:rFonts w:ascii="Tahoma" w:hAnsi="Tahoma"/>
          <w:rtl/>
        </w:rPr>
      </w:pPr>
      <w:r>
        <w:rPr>
          <w:rFonts w:hint="cs"/>
          <w:rtl/>
        </w:rPr>
        <w:t>(ד)</w:t>
      </w:r>
      <w:r>
        <w:rPr>
          <w:rtl/>
        </w:rPr>
        <w:tab/>
      </w:r>
      <w:r>
        <w:rPr>
          <w:rFonts w:hint="cs"/>
          <w:rtl/>
        </w:rPr>
        <w:t xml:space="preserve">ניתן בזה צו כללי, לעניין מוצגים, לשיקול דעתו של קצין משטרה. </w:t>
      </w:r>
    </w:p>
    <w:p w14:paraId="30C2FE28" w14:textId="77777777" w:rsidR="00FA43DC" w:rsidRDefault="00FA43DC">
      <w:pPr>
        <w:snapToGrid w:val="0"/>
        <w:spacing w:after="120" w:line="360" w:lineRule="auto"/>
        <w:jc w:val="both"/>
        <w:rPr>
          <w:rtl/>
        </w:rPr>
      </w:pPr>
    </w:p>
    <w:p w14:paraId="439D05DE" w14:textId="77777777" w:rsidR="00FA43DC" w:rsidRDefault="004530FC">
      <w:pPr>
        <w:snapToGrid w:val="0"/>
        <w:spacing w:after="120" w:line="360" w:lineRule="auto"/>
        <w:jc w:val="both"/>
        <w:rPr>
          <w:rtl/>
        </w:rPr>
      </w:pPr>
      <w:r w:rsidRPr="004530FC">
        <w:rPr>
          <w:color w:val="FFFFFF"/>
          <w:sz w:val="2"/>
          <w:szCs w:val="2"/>
          <w:rtl/>
        </w:rPr>
        <w:t>5129371</w:t>
      </w:r>
      <w:r>
        <w:rPr>
          <w:rFonts w:hint="cs"/>
          <w:rtl/>
        </w:rPr>
        <w:t>זכות ערעור בתוך 45 יום מהיום.</w:t>
      </w:r>
    </w:p>
    <w:p w14:paraId="79F6FE78" w14:textId="77777777" w:rsidR="00FA43DC" w:rsidRDefault="004530FC">
      <w:pPr>
        <w:spacing w:line="360" w:lineRule="auto"/>
        <w:jc w:val="both"/>
        <w:rPr>
          <w:rFonts w:ascii="Arial" w:hAnsi="Arial"/>
        </w:rPr>
      </w:pPr>
      <w:r w:rsidRPr="004530FC">
        <w:rPr>
          <w:rFonts w:ascii="Arial" w:hAnsi="Arial"/>
          <w:color w:val="FFFFFF"/>
          <w:sz w:val="2"/>
          <w:szCs w:val="2"/>
          <w:rtl/>
        </w:rPr>
        <w:t>54678313</w:t>
      </w:r>
      <w:r>
        <w:rPr>
          <w:rFonts w:ascii="Arial" w:hAnsi="Arial"/>
          <w:rtl/>
        </w:rPr>
        <w:t xml:space="preserve">ניתן היום, ו' כסלו תשע"ו, 18 נובמבר 2015, במעמד הצדדים. </w:t>
      </w:r>
    </w:p>
    <w:p w14:paraId="138D4638" w14:textId="77777777" w:rsidR="00FA43DC" w:rsidRDefault="00FA43DC">
      <w:pPr>
        <w:rPr>
          <w:rFonts w:cs="FrankRuehl"/>
          <w:sz w:val="28"/>
          <w:szCs w:val="28"/>
          <w:rtl/>
        </w:rPr>
      </w:pPr>
    </w:p>
    <w:p w14:paraId="2DCB994D" w14:textId="77777777" w:rsidR="00FA43DC" w:rsidRDefault="004530F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C4F955" w14:textId="77777777" w:rsidR="00FA43DC" w:rsidRDefault="00FA43DC">
      <w:pPr>
        <w:jc w:val="center"/>
        <w:rPr>
          <w:rFonts w:ascii="Arial" w:hAnsi="Arial" w:cs="FrankRuehl"/>
          <w:sz w:val="28"/>
          <w:szCs w:val="28"/>
          <w:rtl/>
        </w:rPr>
      </w:pPr>
    </w:p>
    <w:p w14:paraId="7D9E3453" w14:textId="77777777" w:rsidR="00FA43DC" w:rsidRDefault="00FA43DC">
      <w:pPr>
        <w:pStyle w:val="a3"/>
        <w:rPr>
          <w:rtl/>
        </w:rPr>
      </w:pPr>
    </w:p>
    <w:p w14:paraId="394A5D7F" w14:textId="77777777" w:rsidR="004530FC" w:rsidRPr="004530FC" w:rsidRDefault="004530FC" w:rsidP="004530FC">
      <w:pPr>
        <w:keepNext/>
        <w:rPr>
          <w:rFonts w:ascii="David" w:hAnsi="David"/>
          <w:color w:val="000000"/>
          <w:sz w:val="22"/>
          <w:szCs w:val="22"/>
          <w:rtl/>
        </w:rPr>
      </w:pPr>
    </w:p>
    <w:p w14:paraId="74F1A906" w14:textId="77777777" w:rsidR="004530FC" w:rsidRPr="004530FC" w:rsidRDefault="004530FC" w:rsidP="004530FC">
      <w:pPr>
        <w:keepNext/>
        <w:rPr>
          <w:rFonts w:ascii="David" w:hAnsi="David"/>
          <w:color w:val="000000"/>
          <w:sz w:val="22"/>
          <w:szCs w:val="22"/>
          <w:rtl/>
        </w:rPr>
      </w:pPr>
      <w:r w:rsidRPr="004530FC">
        <w:rPr>
          <w:rFonts w:ascii="David" w:hAnsi="David"/>
          <w:color w:val="000000"/>
          <w:sz w:val="22"/>
          <w:szCs w:val="22"/>
          <w:rtl/>
        </w:rPr>
        <w:t>ד"ר שאול אבינור 54678313</w:t>
      </w:r>
    </w:p>
    <w:p w14:paraId="75EE4DDA" w14:textId="77777777" w:rsidR="004530FC" w:rsidRDefault="004530FC" w:rsidP="004530FC">
      <w:r w:rsidRPr="004530FC">
        <w:rPr>
          <w:color w:val="000000"/>
          <w:rtl/>
        </w:rPr>
        <w:t>נוסח מסמך זה כפוף לשינויי ניסוח ועריכה</w:t>
      </w:r>
    </w:p>
    <w:p w14:paraId="522D9C01" w14:textId="77777777" w:rsidR="004530FC" w:rsidRDefault="004530FC" w:rsidP="004530FC">
      <w:pPr>
        <w:rPr>
          <w:rtl/>
        </w:rPr>
      </w:pPr>
    </w:p>
    <w:p w14:paraId="3AC6BD49" w14:textId="77777777" w:rsidR="004530FC" w:rsidRDefault="004530FC" w:rsidP="004530FC">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5587B13" w14:textId="77777777" w:rsidR="00FA43DC" w:rsidRPr="004530FC" w:rsidRDefault="00FA43DC" w:rsidP="004530FC">
      <w:pPr>
        <w:jc w:val="center"/>
        <w:rPr>
          <w:color w:val="0000FF"/>
          <w:u w:val="single"/>
        </w:rPr>
      </w:pPr>
    </w:p>
    <w:sectPr w:rsidR="00FA43DC" w:rsidRPr="004530FC" w:rsidSect="004530FC">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4BF76" w14:textId="77777777" w:rsidR="007E1269" w:rsidRDefault="007E1269">
      <w:r>
        <w:separator/>
      </w:r>
    </w:p>
  </w:endnote>
  <w:endnote w:type="continuationSeparator" w:id="0">
    <w:p w14:paraId="62A6B60B" w14:textId="77777777" w:rsidR="007E1269" w:rsidRDefault="007E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FB074" w14:textId="77777777" w:rsidR="007E1269" w:rsidRDefault="007E1269" w:rsidP="004530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613832" w14:textId="77777777" w:rsidR="007E1269" w:rsidRPr="004530FC" w:rsidRDefault="007E1269" w:rsidP="004530FC">
    <w:pPr>
      <w:pStyle w:val="a4"/>
      <w:pBdr>
        <w:top w:val="single" w:sz="4" w:space="1" w:color="auto"/>
        <w:between w:val="single" w:sz="4" w:space="0" w:color="auto"/>
      </w:pBdr>
      <w:spacing w:after="60"/>
      <w:jc w:val="center"/>
      <w:rPr>
        <w:rFonts w:ascii="FrankRuehl" w:hAnsi="FrankRuehl" w:cs="FrankRuehl"/>
        <w:color w:val="000000"/>
      </w:rPr>
    </w:pPr>
    <w:r w:rsidRPr="004530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A9C57" w14:textId="77777777" w:rsidR="007E1269" w:rsidRDefault="007E1269" w:rsidP="004530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4A23">
      <w:rPr>
        <w:rFonts w:ascii="FrankRuehl" w:hAnsi="FrankRuehl" w:cs="FrankRuehl"/>
        <w:noProof/>
        <w:rtl/>
      </w:rPr>
      <w:t>1</w:t>
    </w:r>
    <w:r>
      <w:rPr>
        <w:rFonts w:ascii="FrankRuehl" w:hAnsi="FrankRuehl" w:cs="FrankRuehl"/>
        <w:rtl/>
      </w:rPr>
      <w:fldChar w:fldCharType="end"/>
    </w:r>
  </w:p>
  <w:p w14:paraId="52FC89D3" w14:textId="77777777" w:rsidR="007E1269" w:rsidRPr="004530FC" w:rsidRDefault="007E1269" w:rsidP="004530FC">
    <w:pPr>
      <w:pStyle w:val="a4"/>
      <w:pBdr>
        <w:top w:val="single" w:sz="4" w:space="1" w:color="auto"/>
        <w:between w:val="single" w:sz="4" w:space="0" w:color="auto"/>
      </w:pBdr>
      <w:spacing w:after="60"/>
      <w:jc w:val="center"/>
      <w:rPr>
        <w:rFonts w:ascii="FrankRuehl" w:hAnsi="FrankRuehl" w:cs="FrankRuehl"/>
        <w:color w:val="000000"/>
      </w:rPr>
    </w:pPr>
    <w:r w:rsidRPr="004530FC">
      <w:rPr>
        <w:rFonts w:ascii="FrankRuehl" w:hAnsi="FrankRuehl" w:cs="FrankRuehl"/>
        <w:color w:val="000000"/>
      </w:rPr>
      <w:pict w14:anchorId="60C79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AA6ED" w14:textId="77777777" w:rsidR="007E1269" w:rsidRDefault="007E1269">
      <w:r>
        <w:separator/>
      </w:r>
    </w:p>
  </w:footnote>
  <w:footnote w:type="continuationSeparator" w:id="0">
    <w:p w14:paraId="567191B4" w14:textId="77777777" w:rsidR="007E1269" w:rsidRDefault="007E1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0E73D" w14:textId="77777777" w:rsidR="007E1269" w:rsidRPr="004530FC" w:rsidRDefault="007E1269" w:rsidP="004530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27025-01-15</w:t>
    </w:r>
    <w:r>
      <w:rPr>
        <w:rFonts w:ascii="David" w:hAnsi="David"/>
        <w:color w:val="000000"/>
        <w:sz w:val="22"/>
        <w:szCs w:val="22"/>
        <w:rtl/>
      </w:rPr>
      <w:tab/>
      <w:t xml:space="preserve"> מדינת ישראל נ' קובלנקו סטניסלב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808E3" w14:textId="77777777" w:rsidR="007E1269" w:rsidRPr="004530FC" w:rsidRDefault="007E1269" w:rsidP="004530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27025-01-15</w:t>
    </w:r>
    <w:r>
      <w:rPr>
        <w:rFonts w:ascii="David" w:hAnsi="David"/>
        <w:color w:val="000000"/>
        <w:sz w:val="22"/>
        <w:szCs w:val="22"/>
        <w:rtl/>
      </w:rPr>
      <w:tab/>
      <w:t xml:space="preserve"> מדינת ישראל נ' קובלנקו סטניסלב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96CA2DE4"/>
    <w:lvl w:ilvl="0" w:tplc="D0FE5274">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4CC6558"/>
    <w:multiLevelType w:val="hybridMultilevel"/>
    <w:tmpl w:val="5E123E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28590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76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43DC"/>
    <w:rsid w:val="00311955"/>
    <w:rsid w:val="004530FC"/>
    <w:rsid w:val="00602D89"/>
    <w:rsid w:val="007E1269"/>
    <w:rsid w:val="00854A23"/>
    <w:rsid w:val="00BA1481"/>
    <w:rsid w:val="00F44EB9"/>
    <w:rsid w:val="00FA43DC"/>
    <w:rsid w:val="00FF5E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0ADF8F"/>
  <w15:chartTrackingRefBased/>
  <w15:docId w15:val="{ED8ECE05-37E3-486F-AC50-078937DA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3D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A43DC"/>
    <w:pPr>
      <w:tabs>
        <w:tab w:val="center" w:pos="4153"/>
        <w:tab w:val="right" w:pos="8306"/>
      </w:tabs>
    </w:pPr>
  </w:style>
  <w:style w:type="paragraph" w:styleId="a4">
    <w:name w:val="footer"/>
    <w:basedOn w:val="a"/>
    <w:rsid w:val="00FA43DC"/>
    <w:pPr>
      <w:tabs>
        <w:tab w:val="center" w:pos="4153"/>
        <w:tab w:val="right" w:pos="8306"/>
      </w:tabs>
    </w:pPr>
  </w:style>
  <w:style w:type="character" w:styleId="a5">
    <w:name w:val="page number"/>
    <w:basedOn w:val="a0"/>
    <w:rsid w:val="00FA43DC"/>
  </w:style>
  <w:style w:type="character" w:styleId="Hyperlink">
    <w:name w:val="Hyperlink"/>
    <w:basedOn w:val="a0"/>
    <w:rsid w:val="00453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0301/40ja.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58"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7690697"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a.6"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58"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20356752"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70301/40jc" TargetMode="External"/><Relationship Id="rId31" Type="http://schemas.openxmlformats.org/officeDocument/2006/relationships/hyperlink" Target="http://www.nevo.co.il/law/70301/40jc"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946726" TargetMode="External"/><Relationship Id="rId30" Type="http://schemas.openxmlformats.org/officeDocument/2006/relationships/hyperlink" Target="http://www.nevo.co.il/law/70301/40c" TargetMode="External"/><Relationship Id="rId35" Type="http://schemas.openxmlformats.org/officeDocument/2006/relationships/hyperlink" Target="http://www.nevo.co.il/law/70301/40ja"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4216/13" TargetMode="External"/><Relationship Id="rId41" Type="http://schemas.openxmlformats.org/officeDocument/2006/relationships/hyperlink" Target="http://www.nevo.co.il/case/294672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2135</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12789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3604601</vt:i4>
      </vt:variant>
      <vt:variant>
        <vt:i4>102</vt:i4>
      </vt:variant>
      <vt:variant>
        <vt:i4>0</vt:i4>
      </vt:variant>
      <vt:variant>
        <vt:i4>5</vt:i4>
      </vt:variant>
      <vt:variant>
        <vt:lpwstr>http://www.nevo.co.il/case/2946726</vt:lpwstr>
      </vt:variant>
      <vt:variant>
        <vt:lpwstr/>
      </vt:variant>
      <vt:variant>
        <vt:i4>7995492</vt:i4>
      </vt:variant>
      <vt:variant>
        <vt:i4>99</vt:i4>
      </vt:variant>
      <vt:variant>
        <vt:i4>0</vt:i4>
      </vt:variant>
      <vt:variant>
        <vt:i4>5</vt:i4>
      </vt:variant>
      <vt:variant>
        <vt:lpwstr>http://www.nevo.co.il/law/70301</vt:lpwstr>
      </vt:variant>
      <vt:variant>
        <vt:lpwstr/>
      </vt:variant>
      <vt:variant>
        <vt:i4>7143520</vt:i4>
      </vt:variant>
      <vt:variant>
        <vt:i4>96</vt:i4>
      </vt:variant>
      <vt:variant>
        <vt:i4>0</vt:i4>
      </vt:variant>
      <vt:variant>
        <vt:i4>5</vt:i4>
      </vt:variant>
      <vt:variant>
        <vt:lpwstr>http://www.nevo.co.il/law/70301/58</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3276837</vt:i4>
      </vt:variant>
      <vt:variant>
        <vt:i4>90</vt:i4>
      </vt:variant>
      <vt:variant>
        <vt:i4>0</vt:i4>
      </vt:variant>
      <vt:variant>
        <vt:i4>5</vt:i4>
      </vt:variant>
      <vt:variant>
        <vt:lpwstr>http://www.nevo.co.il/law/70301/40ja.6</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4128891</vt:i4>
      </vt:variant>
      <vt:variant>
        <vt:i4>66</vt:i4>
      </vt:variant>
      <vt:variant>
        <vt:i4>0</vt:i4>
      </vt:variant>
      <vt:variant>
        <vt:i4>5</vt:i4>
      </vt:variant>
      <vt:variant>
        <vt:lpwstr>http://www.nevo.co.il/case/7690697</vt:lpwstr>
      </vt:variant>
      <vt:variant>
        <vt:lpwstr/>
      </vt:variant>
      <vt:variant>
        <vt:i4>3276918</vt:i4>
      </vt:variant>
      <vt:variant>
        <vt:i4>63</vt:i4>
      </vt:variant>
      <vt:variant>
        <vt:i4>0</vt:i4>
      </vt:variant>
      <vt:variant>
        <vt:i4>5</vt:i4>
      </vt:variant>
      <vt:variant>
        <vt:lpwstr>http://www.nevo.co.il/case/20356752</vt:lpwstr>
      </vt:variant>
      <vt:variant>
        <vt:lpwstr/>
      </vt:variant>
      <vt:variant>
        <vt:i4>3604601</vt:i4>
      </vt:variant>
      <vt:variant>
        <vt:i4>60</vt:i4>
      </vt:variant>
      <vt:variant>
        <vt:i4>0</vt:i4>
      </vt:variant>
      <vt:variant>
        <vt:i4>5</vt:i4>
      </vt:variant>
      <vt:variant>
        <vt:lpwstr>http://www.nevo.co.il/case/2946726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3276837</vt:i4>
      </vt:variant>
      <vt:variant>
        <vt:i4>33</vt:i4>
      </vt:variant>
      <vt:variant>
        <vt:i4>0</vt:i4>
      </vt:variant>
      <vt:variant>
        <vt:i4>5</vt:i4>
      </vt:variant>
      <vt:variant>
        <vt:lpwstr>http://www.nevo.co.il/law/70301/40ja.6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7143520</vt:i4>
      </vt:variant>
      <vt:variant>
        <vt:i4>24</vt:i4>
      </vt:variant>
      <vt:variant>
        <vt:i4>0</vt:i4>
      </vt:variant>
      <vt:variant>
        <vt:i4>5</vt:i4>
      </vt:variant>
      <vt:variant>
        <vt:lpwstr>http://www.nevo.co.il/law/70301/58</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27025</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קובלנקו סטניסלב</vt:lpwstr>
  </property>
  <property fmtid="{D5CDD505-2E9C-101B-9397-08002B2CF9AE}" pid="10" name="JUDGE">
    <vt:lpwstr>ד#ר שאול אבינור</vt:lpwstr>
  </property>
  <property fmtid="{D5CDD505-2E9C-101B-9397-08002B2CF9AE}" pid="11" name="CITY">
    <vt:lpwstr>ת"א</vt:lpwstr>
  </property>
  <property fmtid="{D5CDD505-2E9C-101B-9397-08002B2CF9AE}" pid="12" name="DATE">
    <vt:lpwstr>20151118</vt:lpwstr>
  </property>
  <property fmtid="{D5CDD505-2E9C-101B-9397-08002B2CF9AE}" pid="13" name="TYPE_N_DATE">
    <vt:lpwstr>38020151118</vt:lpwstr>
  </property>
  <property fmtid="{D5CDD505-2E9C-101B-9397-08002B2CF9AE}" pid="14" name="CASESLISTTMP1">
    <vt:lpwstr>2946726:2;20356752;7690697</vt:lpwstr>
  </property>
  <property fmtid="{D5CDD505-2E9C-101B-9397-08002B2CF9AE}" pid="15" name="WORDNUMPAGES">
    <vt:lpwstr>7</vt:lpwstr>
  </property>
  <property fmtid="{D5CDD505-2E9C-101B-9397-08002B2CF9AE}" pid="16" name="TYPE_ABS_DATE">
    <vt:lpwstr>380020151118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70301/275;040c;40jc;040i;40ja;40ja.6;058</vt:lpwstr>
  </property>
</Properties>
</file>