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DE41AB" w:rsidRPr="002A2E10" w14:paraId="75BB9ED7" w14:textId="77777777" w:rsidTr="00097C27">
        <w:trPr>
          <w:trHeight w:hRule="exact" w:val="418"/>
          <w:jc w:val="center"/>
        </w:trPr>
        <w:tc>
          <w:tcPr>
            <w:tcW w:w="8721" w:type="dxa"/>
            <w:gridSpan w:val="2"/>
          </w:tcPr>
          <w:p w14:paraId="0D3CEF79" w14:textId="77777777" w:rsidR="00DE41AB" w:rsidRPr="002A2E10" w:rsidRDefault="00DE41AB" w:rsidP="002A2E10">
            <w:pPr>
              <w:pStyle w:val="a3"/>
              <w:jc w:val="center"/>
              <w:rPr>
                <w:rFonts w:ascii="Tahoma" w:hAnsi="Tahoma" w:cs="Tahoma"/>
                <w:color w:val="000080"/>
                <w:rtl/>
              </w:rPr>
            </w:pPr>
            <w:bookmarkStart w:id="0" w:name="LastJudge"/>
            <w:r w:rsidRPr="002A2E10">
              <w:rPr>
                <w:rFonts w:ascii="Tahoma" w:hAnsi="Tahoma" w:cs="Tahoma"/>
                <w:b/>
                <w:bCs/>
                <w:color w:val="000080"/>
                <w:rtl/>
              </w:rPr>
              <w:t>בית משפט השלום בירושלים</w:t>
            </w:r>
          </w:p>
        </w:tc>
      </w:tr>
      <w:tr w:rsidR="00DE41AB" w:rsidRPr="002A2E10" w14:paraId="78CE9EDE" w14:textId="77777777" w:rsidTr="00097C27">
        <w:trPr>
          <w:trHeight w:val="337"/>
          <w:jc w:val="center"/>
        </w:trPr>
        <w:tc>
          <w:tcPr>
            <w:tcW w:w="5061" w:type="dxa"/>
          </w:tcPr>
          <w:p w14:paraId="39C98C8D" w14:textId="77777777" w:rsidR="00DE41AB" w:rsidRPr="00BF275D" w:rsidRDefault="00DE41AB" w:rsidP="002A2E10">
            <w:pPr>
              <w:rPr>
                <w:b/>
                <w:bCs/>
                <w:sz w:val="26"/>
                <w:szCs w:val="26"/>
                <w:rtl/>
              </w:rPr>
            </w:pPr>
            <w:r w:rsidRPr="00BF275D">
              <w:rPr>
                <w:b/>
                <w:bCs/>
                <w:sz w:val="26"/>
                <w:szCs w:val="26"/>
                <w:rtl/>
              </w:rPr>
              <w:t>ת"פ</w:t>
            </w:r>
            <w:r w:rsidRPr="00BF275D">
              <w:rPr>
                <w:rFonts w:hint="cs"/>
                <w:b/>
                <w:bCs/>
                <w:sz w:val="26"/>
                <w:szCs w:val="26"/>
                <w:rtl/>
              </w:rPr>
              <w:t xml:space="preserve"> </w:t>
            </w:r>
            <w:r w:rsidRPr="00BF275D">
              <w:rPr>
                <w:b/>
                <w:bCs/>
                <w:sz w:val="26"/>
                <w:szCs w:val="26"/>
                <w:rtl/>
              </w:rPr>
              <w:t>7414-01-15</w:t>
            </w:r>
            <w:r w:rsidRPr="00BF275D">
              <w:rPr>
                <w:rFonts w:hint="cs"/>
                <w:b/>
                <w:bCs/>
                <w:sz w:val="26"/>
                <w:szCs w:val="26"/>
                <w:rtl/>
              </w:rPr>
              <w:t xml:space="preserve"> </w:t>
            </w:r>
            <w:r w:rsidRPr="00BF275D">
              <w:rPr>
                <w:b/>
                <w:bCs/>
                <w:sz w:val="26"/>
                <w:szCs w:val="26"/>
                <w:rtl/>
              </w:rPr>
              <w:t>מדינת ישראל נ' שגב</w:t>
            </w:r>
            <w:r w:rsidR="00BF275D" w:rsidRPr="00BF275D">
              <w:rPr>
                <w:rFonts w:hint="cs"/>
                <w:b/>
                <w:bCs/>
                <w:sz w:val="26"/>
                <w:szCs w:val="26"/>
                <w:rtl/>
              </w:rPr>
              <w:t xml:space="preserve"> </w:t>
            </w:r>
            <w:r w:rsidRPr="00BF275D">
              <w:rPr>
                <w:b/>
                <w:bCs/>
                <w:sz w:val="26"/>
                <w:szCs w:val="26"/>
                <w:rtl/>
              </w:rPr>
              <w:t>(אחר/נוסף)</w:t>
            </w:r>
          </w:p>
          <w:p w14:paraId="0421CD2D" w14:textId="77777777" w:rsidR="00DE41AB" w:rsidRPr="002A2E10" w:rsidRDefault="00DE41AB" w:rsidP="002A2E10">
            <w:pPr>
              <w:pStyle w:val="a3"/>
              <w:rPr>
                <w:rFonts w:cs="FrankRuehl"/>
                <w:sz w:val="28"/>
                <w:szCs w:val="28"/>
                <w:rtl/>
              </w:rPr>
            </w:pPr>
          </w:p>
        </w:tc>
        <w:tc>
          <w:tcPr>
            <w:tcW w:w="3660" w:type="dxa"/>
          </w:tcPr>
          <w:p w14:paraId="1FC8E38F" w14:textId="77777777" w:rsidR="00DE41AB" w:rsidRPr="002A2E10" w:rsidRDefault="00DE41AB" w:rsidP="002A2E10">
            <w:pPr>
              <w:pStyle w:val="a3"/>
              <w:jc w:val="right"/>
              <w:rPr>
                <w:rFonts w:cs="FrankRuehl"/>
                <w:sz w:val="28"/>
                <w:szCs w:val="28"/>
                <w:rtl/>
              </w:rPr>
            </w:pPr>
          </w:p>
        </w:tc>
      </w:tr>
    </w:tbl>
    <w:p w14:paraId="29B19426" w14:textId="77777777" w:rsidR="00DE41AB" w:rsidRPr="002A2E10" w:rsidRDefault="00DE41AB" w:rsidP="00BF275D">
      <w:pPr>
        <w:pStyle w:val="a3"/>
      </w:pPr>
      <w:r w:rsidRPr="002A2E1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E41AB" w:rsidRPr="00BF275D" w14:paraId="05FF97F3" w14:textId="77777777" w:rsidTr="002A2E10">
        <w:trPr>
          <w:trHeight w:val="295"/>
          <w:jc w:val="center"/>
        </w:trPr>
        <w:tc>
          <w:tcPr>
            <w:tcW w:w="923" w:type="dxa"/>
            <w:tcBorders>
              <w:top w:val="nil"/>
              <w:left w:val="nil"/>
              <w:bottom w:val="nil"/>
              <w:right w:val="nil"/>
            </w:tcBorders>
            <w:shd w:val="clear" w:color="auto" w:fill="auto"/>
          </w:tcPr>
          <w:p w14:paraId="1C8D460E" w14:textId="77777777" w:rsidR="00DE41AB" w:rsidRPr="00BF275D" w:rsidRDefault="00DE41AB" w:rsidP="002A2E10">
            <w:pPr>
              <w:jc w:val="both"/>
              <w:rPr>
                <w:rFonts w:ascii="Arial" w:hAnsi="Arial"/>
                <w:b/>
                <w:bCs/>
                <w:sz w:val="26"/>
                <w:szCs w:val="26"/>
              </w:rPr>
            </w:pPr>
            <w:r w:rsidRPr="00BF275D">
              <w:rPr>
                <w:rFonts w:ascii="Arial" w:hAnsi="Arial" w:hint="cs"/>
                <w:b/>
                <w:bCs/>
                <w:sz w:val="26"/>
                <w:szCs w:val="26"/>
                <w:rtl/>
              </w:rPr>
              <w:t>ב</w:t>
            </w:r>
            <w:r w:rsidRPr="00BF275D">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72C54F2A" w14:textId="77777777" w:rsidR="00DE41AB" w:rsidRPr="00BF275D" w:rsidRDefault="00DE41AB" w:rsidP="002A2E10">
            <w:pPr>
              <w:rPr>
                <w:rFonts w:ascii="Arial" w:hAnsi="Arial"/>
                <w:b/>
                <w:bCs/>
                <w:sz w:val="26"/>
                <w:szCs w:val="26"/>
                <w:rtl/>
              </w:rPr>
            </w:pPr>
            <w:r w:rsidRPr="00BF275D">
              <w:rPr>
                <w:rFonts w:ascii="Arial" w:hAnsi="Arial" w:hint="cs"/>
                <w:b/>
                <w:bCs/>
                <w:sz w:val="26"/>
                <w:szCs w:val="26"/>
                <w:rtl/>
              </w:rPr>
              <w:t>כבוד ה</w:t>
            </w:r>
            <w:r w:rsidRPr="00BF275D">
              <w:rPr>
                <w:rFonts w:hint="cs"/>
                <w:b/>
                <w:bCs/>
                <w:sz w:val="26"/>
                <w:szCs w:val="26"/>
                <w:rtl/>
              </w:rPr>
              <w:t>שופט</w:t>
            </w:r>
            <w:r w:rsidRPr="00BF275D">
              <w:rPr>
                <w:rFonts w:ascii="Arial" w:hAnsi="Arial" w:hint="cs"/>
                <w:b/>
                <w:bCs/>
                <w:sz w:val="26"/>
                <w:szCs w:val="26"/>
                <w:rtl/>
              </w:rPr>
              <w:t xml:space="preserve">  </w:t>
            </w:r>
            <w:r w:rsidRPr="00BF275D">
              <w:rPr>
                <w:rFonts w:hint="cs"/>
                <w:b/>
                <w:bCs/>
                <w:sz w:val="26"/>
                <w:szCs w:val="26"/>
                <w:rtl/>
              </w:rPr>
              <w:t>שמואל הרבסט</w:t>
            </w:r>
          </w:p>
          <w:p w14:paraId="167AF46C" w14:textId="77777777" w:rsidR="00DE41AB" w:rsidRPr="00BF275D" w:rsidRDefault="00DE41AB" w:rsidP="002A2E10">
            <w:pPr>
              <w:jc w:val="both"/>
              <w:rPr>
                <w:rFonts w:ascii="Arial" w:hAnsi="Arial" w:hint="cs"/>
                <w:b/>
                <w:bCs/>
                <w:sz w:val="26"/>
                <w:szCs w:val="26"/>
              </w:rPr>
            </w:pPr>
          </w:p>
        </w:tc>
      </w:tr>
      <w:tr w:rsidR="00DE41AB" w:rsidRPr="00BF275D" w14:paraId="0B660228" w14:textId="77777777" w:rsidTr="002A2E10">
        <w:trPr>
          <w:trHeight w:val="355"/>
          <w:jc w:val="center"/>
        </w:trPr>
        <w:tc>
          <w:tcPr>
            <w:tcW w:w="923" w:type="dxa"/>
            <w:tcBorders>
              <w:top w:val="nil"/>
              <w:left w:val="nil"/>
              <w:bottom w:val="nil"/>
              <w:right w:val="nil"/>
            </w:tcBorders>
            <w:shd w:val="clear" w:color="auto" w:fill="auto"/>
          </w:tcPr>
          <w:p w14:paraId="3974E80B" w14:textId="77777777" w:rsidR="00DE41AB" w:rsidRPr="00BF275D" w:rsidRDefault="00DE41AB" w:rsidP="002A2E10">
            <w:pPr>
              <w:jc w:val="both"/>
              <w:rPr>
                <w:rFonts w:ascii="Arial" w:hAnsi="Arial"/>
                <w:b/>
                <w:bCs/>
                <w:sz w:val="26"/>
                <w:szCs w:val="26"/>
              </w:rPr>
            </w:pPr>
            <w:bookmarkStart w:id="1" w:name="FirstAppellant"/>
            <w:r w:rsidRPr="00BF275D">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54F6D2A0" w14:textId="77777777" w:rsidR="00DE41AB" w:rsidRPr="00BF275D" w:rsidRDefault="00DE41AB" w:rsidP="002A2E10">
            <w:pPr>
              <w:rPr>
                <w:b/>
                <w:bCs/>
                <w:sz w:val="26"/>
                <w:szCs w:val="26"/>
              </w:rPr>
            </w:pPr>
            <w:r w:rsidRPr="00BF275D">
              <w:rPr>
                <w:rFonts w:hint="cs"/>
                <w:b/>
                <w:bCs/>
                <w:sz w:val="26"/>
                <w:szCs w:val="26"/>
                <w:rtl/>
              </w:rPr>
              <w:t>מדינת ישראל</w:t>
            </w:r>
          </w:p>
        </w:tc>
        <w:tc>
          <w:tcPr>
            <w:tcW w:w="3771" w:type="dxa"/>
            <w:tcBorders>
              <w:top w:val="nil"/>
              <w:left w:val="nil"/>
              <w:bottom w:val="nil"/>
              <w:right w:val="nil"/>
            </w:tcBorders>
            <w:shd w:val="clear" w:color="auto" w:fill="auto"/>
          </w:tcPr>
          <w:p w14:paraId="1BFB1BCB" w14:textId="77777777" w:rsidR="00DE41AB" w:rsidRPr="00BF275D" w:rsidRDefault="00DE41AB" w:rsidP="002A2E10">
            <w:pPr>
              <w:jc w:val="both"/>
              <w:rPr>
                <w:rFonts w:ascii="Arial" w:hAnsi="Arial"/>
                <w:b/>
                <w:bCs/>
                <w:sz w:val="26"/>
                <w:szCs w:val="26"/>
              </w:rPr>
            </w:pPr>
          </w:p>
        </w:tc>
      </w:tr>
      <w:bookmarkEnd w:id="1"/>
      <w:tr w:rsidR="00DE41AB" w:rsidRPr="00BF275D" w14:paraId="1024828A" w14:textId="77777777" w:rsidTr="002A2E10">
        <w:trPr>
          <w:trHeight w:val="355"/>
          <w:jc w:val="center"/>
        </w:trPr>
        <w:tc>
          <w:tcPr>
            <w:tcW w:w="923" w:type="dxa"/>
            <w:tcBorders>
              <w:top w:val="nil"/>
              <w:left w:val="nil"/>
              <w:bottom w:val="nil"/>
              <w:right w:val="nil"/>
            </w:tcBorders>
            <w:shd w:val="clear" w:color="auto" w:fill="auto"/>
          </w:tcPr>
          <w:p w14:paraId="636D6FFA" w14:textId="77777777" w:rsidR="00DE41AB" w:rsidRPr="00BF275D" w:rsidRDefault="00DE41AB" w:rsidP="002A2E10">
            <w:pPr>
              <w:jc w:val="both"/>
              <w:rPr>
                <w:rFonts w:ascii="Arial" w:hAnsi="Arial"/>
                <w:b/>
                <w:bCs/>
                <w:sz w:val="26"/>
                <w:szCs w:val="26"/>
                <w:rtl/>
              </w:rPr>
            </w:pPr>
          </w:p>
        </w:tc>
        <w:tc>
          <w:tcPr>
            <w:tcW w:w="4126" w:type="dxa"/>
            <w:tcBorders>
              <w:top w:val="nil"/>
              <w:left w:val="nil"/>
              <w:bottom w:val="nil"/>
              <w:right w:val="nil"/>
            </w:tcBorders>
            <w:shd w:val="clear" w:color="auto" w:fill="auto"/>
          </w:tcPr>
          <w:p w14:paraId="786DB38A" w14:textId="77777777" w:rsidR="00DE41AB" w:rsidRPr="00BF275D" w:rsidRDefault="00DE41AB" w:rsidP="002A2E10">
            <w:pPr>
              <w:jc w:val="both"/>
              <w:rPr>
                <w:b/>
                <w:bCs/>
                <w:sz w:val="26"/>
                <w:szCs w:val="26"/>
                <w:rtl/>
              </w:rPr>
            </w:pPr>
          </w:p>
        </w:tc>
        <w:tc>
          <w:tcPr>
            <w:tcW w:w="3771" w:type="dxa"/>
            <w:tcBorders>
              <w:top w:val="nil"/>
              <w:left w:val="nil"/>
              <w:bottom w:val="nil"/>
              <w:right w:val="nil"/>
            </w:tcBorders>
            <w:shd w:val="clear" w:color="auto" w:fill="auto"/>
          </w:tcPr>
          <w:p w14:paraId="238DC0A7" w14:textId="77777777" w:rsidR="00DE41AB" w:rsidRPr="00BF275D" w:rsidRDefault="00DE41AB" w:rsidP="002A2E10">
            <w:pPr>
              <w:jc w:val="right"/>
              <w:rPr>
                <w:rFonts w:ascii="Arial" w:hAnsi="Arial"/>
                <w:b/>
                <w:bCs/>
                <w:sz w:val="26"/>
                <w:szCs w:val="26"/>
                <w:rtl/>
              </w:rPr>
            </w:pPr>
            <w:r w:rsidRPr="00BF275D">
              <w:rPr>
                <w:rFonts w:ascii="Arial" w:hAnsi="Arial" w:hint="cs"/>
                <w:b/>
                <w:bCs/>
                <w:sz w:val="26"/>
                <w:szCs w:val="26"/>
                <w:rtl/>
              </w:rPr>
              <w:t>ה</w:t>
            </w:r>
            <w:r w:rsidRPr="00BF275D">
              <w:rPr>
                <w:rFonts w:hint="cs"/>
                <w:b/>
                <w:bCs/>
                <w:sz w:val="26"/>
                <w:szCs w:val="26"/>
                <w:rtl/>
              </w:rPr>
              <w:t>מאשימה</w:t>
            </w:r>
          </w:p>
        </w:tc>
      </w:tr>
      <w:tr w:rsidR="00BF275D" w:rsidRPr="00BF275D" w14:paraId="30BF233C" w14:textId="77777777" w:rsidTr="00BF275D">
        <w:trPr>
          <w:trHeight w:val="355"/>
          <w:jc w:val="center"/>
        </w:trPr>
        <w:tc>
          <w:tcPr>
            <w:tcW w:w="8820" w:type="dxa"/>
            <w:gridSpan w:val="3"/>
            <w:tcBorders>
              <w:top w:val="nil"/>
              <w:left w:val="nil"/>
              <w:bottom w:val="nil"/>
              <w:right w:val="nil"/>
            </w:tcBorders>
            <w:shd w:val="clear" w:color="auto" w:fill="auto"/>
          </w:tcPr>
          <w:p w14:paraId="63B0A0A0" w14:textId="77777777" w:rsidR="00BF275D" w:rsidRPr="00BF275D" w:rsidRDefault="00BF275D" w:rsidP="002A2E10">
            <w:pPr>
              <w:jc w:val="center"/>
              <w:rPr>
                <w:rFonts w:ascii="Arial" w:hAnsi="Arial"/>
                <w:b/>
                <w:bCs/>
                <w:sz w:val="26"/>
                <w:szCs w:val="26"/>
                <w:rtl/>
              </w:rPr>
            </w:pPr>
          </w:p>
          <w:p w14:paraId="0A0F18AF" w14:textId="77777777" w:rsidR="00BF275D" w:rsidRPr="00BF275D" w:rsidRDefault="00BF275D" w:rsidP="002A2E10">
            <w:pPr>
              <w:jc w:val="center"/>
              <w:rPr>
                <w:rFonts w:ascii="Arial" w:hAnsi="Arial"/>
                <w:b/>
                <w:bCs/>
                <w:sz w:val="26"/>
                <w:szCs w:val="26"/>
                <w:rtl/>
              </w:rPr>
            </w:pPr>
            <w:r w:rsidRPr="00BF275D">
              <w:rPr>
                <w:rFonts w:ascii="Arial" w:hAnsi="Arial"/>
                <w:b/>
                <w:bCs/>
                <w:sz w:val="26"/>
                <w:szCs w:val="26"/>
                <w:rtl/>
              </w:rPr>
              <w:t>נגד</w:t>
            </w:r>
          </w:p>
          <w:p w14:paraId="00329D09" w14:textId="77777777" w:rsidR="00BF275D" w:rsidRPr="00BF275D" w:rsidRDefault="00BF275D" w:rsidP="002A2E10">
            <w:pPr>
              <w:jc w:val="both"/>
              <w:rPr>
                <w:rFonts w:ascii="Arial" w:hAnsi="Arial"/>
                <w:b/>
                <w:bCs/>
                <w:sz w:val="26"/>
                <w:szCs w:val="26"/>
              </w:rPr>
            </w:pPr>
          </w:p>
        </w:tc>
      </w:tr>
      <w:tr w:rsidR="00DE41AB" w:rsidRPr="00BF275D" w14:paraId="2B5BC20F" w14:textId="77777777" w:rsidTr="002A2E10">
        <w:trPr>
          <w:trHeight w:val="355"/>
          <w:jc w:val="center"/>
        </w:trPr>
        <w:tc>
          <w:tcPr>
            <w:tcW w:w="923" w:type="dxa"/>
            <w:tcBorders>
              <w:top w:val="nil"/>
              <w:left w:val="nil"/>
              <w:bottom w:val="nil"/>
              <w:right w:val="nil"/>
            </w:tcBorders>
            <w:shd w:val="clear" w:color="auto" w:fill="auto"/>
          </w:tcPr>
          <w:p w14:paraId="2FB77AC8" w14:textId="77777777" w:rsidR="00DE41AB" w:rsidRPr="00BF275D" w:rsidRDefault="00DE41AB" w:rsidP="002A2E10">
            <w:pPr>
              <w:rPr>
                <w:rFonts w:ascii="Arial" w:hAnsi="Arial"/>
                <w:b/>
                <w:bCs/>
                <w:sz w:val="26"/>
                <w:szCs w:val="26"/>
                <w:rtl/>
              </w:rPr>
            </w:pPr>
          </w:p>
        </w:tc>
        <w:tc>
          <w:tcPr>
            <w:tcW w:w="4126" w:type="dxa"/>
            <w:tcBorders>
              <w:top w:val="nil"/>
              <w:left w:val="nil"/>
              <w:bottom w:val="nil"/>
              <w:right w:val="nil"/>
            </w:tcBorders>
            <w:shd w:val="clear" w:color="auto" w:fill="auto"/>
          </w:tcPr>
          <w:p w14:paraId="2CEE258C" w14:textId="77777777" w:rsidR="00DE41AB" w:rsidRPr="00BF275D" w:rsidRDefault="00DE41AB" w:rsidP="002A2E10">
            <w:pPr>
              <w:rPr>
                <w:b/>
                <w:bCs/>
                <w:sz w:val="26"/>
                <w:szCs w:val="26"/>
                <w:rtl/>
              </w:rPr>
            </w:pPr>
            <w:r w:rsidRPr="00BF275D">
              <w:rPr>
                <w:rFonts w:hint="cs"/>
                <w:b/>
                <w:bCs/>
                <w:sz w:val="26"/>
                <w:szCs w:val="26"/>
                <w:rtl/>
              </w:rPr>
              <w:t xml:space="preserve">ניסים שגב </w:t>
            </w:r>
          </w:p>
        </w:tc>
        <w:tc>
          <w:tcPr>
            <w:tcW w:w="3771" w:type="dxa"/>
            <w:tcBorders>
              <w:top w:val="nil"/>
              <w:left w:val="nil"/>
              <w:bottom w:val="nil"/>
              <w:right w:val="nil"/>
            </w:tcBorders>
            <w:shd w:val="clear" w:color="auto" w:fill="auto"/>
          </w:tcPr>
          <w:p w14:paraId="47232BFF" w14:textId="77777777" w:rsidR="00DE41AB" w:rsidRPr="00BF275D" w:rsidRDefault="00DE41AB" w:rsidP="002A2E10">
            <w:pPr>
              <w:jc w:val="right"/>
              <w:rPr>
                <w:rFonts w:ascii="Arial" w:hAnsi="Arial"/>
                <w:b/>
                <w:bCs/>
                <w:sz w:val="26"/>
                <w:szCs w:val="26"/>
              </w:rPr>
            </w:pPr>
          </w:p>
        </w:tc>
      </w:tr>
      <w:tr w:rsidR="00DE41AB" w:rsidRPr="00BF275D" w14:paraId="71DC2AAE" w14:textId="77777777" w:rsidTr="002A2E10">
        <w:trPr>
          <w:trHeight w:val="355"/>
          <w:jc w:val="center"/>
        </w:trPr>
        <w:tc>
          <w:tcPr>
            <w:tcW w:w="923" w:type="dxa"/>
            <w:tcBorders>
              <w:top w:val="nil"/>
              <w:left w:val="nil"/>
              <w:bottom w:val="nil"/>
              <w:right w:val="nil"/>
            </w:tcBorders>
            <w:shd w:val="clear" w:color="auto" w:fill="auto"/>
          </w:tcPr>
          <w:p w14:paraId="7A308CEB" w14:textId="77777777" w:rsidR="00DE41AB" w:rsidRPr="00BF275D" w:rsidRDefault="00DE41AB" w:rsidP="002A2E10">
            <w:pPr>
              <w:jc w:val="both"/>
              <w:rPr>
                <w:rFonts w:ascii="Arial" w:hAnsi="Arial"/>
                <w:b/>
                <w:bCs/>
                <w:sz w:val="26"/>
                <w:szCs w:val="26"/>
                <w:rtl/>
              </w:rPr>
            </w:pPr>
          </w:p>
        </w:tc>
        <w:tc>
          <w:tcPr>
            <w:tcW w:w="4126" w:type="dxa"/>
            <w:tcBorders>
              <w:top w:val="nil"/>
              <w:left w:val="nil"/>
              <w:bottom w:val="nil"/>
              <w:right w:val="nil"/>
            </w:tcBorders>
            <w:shd w:val="clear" w:color="auto" w:fill="auto"/>
          </w:tcPr>
          <w:p w14:paraId="339AFA8C" w14:textId="77777777" w:rsidR="00DE41AB" w:rsidRPr="00BF275D" w:rsidRDefault="00DE41AB" w:rsidP="002A2E10">
            <w:pPr>
              <w:jc w:val="both"/>
              <w:rPr>
                <w:b/>
                <w:bCs/>
                <w:sz w:val="26"/>
                <w:szCs w:val="26"/>
                <w:rtl/>
              </w:rPr>
            </w:pPr>
          </w:p>
        </w:tc>
        <w:tc>
          <w:tcPr>
            <w:tcW w:w="3771" w:type="dxa"/>
            <w:tcBorders>
              <w:top w:val="nil"/>
              <w:left w:val="nil"/>
              <w:bottom w:val="nil"/>
              <w:right w:val="nil"/>
            </w:tcBorders>
            <w:shd w:val="clear" w:color="auto" w:fill="auto"/>
          </w:tcPr>
          <w:p w14:paraId="5B8AAB58" w14:textId="77777777" w:rsidR="00DE41AB" w:rsidRPr="00BF275D" w:rsidRDefault="00DE41AB" w:rsidP="002A2E10">
            <w:pPr>
              <w:jc w:val="right"/>
              <w:rPr>
                <w:rFonts w:ascii="Arial" w:hAnsi="Arial"/>
                <w:b/>
                <w:bCs/>
                <w:sz w:val="26"/>
                <w:szCs w:val="26"/>
              </w:rPr>
            </w:pPr>
            <w:r w:rsidRPr="00BF275D">
              <w:rPr>
                <w:rFonts w:ascii="Arial" w:hAnsi="Arial" w:hint="cs"/>
                <w:b/>
                <w:bCs/>
                <w:sz w:val="26"/>
                <w:szCs w:val="26"/>
                <w:rtl/>
              </w:rPr>
              <w:t>ה</w:t>
            </w:r>
            <w:r w:rsidRPr="00BF275D">
              <w:rPr>
                <w:rFonts w:hint="cs"/>
                <w:b/>
                <w:bCs/>
                <w:sz w:val="26"/>
                <w:szCs w:val="26"/>
                <w:rtl/>
              </w:rPr>
              <w:t>נאשם</w:t>
            </w:r>
          </w:p>
        </w:tc>
      </w:tr>
    </w:tbl>
    <w:p w14:paraId="265E3BA4" w14:textId="77777777" w:rsidR="00097C27" w:rsidRPr="00BF275D" w:rsidRDefault="00097C27" w:rsidP="00DE41AB">
      <w:pPr>
        <w:rPr>
          <w:b/>
          <w:bCs/>
          <w:sz w:val="26"/>
          <w:szCs w:val="26"/>
          <w:rtl/>
        </w:rPr>
      </w:pPr>
      <w:bookmarkStart w:id="2" w:name="LawTable"/>
      <w:bookmarkEnd w:id="2"/>
    </w:p>
    <w:p w14:paraId="0822C1BF" w14:textId="77777777" w:rsidR="00BF275D" w:rsidRDefault="00BF275D" w:rsidP="00097C27">
      <w:pPr>
        <w:spacing w:after="120" w:line="240" w:lineRule="exact"/>
        <w:ind w:left="283" w:hanging="283"/>
        <w:jc w:val="both"/>
        <w:rPr>
          <w:rFonts w:ascii="FrankRuehl" w:hAnsi="FrankRuehl" w:cs="FrankRuehl" w:hint="cs"/>
          <w:rtl/>
        </w:rPr>
      </w:pPr>
    </w:p>
    <w:p w14:paraId="386F7495" w14:textId="77777777" w:rsidR="00097C27" w:rsidRPr="00097C27" w:rsidRDefault="00097C27" w:rsidP="00097C27">
      <w:pPr>
        <w:spacing w:after="120" w:line="240" w:lineRule="exact"/>
        <w:ind w:left="283" w:hanging="283"/>
        <w:jc w:val="both"/>
        <w:rPr>
          <w:rFonts w:ascii="FrankRuehl" w:hAnsi="FrankRuehl" w:cs="FrankRuehl"/>
          <w:rtl/>
        </w:rPr>
      </w:pPr>
      <w:r w:rsidRPr="00097C27">
        <w:rPr>
          <w:rFonts w:ascii="FrankRuehl" w:hAnsi="FrankRuehl" w:cs="FrankRuehl"/>
          <w:rtl/>
        </w:rPr>
        <w:t xml:space="preserve">חקיקה שאוזכרה: </w:t>
      </w:r>
    </w:p>
    <w:p w14:paraId="26D85AD0" w14:textId="77777777" w:rsidR="00097C27" w:rsidRPr="00097C27" w:rsidRDefault="00097C27" w:rsidP="00097C27">
      <w:pPr>
        <w:spacing w:after="120" w:line="240" w:lineRule="exact"/>
        <w:ind w:left="283" w:hanging="283"/>
        <w:jc w:val="both"/>
        <w:rPr>
          <w:rFonts w:ascii="FrankRuehl" w:hAnsi="FrankRuehl" w:cs="FrankRuehl"/>
          <w:rtl/>
        </w:rPr>
      </w:pPr>
      <w:hyperlink r:id="rId7" w:history="1">
        <w:r w:rsidRPr="00097C27">
          <w:rPr>
            <w:rFonts w:ascii="FrankRuehl" w:hAnsi="FrankRuehl" w:cs="FrankRuehl"/>
            <w:color w:val="0000FF"/>
            <w:u w:val="single"/>
            <w:rtl/>
          </w:rPr>
          <w:t>פקודת הסמים המסוכנים [נוסח חדש], תשל"ג-1973</w:t>
        </w:r>
      </w:hyperlink>
      <w:r w:rsidRPr="00097C27">
        <w:rPr>
          <w:rFonts w:ascii="FrankRuehl" w:hAnsi="FrankRuehl" w:cs="FrankRuehl"/>
          <w:rtl/>
        </w:rPr>
        <w:t xml:space="preserve">: סע'  </w:t>
      </w:r>
      <w:hyperlink r:id="rId8" w:history="1">
        <w:r w:rsidRPr="00097C27">
          <w:rPr>
            <w:rFonts w:ascii="FrankRuehl" w:hAnsi="FrankRuehl" w:cs="FrankRuehl"/>
            <w:color w:val="0000FF"/>
            <w:u w:val="single"/>
            <w:rtl/>
          </w:rPr>
          <w:t>7(א)</w:t>
        </w:r>
      </w:hyperlink>
      <w:r w:rsidRPr="00097C27">
        <w:rPr>
          <w:rFonts w:ascii="FrankRuehl" w:hAnsi="FrankRuehl" w:cs="FrankRuehl"/>
          <w:rtl/>
        </w:rPr>
        <w:t xml:space="preserve">, </w:t>
      </w:r>
      <w:hyperlink r:id="rId9" w:history="1">
        <w:r w:rsidRPr="00097C27">
          <w:rPr>
            <w:rFonts w:ascii="FrankRuehl" w:hAnsi="FrankRuehl" w:cs="FrankRuehl"/>
            <w:color w:val="0000FF"/>
            <w:u w:val="single"/>
            <w:rtl/>
          </w:rPr>
          <w:t>7(ג)</w:t>
        </w:r>
      </w:hyperlink>
    </w:p>
    <w:p w14:paraId="55209981" w14:textId="77777777" w:rsidR="00097C27" w:rsidRPr="00097C27" w:rsidRDefault="00097C27" w:rsidP="00097C27">
      <w:pPr>
        <w:spacing w:after="120" w:line="240" w:lineRule="exact"/>
        <w:ind w:left="283" w:hanging="283"/>
        <w:jc w:val="both"/>
        <w:rPr>
          <w:rFonts w:ascii="FrankRuehl" w:hAnsi="FrankRuehl" w:cs="FrankRuehl"/>
          <w:rtl/>
        </w:rPr>
      </w:pPr>
      <w:hyperlink r:id="rId10" w:history="1">
        <w:r w:rsidRPr="00097C27">
          <w:rPr>
            <w:rFonts w:ascii="FrankRuehl" w:hAnsi="FrankRuehl" w:cs="FrankRuehl"/>
            <w:color w:val="0000FF"/>
            <w:u w:val="single"/>
            <w:rtl/>
          </w:rPr>
          <w:t>חוק העונשין, תשל"ז-1977</w:t>
        </w:r>
      </w:hyperlink>
    </w:p>
    <w:p w14:paraId="5EADCFB0" w14:textId="77777777" w:rsidR="00097C27" w:rsidRDefault="00097C27" w:rsidP="00097C27">
      <w:pPr>
        <w:spacing w:after="120" w:line="240" w:lineRule="exact"/>
        <w:ind w:left="283" w:hanging="283"/>
        <w:jc w:val="both"/>
        <w:rPr>
          <w:rFonts w:ascii="FrankRuehl" w:hAnsi="FrankRuehl" w:cs="FrankRuehl" w:hint="cs"/>
          <w:rtl/>
        </w:rPr>
      </w:pPr>
    </w:p>
    <w:p w14:paraId="4D058D5F" w14:textId="77777777" w:rsidR="00BF275D" w:rsidRDefault="00BF275D" w:rsidP="00BF275D">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690D47B5" w14:textId="77777777" w:rsidR="00BF275D" w:rsidRPr="00BF275D" w:rsidRDefault="00BF275D" w:rsidP="00BF275D">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BF275D">
        <w:rPr>
          <w:rFonts w:cs="FrankRuehl"/>
          <w:szCs w:val="26"/>
          <w:rtl/>
        </w:rPr>
        <w:t xml:space="preserve">בית המשפט השית על הנאשם שהורשע </w:t>
      </w:r>
      <w:r w:rsidRPr="00BF275D">
        <w:rPr>
          <w:rFonts w:eastAsia="Calibri" w:cs="FrankRuehl"/>
          <w:szCs w:val="26"/>
          <w:rtl/>
        </w:rPr>
        <w:t>על פי הודאתו בעבירה של החזקת סם מסוכן שלא לצריכה עצמית</w:t>
      </w:r>
      <w:r w:rsidRPr="00BF275D">
        <w:rPr>
          <w:rFonts w:cs="FrankRuehl"/>
          <w:szCs w:val="26"/>
          <w:rtl/>
        </w:rPr>
        <w:t xml:space="preserve"> עונש של </w:t>
      </w:r>
      <w:r w:rsidRPr="00BF275D">
        <w:rPr>
          <w:rFonts w:eastAsia="Calibri" w:cs="FrankRuehl"/>
          <w:szCs w:val="26"/>
          <w:rtl/>
        </w:rPr>
        <w:t xml:space="preserve">ארבעה (4) חודשי מאסר אשר ירוצו בעבודות שירות. בתוך כך, נדחתה עמדת שירות המבחן להטיל על הנאשם שירות לתועלת הציבור במידה אשר הומלצה על ידו, זאת לנוכח נסיבות העבירה, וגם לנוכח סוגו של הסם. </w:t>
      </w:r>
    </w:p>
    <w:p w14:paraId="3D84CE8F" w14:textId="77777777" w:rsidR="00BF275D" w:rsidRDefault="00BF275D" w:rsidP="00BF275D">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2AF51BB1" w14:textId="77777777" w:rsidR="00BF275D" w:rsidRDefault="00BF275D" w:rsidP="00BF275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83423AE" w14:textId="77777777" w:rsidR="00BF275D" w:rsidRPr="00BF275D" w:rsidRDefault="00BF275D" w:rsidP="00BF275D">
      <w:pPr>
        <w:pBdr>
          <w:top w:val="single" w:sz="4" w:space="1" w:color="auto"/>
          <w:bottom w:val="single" w:sz="4" w:space="1" w:color="auto"/>
        </w:pBdr>
        <w:spacing w:after="120" w:line="320" w:lineRule="exact"/>
        <w:jc w:val="both"/>
        <w:rPr>
          <w:rFonts w:eastAsia="Calibri" w:cs="FrankRuehl"/>
          <w:szCs w:val="26"/>
          <w:rtl/>
        </w:rPr>
      </w:pPr>
      <w:r w:rsidRPr="00BF275D">
        <w:rPr>
          <w:rFonts w:eastAsia="Calibri" w:cs="FrankRuehl"/>
          <w:szCs w:val="26"/>
          <w:rtl/>
        </w:rPr>
        <w:t xml:space="preserve">בית המשפט נדרש לגזור את דינו של הנאשם שהורשע על פי הודאתו בעבירה של החזקת סם מסוכן שלא לצריכה עצמית לפי </w:t>
      </w:r>
      <w:hyperlink r:id="rId11" w:history="1">
        <w:r w:rsidRPr="00BF275D">
          <w:rPr>
            <w:rFonts w:eastAsia="Calibri" w:cs="FrankRuehl"/>
            <w:szCs w:val="26"/>
            <w:rtl/>
          </w:rPr>
          <w:t>סעיף 7(א)</w:t>
        </w:r>
      </w:hyperlink>
      <w:r w:rsidRPr="00BF275D">
        <w:rPr>
          <w:rFonts w:eastAsia="Calibri" w:cs="FrankRuehl"/>
          <w:szCs w:val="26"/>
          <w:rtl/>
        </w:rPr>
        <w:t xml:space="preserve"> בצירוף </w:t>
      </w:r>
      <w:hyperlink r:id="rId12" w:history="1">
        <w:r w:rsidRPr="00BF275D">
          <w:rPr>
            <w:rFonts w:eastAsia="Calibri" w:cs="FrankRuehl"/>
            <w:szCs w:val="26"/>
            <w:rtl/>
          </w:rPr>
          <w:t>7(ג)</w:t>
        </w:r>
      </w:hyperlink>
      <w:r w:rsidRPr="00BF275D">
        <w:rPr>
          <w:rFonts w:eastAsia="Calibri" w:cs="FrankRuehl"/>
          <w:szCs w:val="26"/>
          <w:rtl/>
        </w:rPr>
        <w:t xml:space="preserve"> רישא ל</w:t>
      </w:r>
      <w:hyperlink r:id="rId13" w:history="1">
        <w:r w:rsidRPr="00BF275D">
          <w:rPr>
            <w:rFonts w:eastAsia="Calibri" w:cs="FrankRuehl"/>
            <w:szCs w:val="26"/>
            <w:rtl/>
          </w:rPr>
          <w:t>פקודת הסמים המסוכנים</w:t>
        </w:r>
      </w:hyperlink>
      <w:r w:rsidRPr="00BF275D">
        <w:rPr>
          <w:rFonts w:eastAsia="Calibri" w:cs="FrankRuehl"/>
          <w:szCs w:val="26"/>
          <w:rtl/>
        </w:rPr>
        <w:t>.</w:t>
      </w:r>
    </w:p>
    <w:p w14:paraId="23497D8A" w14:textId="77777777" w:rsidR="00BF275D" w:rsidRPr="00BF275D" w:rsidRDefault="00BF275D" w:rsidP="00BF275D">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5561DADE" w14:textId="77777777" w:rsidR="00BF275D" w:rsidRPr="00BF275D" w:rsidRDefault="00BF275D" w:rsidP="00BF275D">
      <w:pPr>
        <w:pBdr>
          <w:top w:val="single" w:sz="4" w:space="1" w:color="auto"/>
          <w:bottom w:val="single" w:sz="4" w:space="1" w:color="auto"/>
        </w:pBdr>
        <w:spacing w:after="120" w:line="320" w:lineRule="exact"/>
        <w:jc w:val="both"/>
        <w:rPr>
          <w:rFonts w:eastAsia="Calibri" w:cs="FrankRuehl"/>
          <w:szCs w:val="26"/>
          <w:rtl/>
        </w:rPr>
      </w:pPr>
      <w:r w:rsidRPr="00BF275D">
        <w:rPr>
          <w:rFonts w:eastAsia="Calibri" w:cs="FrankRuehl"/>
          <w:szCs w:val="26"/>
          <w:rtl/>
        </w:rPr>
        <w:t>בית המשפט פסק כלהלן:</w:t>
      </w:r>
    </w:p>
    <w:p w14:paraId="26165848" w14:textId="77777777" w:rsidR="00BF275D" w:rsidRPr="00BF275D" w:rsidRDefault="00BF275D" w:rsidP="00BF275D">
      <w:pPr>
        <w:pBdr>
          <w:top w:val="single" w:sz="4" w:space="1" w:color="auto"/>
          <w:bottom w:val="single" w:sz="4" w:space="1" w:color="auto"/>
        </w:pBdr>
        <w:spacing w:after="120" w:line="320" w:lineRule="exact"/>
        <w:jc w:val="both"/>
        <w:rPr>
          <w:rFonts w:eastAsia="Calibri" w:cs="FrankRuehl"/>
          <w:szCs w:val="26"/>
          <w:rtl/>
        </w:rPr>
      </w:pPr>
      <w:r w:rsidRPr="00BF275D">
        <w:rPr>
          <w:rFonts w:eastAsia="Calibri" w:cs="FrankRuehl"/>
          <w:szCs w:val="26"/>
          <w:rtl/>
        </w:rPr>
        <w:t>כל עבירת סם היא חמורה מעצם השימוש בחומרים מסוכנים אלה, אך בעבירות שבהן מדובר בהחזקה שלא לצריכה עצמית, ואף לסחר- החומרה רבה אף יותר. חומרתן של עבירות אלה בכך, שהן המאפשרות את הפצת הסם והתפשטותו בחברה, ולפיכך על בית המשפט לתרום את חלקו במלחמה הציבורית בסמים, בדרך של ענישה מחמירה ומרתיעה.</w:t>
      </w:r>
    </w:p>
    <w:p w14:paraId="42458FA2" w14:textId="77777777" w:rsidR="00BF275D" w:rsidRPr="00BF275D" w:rsidRDefault="00BF275D" w:rsidP="00BF275D">
      <w:pPr>
        <w:pBdr>
          <w:top w:val="single" w:sz="4" w:space="1" w:color="auto"/>
          <w:bottom w:val="single" w:sz="4" w:space="1" w:color="auto"/>
        </w:pBdr>
        <w:spacing w:after="120" w:line="320" w:lineRule="exact"/>
        <w:jc w:val="both"/>
        <w:rPr>
          <w:rFonts w:eastAsia="Calibri" w:cs="FrankRuehl"/>
          <w:szCs w:val="26"/>
          <w:rtl/>
        </w:rPr>
      </w:pPr>
      <w:r w:rsidRPr="00BF275D">
        <w:rPr>
          <w:rFonts w:eastAsia="Calibri" w:cs="FrankRuehl"/>
          <w:szCs w:val="26"/>
          <w:rtl/>
        </w:rPr>
        <w:lastRenderedPageBreak/>
        <w:t xml:space="preserve">מכלל הנסיבות עולה כי בשונה ממקרים אחרים המאפיינים עבירות אלה בדרך כלל, הנאשם איננו חלק ממעגל הסמים, הוא איננו רגיל ובקיא בעולם זה, והוא לא פעל בנסיבות אלה כדי להכשיל אחרים בסם, להפיצו או מתוך בצע כסף. </w:t>
      </w:r>
    </w:p>
    <w:p w14:paraId="01A40CA7" w14:textId="77777777" w:rsidR="00BF275D" w:rsidRPr="00BF275D" w:rsidRDefault="00BF275D" w:rsidP="00BF275D">
      <w:pPr>
        <w:pBdr>
          <w:top w:val="single" w:sz="4" w:space="1" w:color="auto"/>
          <w:bottom w:val="single" w:sz="4" w:space="1" w:color="auto"/>
        </w:pBdr>
        <w:spacing w:after="120" w:line="320" w:lineRule="exact"/>
        <w:jc w:val="both"/>
        <w:rPr>
          <w:rFonts w:eastAsia="Calibri" w:cs="FrankRuehl"/>
          <w:szCs w:val="26"/>
          <w:rtl/>
        </w:rPr>
      </w:pPr>
      <w:r w:rsidRPr="00BF275D">
        <w:rPr>
          <w:rFonts w:eastAsia="Calibri" w:cs="FrankRuehl"/>
          <w:szCs w:val="26"/>
          <w:rtl/>
        </w:rPr>
        <w:t>מתחם הענישה ההולם במקרה זה נע בין עונש מאסר בן 8</w:t>
      </w:r>
      <w:r>
        <w:rPr>
          <w:rFonts w:eastAsia="Calibri" w:cs="FrankRuehl"/>
          <w:szCs w:val="26"/>
          <w:rtl/>
        </w:rPr>
        <w:t xml:space="preserve"> </w:t>
      </w:r>
      <w:r w:rsidRPr="00BF275D">
        <w:rPr>
          <w:rFonts w:eastAsia="Calibri" w:cs="FrankRuehl"/>
          <w:szCs w:val="26"/>
          <w:rtl/>
        </w:rPr>
        <w:t xml:space="preserve">חודשים ועד מאסר לריצוי בפועל למשך 18 חודשים. </w:t>
      </w:r>
    </w:p>
    <w:p w14:paraId="0D860B22" w14:textId="77777777" w:rsidR="00BF275D" w:rsidRPr="00097C27" w:rsidRDefault="00BF275D" w:rsidP="00097C27">
      <w:pPr>
        <w:spacing w:after="120" w:line="240" w:lineRule="exact"/>
        <w:ind w:left="283" w:hanging="283"/>
        <w:jc w:val="both"/>
        <w:rPr>
          <w:rFonts w:ascii="FrankRuehl" w:hAnsi="FrankRuehl" w:cs="FrankRuehl" w:hint="cs"/>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41AB" w14:paraId="747EC0A0" w14:textId="77777777" w:rsidTr="002A2E10">
        <w:trPr>
          <w:trHeight w:val="355"/>
          <w:jc w:val="center"/>
        </w:trPr>
        <w:tc>
          <w:tcPr>
            <w:tcW w:w="8820" w:type="dxa"/>
            <w:tcBorders>
              <w:top w:val="nil"/>
              <w:left w:val="nil"/>
              <w:bottom w:val="nil"/>
              <w:right w:val="nil"/>
            </w:tcBorders>
            <w:shd w:val="clear" w:color="auto" w:fill="auto"/>
          </w:tcPr>
          <w:p w14:paraId="6A65CE20" w14:textId="77777777" w:rsidR="002A2E10" w:rsidRPr="002A2E10" w:rsidRDefault="002A2E10" w:rsidP="002A2E10">
            <w:pPr>
              <w:jc w:val="center"/>
              <w:rPr>
                <w:rFonts w:ascii="Arial" w:hAnsi="Arial" w:cs="FrankRuehl"/>
                <w:b/>
                <w:bCs/>
                <w:sz w:val="32"/>
                <w:szCs w:val="32"/>
                <w:u w:val="single"/>
                <w:rtl/>
              </w:rPr>
            </w:pPr>
            <w:bookmarkStart w:id="5" w:name="LawTable_End"/>
            <w:bookmarkStart w:id="6" w:name="PsakDin" w:colFirst="0" w:colLast="0"/>
            <w:bookmarkEnd w:id="0"/>
            <w:bookmarkEnd w:id="5"/>
            <w:r w:rsidRPr="002A2E10">
              <w:rPr>
                <w:rFonts w:ascii="Arial" w:hAnsi="Arial" w:cs="FrankRuehl"/>
                <w:b/>
                <w:bCs/>
                <w:sz w:val="32"/>
                <w:szCs w:val="32"/>
                <w:u w:val="single"/>
                <w:rtl/>
              </w:rPr>
              <w:t>גזר דין</w:t>
            </w:r>
          </w:p>
          <w:p w14:paraId="5EA17E7F" w14:textId="77777777" w:rsidR="00DE41AB" w:rsidRPr="002A2E10" w:rsidRDefault="00DE41AB" w:rsidP="002A2E10">
            <w:pPr>
              <w:jc w:val="center"/>
              <w:rPr>
                <w:rFonts w:ascii="Arial" w:hAnsi="Arial" w:cs="FrankRuehl"/>
                <w:bCs/>
                <w:sz w:val="32"/>
                <w:szCs w:val="32"/>
                <w:u w:val="single"/>
                <w:rtl/>
              </w:rPr>
            </w:pPr>
          </w:p>
        </w:tc>
      </w:tr>
      <w:bookmarkEnd w:id="6"/>
    </w:tbl>
    <w:p w14:paraId="3DB0A8F2" w14:textId="77777777" w:rsidR="00DE41AB" w:rsidRPr="00B05847" w:rsidRDefault="00DE41AB" w:rsidP="00DE41AB">
      <w:pPr>
        <w:rPr>
          <w:rFonts w:ascii="Arial" w:hAnsi="Arial"/>
          <w:rtl/>
        </w:rPr>
      </w:pPr>
    </w:p>
    <w:p w14:paraId="3D4E1844" w14:textId="77777777" w:rsidR="00DE41AB" w:rsidRPr="00566DB0" w:rsidRDefault="00DE41AB" w:rsidP="00DE41AB">
      <w:pPr>
        <w:spacing w:after="160" w:line="360" w:lineRule="auto"/>
        <w:jc w:val="both"/>
        <w:rPr>
          <w:rFonts w:ascii="Calibri" w:eastAsia="Calibri" w:hAnsi="Calibri"/>
          <w:b/>
          <w:bCs/>
          <w:u w:val="single"/>
          <w:rtl/>
        </w:rPr>
      </w:pPr>
      <w:r w:rsidRPr="00566DB0">
        <w:rPr>
          <w:rFonts w:ascii="Calibri" w:eastAsia="Calibri" w:hAnsi="Calibri" w:hint="cs"/>
          <w:b/>
          <w:bCs/>
          <w:u w:val="single"/>
          <w:rtl/>
        </w:rPr>
        <w:t>האישום והסדר הטיעון</w:t>
      </w:r>
    </w:p>
    <w:p w14:paraId="7805C610"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בצהרי יום 24.12.14 הגיעו שוטרים לקצביה </w:t>
      </w:r>
      <w:r>
        <w:rPr>
          <w:rFonts w:ascii="Calibri" w:eastAsia="Calibri" w:hAnsi="Calibri" w:hint="cs"/>
          <w:rtl/>
        </w:rPr>
        <w:t>אשר בבעלותו של</w:t>
      </w:r>
      <w:r w:rsidRPr="00566DB0">
        <w:rPr>
          <w:rFonts w:ascii="Calibri" w:eastAsia="Calibri" w:hAnsi="Calibri" w:hint="cs"/>
          <w:rtl/>
        </w:rPr>
        <w:t xml:space="preserve"> הנאשם ברחוב יוסטמן בירושלים</w:t>
      </w:r>
      <w:r>
        <w:rPr>
          <w:rFonts w:ascii="Calibri" w:eastAsia="Calibri" w:hAnsi="Calibri" w:hint="cs"/>
          <w:rtl/>
        </w:rPr>
        <w:t xml:space="preserve">. </w:t>
      </w:r>
      <w:r w:rsidRPr="00566DB0">
        <w:rPr>
          <w:rFonts w:ascii="Calibri" w:eastAsia="Calibri" w:hAnsi="Calibri" w:hint="cs"/>
          <w:rtl/>
        </w:rPr>
        <w:t>ב</w:t>
      </w:r>
      <w:r>
        <w:rPr>
          <w:rFonts w:ascii="Calibri" w:eastAsia="Calibri" w:hAnsi="Calibri" w:hint="cs"/>
          <w:rtl/>
        </w:rPr>
        <w:t xml:space="preserve">מהלך </w:t>
      </w:r>
      <w:r w:rsidRPr="00566DB0">
        <w:rPr>
          <w:rFonts w:ascii="Calibri" w:eastAsia="Calibri" w:hAnsi="Calibri" w:hint="cs"/>
          <w:rtl/>
        </w:rPr>
        <w:t>חיפוש שערכו</w:t>
      </w:r>
      <w:r>
        <w:rPr>
          <w:rFonts w:ascii="Calibri" w:eastAsia="Calibri" w:hAnsi="Calibri" w:hint="cs"/>
          <w:rtl/>
        </w:rPr>
        <w:t xml:space="preserve"> במקום, נמצאה </w:t>
      </w:r>
      <w:r w:rsidRPr="00566DB0">
        <w:rPr>
          <w:rFonts w:ascii="Calibri" w:eastAsia="Calibri" w:hAnsi="Calibri" w:hint="cs"/>
          <w:rtl/>
        </w:rPr>
        <w:t xml:space="preserve">שקית ובה סם מסוג קוקאין במשקל כולל של 31.37 גרם, </w:t>
      </w:r>
      <w:r>
        <w:rPr>
          <w:rFonts w:ascii="Calibri" w:eastAsia="Calibri" w:hAnsi="Calibri" w:hint="cs"/>
          <w:rtl/>
        </w:rPr>
        <w:t xml:space="preserve">אשר היה </w:t>
      </w:r>
      <w:r w:rsidRPr="00566DB0">
        <w:rPr>
          <w:rFonts w:ascii="Calibri" w:eastAsia="Calibri" w:hAnsi="Calibri" w:hint="cs"/>
          <w:rtl/>
        </w:rPr>
        <w:t>בין שני מזרנים שהיו במשרדו של הנאשם בסמוך לשולחנו האישי.</w:t>
      </w:r>
    </w:p>
    <w:p w14:paraId="108C3A18"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בגין עובדות אלה המתוארות בכתב האישום </w:t>
      </w:r>
      <w:r>
        <w:rPr>
          <w:rFonts w:ascii="Calibri" w:eastAsia="Calibri" w:hAnsi="Calibri" w:hint="cs"/>
          <w:rtl/>
        </w:rPr>
        <w:t xml:space="preserve">אשר </w:t>
      </w:r>
      <w:r w:rsidRPr="00566DB0">
        <w:rPr>
          <w:rFonts w:ascii="Calibri" w:eastAsia="Calibri" w:hAnsi="Calibri" w:hint="cs"/>
          <w:rtl/>
        </w:rPr>
        <w:t xml:space="preserve">תוקן במסגרת הסדר טיעון בין הצדדים, הורשע הנאשם על פי הודאתו בעבירה של החזקת סם מסוכן שלא לצריכה עצמית לפי </w:t>
      </w:r>
      <w:hyperlink r:id="rId14" w:history="1">
        <w:r w:rsidR="00097C27" w:rsidRPr="00097C27">
          <w:rPr>
            <w:rFonts w:ascii="Calibri" w:eastAsia="Calibri" w:hAnsi="Calibri" w:hint="cs"/>
            <w:color w:val="0000FF"/>
            <w:u w:val="single"/>
            <w:rtl/>
          </w:rPr>
          <w:t>סעיף</w:t>
        </w:r>
        <w:r w:rsidR="00097C27" w:rsidRPr="00097C27">
          <w:rPr>
            <w:rFonts w:ascii="Calibri" w:eastAsia="Calibri" w:hAnsi="Calibri"/>
            <w:color w:val="0000FF"/>
            <w:u w:val="single"/>
            <w:rtl/>
          </w:rPr>
          <w:t xml:space="preserve"> 7(</w:t>
        </w:r>
        <w:r w:rsidR="00097C27" w:rsidRPr="00097C27">
          <w:rPr>
            <w:rFonts w:ascii="Calibri" w:eastAsia="Calibri" w:hAnsi="Calibri" w:hint="cs"/>
            <w:color w:val="0000FF"/>
            <w:u w:val="single"/>
            <w:rtl/>
          </w:rPr>
          <w:t>א</w:t>
        </w:r>
        <w:r w:rsidR="00097C27" w:rsidRPr="00097C27">
          <w:rPr>
            <w:rFonts w:ascii="Calibri" w:eastAsia="Calibri" w:hAnsi="Calibri"/>
            <w:color w:val="0000FF"/>
            <w:u w:val="single"/>
            <w:rtl/>
          </w:rPr>
          <w:t>)</w:t>
        </w:r>
      </w:hyperlink>
      <w:r w:rsidRPr="00566DB0">
        <w:rPr>
          <w:rFonts w:ascii="Calibri" w:eastAsia="Calibri" w:hAnsi="Calibri" w:hint="cs"/>
          <w:rtl/>
        </w:rPr>
        <w:t xml:space="preserve"> בצירוף </w:t>
      </w:r>
      <w:hyperlink r:id="rId15" w:history="1">
        <w:r w:rsidR="00097C27" w:rsidRPr="00097C27">
          <w:rPr>
            <w:rFonts w:ascii="Calibri" w:eastAsia="Calibri" w:hAnsi="Calibri"/>
            <w:color w:val="0000FF"/>
            <w:u w:val="single"/>
            <w:rtl/>
          </w:rPr>
          <w:t>7(</w:t>
        </w:r>
        <w:r w:rsidR="00097C27" w:rsidRPr="00097C27">
          <w:rPr>
            <w:rFonts w:ascii="Calibri" w:eastAsia="Calibri" w:hAnsi="Calibri" w:hint="cs"/>
            <w:color w:val="0000FF"/>
            <w:u w:val="single"/>
            <w:rtl/>
          </w:rPr>
          <w:t>ג</w:t>
        </w:r>
        <w:r w:rsidR="00097C27" w:rsidRPr="00097C27">
          <w:rPr>
            <w:rFonts w:ascii="Calibri" w:eastAsia="Calibri" w:hAnsi="Calibri"/>
            <w:color w:val="0000FF"/>
            <w:u w:val="single"/>
            <w:rtl/>
          </w:rPr>
          <w:t>)</w:t>
        </w:r>
      </w:hyperlink>
      <w:r w:rsidRPr="00566DB0">
        <w:rPr>
          <w:rFonts w:ascii="Calibri" w:eastAsia="Calibri" w:hAnsi="Calibri" w:hint="cs"/>
          <w:rtl/>
        </w:rPr>
        <w:t xml:space="preserve"> רישא ל</w:t>
      </w:r>
      <w:hyperlink r:id="rId16" w:history="1">
        <w:r w:rsidR="002A2E10" w:rsidRPr="002A2E10">
          <w:rPr>
            <w:rFonts w:ascii="Calibri" w:eastAsia="Calibri" w:hAnsi="Calibri" w:hint="cs"/>
            <w:color w:val="0000FF"/>
            <w:u w:val="single"/>
            <w:rtl/>
          </w:rPr>
          <w:t>פקודת</w:t>
        </w:r>
        <w:r w:rsidR="002A2E10" w:rsidRPr="002A2E10">
          <w:rPr>
            <w:rFonts w:ascii="Calibri" w:eastAsia="Calibri" w:hAnsi="Calibri"/>
            <w:color w:val="0000FF"/>
            <w:u w:val="single"/>
            <w:rtl/>
          </w:rPr>
          <w:t xml:space="preserve"> </w:t>
        </w:r>
        <w:r w:rsidR="002A2E10" w:rsidRPr="002A2E10">
          <w:rPr>
            <w:rFonts w:ascii="Calibri" w:eastAsia="Calibri" w:hAnsi="Calibri" w:hint="cs"/>
            <w:color w:val="0000FF"/>
            <w:u w:val="single"/>
            <w:rtl/>
          </w:rPr>
          <w:t>הסמים</w:t>
        </w:r>
        <w:r w:rsidR="002A2E10" w:rsidRPr="002A2E10">
          <w:rPr>
            <w:rFonts w:ascii="Calibri" w:eastAsia="Calibri" w:hAnsi="Calibri"/>
            <w:color w:val="0000FF"/>
            <w:u w:val="single"/>
            <w:rtl/>
          </w:rPr>
          <w:t xml:space="preserve"> </w:t>
        </w:r>
        <w:r w:rsidR="002A2E10" w:rsidRPr="002A2E10">
          <w:rPr>
            <w:rFonts w:ascii="Calibri" w:eastAsia="Calibri" w:hAnsi="Calibri" w:hint="cs"/>
            <w:color w:val="0000FF"/>
            <w:u w:val="single"/>
            <w:rtl/>
          </w:rPr>
          <w:t>המסוכנים</w:t>
        </w:r>
      </w:hyperlink>
      <w:r w:rsidR="00BF275D">
        <w:rPr>
          <w:rFonts w:ascii="Calibri" w:eastAsia="Calibri" w:hAnsi="Calibri" w:hint="cs"/>
          <w:rtl/>
        </w:rPr>
        <w:t xml:space="preserve"> </w:t>
      </w:r>
      <w:r w:rsidRPr="00566DB0">
        <w:rPr>
          <w:rFonts w:ascii="Calibri" w:eastAsia="Calibri" w:hAnsi="Calibri" w:hint="cs"/>
          <w:rtl/>
        </w:rPr>
        <w:t xml:space="preserve">[נוסח חדש], התשל"ג-1973 (להלן: </w:t>
      </w:r>
      <w:r w:rsidRPr="00566DB0">
        <w:rPr>
          <w:rFonts w:ascii="Calibri" w:eastAsia="Calibri" w:hAnsi="Calibri" w:hint="cs"/>
          <w:b/>
          <w:bCs/>
          <w:rtl/>
        </w:rPr>
        <w:t>"פקודת הסמים"</w:t>
      </w:r>
      <w:r w:rsidRPr="00566DB0">
        <w:rPr>
          <w:rFonts w:ascii="Calibri" w:eastAsia="Calibri" w:hAnsi="Calibri" w:hint="cs"/>
          <w:rtl/>
        </w:rPr>
        <w:t>).</w:t>
      </w:r>
    </w:p>
    <w:p w14:paraId="6E9D5BF2" w14:textId="77777777" w:rsidR="00DE41AB" w:rsidRPr="00566DB0" w:rsidRDefault="00DE41AB" w:rsidP="00BF275D">
      <w:pPr>
        <w:spacing w:after="160" w:line="360" w:lineRule="auto"/>
        <w:jc w:val="both"/>
        <w:rPr>
          <w:rFonts w:ascii="Calibri" w:eastAsia="Calibri" w:hAnsi="Calibri"/>
          <w:rtl/>
        </w:rPr>
      </w:pPr>
      <w:r w:rsidRPr="00566DB0">
        <w:rPr>
          <w:rFonts w:ascii="Calibri" w:eastAsia="Calibri" w:hAnsi="Calibri" w:hint="cs"/>
          <w:rtl/>
        </w:rPr>
        <w:t>הסדר הטיעון לא כלל הסכמה לעניין העונש</w:t>
      </w:r>
      <w:r>
        <w:rPr>
          <w:rFonts w:ascii="Calibri" w:eastAsia="Calibri" w:hAnsi="Calibri" w:hint="cs"/>
          <w:rtl/>
        </w:rPr>
        <w:t>,</w:t>
      </w:r>
      <w:r w:rsidRPr="00566DB0">
        <w:rPr>
          <w:rFonts w:ascii="Calibri" w:eastAsia="Calibri" w:hAnsi="Calibri" w:hint="cs"/>
          <w:rtl/>
        </w:rPr>
        <w:t xml:space="preserve"> והצדדים הודיעו לבית המשפט כי מוסכם עליהם שבתקופה הרלוונטית לכתב האישום, החל הנאשם להשתמש ב</w:t>
      </w:r>
      <w:r>
        <w:rPr>
          <w:rFonts w:ascii="Calibri" w:eastAsia="Calibri" w:hAnsi="Calibri" w:hint="cs"/>
          <w:rtl/>
        </w:rPr>
        <w:t xml:space="preserve">סמים בעקבות משבר בחיי הנישואים וכן מסכימים הם </w:t>
      </w:r>
      <w:r w:rsidRPr="00566DB0">
        <w:rPr>
          <w:rFonts w:ascii="Calibri" w:eastAsia="Calibri" w:hAnsi="Calibri" w:hint="cs"/>
          <w:rtl/>
        </w:rPr>
        <w:t>כי שירות המבחן יערוך תסקיר בעניינו. כחלק מה</w:t>
      </w:r>
      <w:r>
        <w:rPr>
          <w:rFonts w:ascii="Calibri" w:eastAsia="Calibri" w:hAnsi="Calibri" w:hint="cs"/>
          <w:rtl/>
        </w:rPr>
        <w:t>סדר הטיעון</w:t>
      </w:r>
      <w:r w:rsidRPr="00566DB0">
        <w:rPr>
          <w:rFonts w:ascii="Calibri" w:eastAsia="Calibri" w:hAnsi="Calibri" w:hint="cs"/>
          <w:rtl/>
        </w:rPr>
        <w:t xml:space="preserve"> הוסכם גם על ביטול התנאים המגבילים </w:t>
      </w:r>
      <w:r>
        <w:rPr>
          <w:rFonts w:ascii="Calibri" w:eastAsia="Calibri" w:hAnsi="Calibri" w:hint="cs"/>
          <w:rtl/>
        </w:rPr>
        <w:t xml:space="preserve">אשר </w:t>
      </w:r>
      <w:r w:rsidRPr="00566DB0">
        <w:rPr>
          <w:rFonts w:ascii="Calibri" w:eastAsia="Calibri" w:hAnsi="Calibri" w:hint="cs"/>
          <w:rtl/>
        </w:rPr>
        <w:t>בהם היה הנאשם נתון בהתאם להחלטות המעצר ב</w:t>
      </w:r>
      <w:hyperlink r:id="rId17" w:history="1">
        <w:r w:rsidR="002A2E10" w:rsidRPr="002A2E10">
          <w:rPr>
            <w:rFonts w:ascii="Calibri" w:eastAsia="Calibri" w:hAnsi="Calibri" w:hint="cs"/>
            <w:color w:val="0000FF"/>
            <w:u w:val="single"/>
            <w:rtl/>
          </w:rPr>
          <w:t>מ</w:t>
        </w:r>
        <w:r w:rsidR="002A2E10" w:rsidRPr="002A2E10">
          <w:rPr>
            <w:rFonts w:ascii="Calibri" w:eastAsia="Calibri" w:hAnsi="Calibri"/>
            <w:color w:val="0000FF"/>
            <w:u w:val="single"/>
            <w:rtl/>
          </w:rPr>
          <w:t>"</w:t>
        </w:r>
        <w:r w:rsidR="002A2E10" w:rsidRPr="002A2E10">
          <w:rPr>
            <w:rFonts w:ascii="Calibri" w:eastAsia="Calibri" w:hAnsi="Calibri" w:hint="cs"/>
            <w:color w:val="0000FF"/>
            <w:u w:val="single"/>
            <w:rtl/>
          </w:rPr>
          <w:t>ת</w:t>
        </w:r>
        <w:r w:rsidR="002A2E10" w:rsidRPr="002A2E10">
          <w:rPr>
            <w:rFonts w:ascii="Calibri" w:eastAsia="Calibri" w:hAnsi="Calibri"/>
            <w:color w:val="0000FF"/>
            <w:u w:val="single"/>
            <w:rtl/>
          </w:rPr>
          <w:t xml:space="preserve"> 7422-01</w:t>
        </w:r>
        <w:r w:rsidR="002A2E10" w:rsidRPr="002A2E10">
          <w:rPr>
            <w:rFonts w:ascii="Calibri" w:eastAsia="Calibri" w:hAnsi="Calibri"/>
            <w:color w:val="0000FF"/>
            <w:u w:val="single"/>
            <w:rtl/>
          </w:rPr>
          <w:t>-</w:t>
        </w:r>
        <w:r w:rsidR="002A2E10" w:rsidRPr="002A2E10">
          <w:rPr>
            <w:rFonts w:ascii="Calibri" w:eastAsia="Calibri" w:hAnsi="Calibri"/>
            <w:color w:val="0000FF"/>
            <w:u w:val="single"/>
            <w:rtl/>
          </w:rPr>
          <w:t>15</w:t>
        </w:r>
      </w:hyperlink>
      <w:r w:rsidR="00BF275D">
        <w:rPr>
          <w:rFonts w:ascii="Calibri" w:eastAsia="Calibri" w:hAnsi="Calibri" w:hint="cs"/>
          <w:rtl/>
        </w:rPr>
        <w:t xml:space="preserve"> </w:t>
      </w:r>
      <w:r w:rsidR="00BF275D" w:rsidRPr="00BF275D">
        <w:rPr>
          <w:rFonts w:eastAsia="Calibri"/>
          <w:sz w:val="22"/>
          <w:rtl/>
        </w:rPr>
        <w:t>[</w:t>
      </w:r>
      <w:r w:rsidR="00BF275D" w:rsidRPr="00BF275D">
        <w:rPr>
          <w:rFonts w:eastAsia="Calibri" w:hint="cs"/>
          <w:sz w:val="22"/>
          <w:rtl/>
        </w:rPr>
        <w:t>פורסם</w:t>
      </w:r>
      <w:r w:rsidR="00BF275D" w:rsidRPr="00BF275D">
        <w:rPr>
          <w:rFonts w:eastAsia="Calibri"/>
          <w:sz w:val="22"/>
          <w:rtl/>
        </w:rPr>
        <w:t xml:space="preserve"> </w:t>
      </w:r>
      <w:r w:rsidR="00BF275D" w:rsidRPr="00BF275D">
        <w:rPr>
          <w:rFonts w:eastAsia="Calibri" w:hint="cs"/>
          <w:sz w:val="22"/>
          <w:rtl/>
        </w:rPr>
        <w:t>בנבו</w:t>
      </w:r>
      <w:r w:rsidR="00BF275D" w:rsidRPr="00BF275D">
        <w:rPr>
          <w:rFonts w:eastAsia="Calibri"/>
          <w:sz w:val="22"/>
          <w:rtl/>
        </w:rPr>
        <w:t>]</w:t>
      </w:r>
      <w:r w:rsidRPr="00566DB0">
        <w:rPr>
          <w:rFonts w:ascii="Calibri" w:eastAsia="Calibri" w:hAnsi="Calibri" w:hint="cs"/>
          <w:rtl/>
        </w:rPr>
        <w:t xml:space="preserve">. </w:t>
      </w:r>
    </w:p>
    <w:p w14:paraId="25DD39B8" w14:textId="77777777" w:rsidR="00DE41AB" w:rsidRPr="00566DB0" w:rsidRDefault="00DE41AB" w:rsidP="00DE41AB">
      <w:pPr>
        <w:spacing w:after="160" w:line="360" w:lineRule="auto"/>
        <w:jc w:val="both"/>
        <w:rPr>
          <w:rFonts w:ascii="Calibri" w:eastAsia="Calibri" w:hAnsi="Calibri"/>
          <w:rtl/>
        </w:rPr>
      </w:pPr>
    </w:p>
    <w:p w14:paraId="32FC036A" w14:textId="77777777" w:rsidR="00DE41AB" w:rsidRPr="00566DB0" w:rsidRDefault="00DE41AB" w:rsidP="00DE41AB">
      <w:pPr>
        <w:spacing w:after="160" w:line="360" w:lineRule="auto"/>
        <w:jc w:val="both"/>
        <w:rPr>
          <w:rFonts w:ascii="Calibri" w:eastAsia="Calibri" w:hAnsi="Calibri"/>
          <w:b/>
          <w:bCs/>
          <w:u w:val="single"/>
          <w:rtl/>
        </w:rPr>
      </w:pPr>
      <w:r w:rsidRPr="00566DB0">
        <w:rPr>
          <w:rFonts w:ascii="Calibri" w:eastAsia="Calibri" w:hAnsi="Calibri" w:hint="cs"/>
          <w:b/>
          <w:bCs/>
          <w:u w:val="single"/>
          <w:rtl/>
        </w:rPr>
        <w:t>טיעוני הצדדים לעונש</w:t>
      </w:r>
    </w:p>
    <w:p w14:paraId="091BBC7F"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ב</w:t>
      </w:r>
      <w:r w:rsidRPr="00566DB0">
        <w:rPr>
          <w:rFonts w:ascii="Calibri" w:eastAsia="Calibri" w:hAnsi="Calibri" w:hint="cs"/>
          <w:b/>
          <w:bCs/>
          <w:rtl/>
        </w:rPr>
        <w:t>"כ המאשימה</w:t>
      </w:r>
      <w:r w:rsidRPr="00566DB0">
        <w:rPr>
          <w:rFonts w:ascii="Calibri" w:eastAsia="Calibri" w:hAnsi="Calibri" w:hint="cs"/>
          <w:rtl/>
        </w:rPr>
        <w:t xml:space="preserve"> טענה כי הנאשם  עבר עבירה חמורה שיש בו פגיעה בערכים חברתיים מוגנים</w:t>
      </w:r>
      <w:r>
        <w:rPr>
          <w:rFonts w:ascii="Calibri" w:eastAsia="Calibri" w:hAnsi="Calibri" w:hint="cs"/>
          <w:rtl/>
        </w:rPr>
        <w:t xml:space="preserve"> הן על המשתמש והן על סביבתו הקרובה,</w:t>
      </w:r>
      <w:r w:rsidRPr="00566DB0">
        <w:rPr>
          <w:rFonts w:ascii="Calibri" w:eastAsia="Calibri" w:hAnsi="Calibri" w:hint="cs"/>
          <w:rtl/>
        </w:rPr>
        <w:t xml:space="preserve"> ועל כן מתחם הענישה ההולם צריך שיעמוד על </w:t>
      </w:r>
      <w:r w:rsidRPr="00A547A4">
        <w:rPr>
          <w:rFonts w:ascii="Calibri" w:eastAsia="Calibri" w:hAnsi="Calibri" w:hint="cs"/>
          <w:b/>
          <w:bCs/>
          <w:rtl/>
        </w:rPr>
        <w:t>24-48</w:t>
      </w:r>
      <w:r w:rsidRPr="00566DB0">
        <w:rPr>
          <w:rFonts w:ascii="Calibri" w:eastAsia="Calibri" w:hAnsi="Calibri" w:hint="cs"/>
          <w:rtl/>
        </w:rPr>
        <w:t xml:space="preserve"> חודשי מאסר בפועל ממש. מאחר ולא הוכח הליך שיקום כזה או אחר, הרי שמקומו של הנאשם צריך שיעמוד על חלקו </w:t>
      </w:r>
      <w:r w:rsidRPr="00A547A4">
        <w:rPr>
          <w:rFonts w:ascii="Calibri" w:eastAsia="Calibri" w:hAnsi="Calibri" w:hint="cs"/>
          <w:b/>
          <w:bCs/>
          <w:rtl/>
        </w:rPr>
        <w:t>התחתון</w:t>
      </w:r>
      <w:r w:rsidRPr="00566DB0">
        <w:rPr>
          <w:rFonts w:ascii="Calibri" w:eastAsia="Calibri" w:hAnsi="Calibri" w:hint="cs"/>
          <w:rtl/>
        </w:rPr>
        <w:t xml:space="preserve"> של מתחם הענישה ההולם, היינו, </w:t>
      </w:r>
      <w:r w:rsidRPr="00A547A4">
        <w:rPr>
          <w:rFonts w:ascii="Calibri" w:eastAsia="Calibri" w:hAnsi="Calibri" w:hint="cs"/>
          <w:b/>
          <w:bCs/>
          <w:rtl/>
        </w:rPr>
        <w:t xml:space="preserve">24 </w:t>
      </w:r>
      <w:r w:rsidRPr="00566DB0">
        <w:rPr>
          <w:rFonts w:ascii="Calibri" w:eastAsia="Calibri" w:hAnsi="Calibri" w:hint="cs"/>
          <w:rtl/>
        </w:rPr>
        <w:t>חודשי מאסר בפועל וכן מאסר מותנה מרתיע ומשמעותי. עוד הצהירה באת כוח המאשימה כי כמות הסם המנויה בכתב האישום היא גדולה ומשמעותית ויש בה כדי להצביע על מעורבות בשוק הסמים, וזאת על אף הצהרת הצדדים כי השימוש בסם החל כתוצאה ממשבר גירושין קשה, ובשל כך, עונשו צריך שיהיה מאחורי סורג ובריח ולא בדרך של עבודות שירות.</w:t>
      </w:r>
    </w:p>
    <w:p w14:paraId="081B1674"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b/>
          <w:bCs/>
          <w:rtl/>
        </w:rPr>
        <w:lastRenderedPageBreak/>
        <w:t>הסניגור</w:t>
      </w:r>
      <w:r w:rsidRPr="00566DB0">
        <w:rPr>
          <w:rFonts w:ascii="Calibri" w:eastAsia="Calibri" w:hAnsi="Calibri" w:hint="cs"/>
          <w:rtl/>
        </w:rPr>
        <w:t xml:space="preserve"> טען מנגד כי מדובר בנאשם נעדר עבר פלילי, אשר אינו משתמש בסמים מאז "פרוץ" התיק דנן, ושיקומו עלה יפה ולראיה הציג את בדיקות השתן המעידות על ניקיון מסמים. לדבריו שיקומו של הנאשם עלה יפה גם באופן שהוא חזר לעבוד באיטליז אשר בבעלותו ולפתחו</w:t>
      </w:r>
      <w:r>
        <w:rPr>
          <w:rFonts w:ascii="Calibri" w:eastAsia="Calibri" w:hAnsi="Calibri" w:hint="cs"/>
          <w:rtl/>
        </w:rPr>
        <w:t xml:space="preserve">, </w:t>
      </w:r>
      <w:r w:rsidRPr="00566DB0">
        <w:rPr>
          <w:rFonts w:ascii="Calibri" w:eastAsia="Calibri" w:hAnsi="Calibri" w:hint="cs"/>
          <w:rtl/>
        </w:rPr>
        <w:t xml:space="preserve"> כך שכל ענישה </w:t>
      </w:r>
      <w:r>
        <w:rPr>
          <w:rFonts w:ascii="Calibri" w:eastAsia="Calibri" w:hAnsi="Calibri" w:hint="cs"/>
          <w:rtl/>
        </w:rPr>
        <w:t xml:space="preserve">אשר </w:t>
      </w:r>
      <w:r w:rsidRPr="00566DB0">
        <w:rPr>
          <w:rFonts w:ascii="Calibri" w:eastAsia="Calibri" w:hAnsi="Calibri" w:hint="cs"/>
          <w:rtl/>
        </w:rPr>
        <w:t>תכלול בתוכה הרחקה ממקור פרנסתו, תהא בה פגיעה קשה והסגתו לאחור בכל התחומים</w:t>
      </w:r>
      <w:r>
        <w:rPr>
          <w:rFonts w:ascii="Calibri" w:eastAsia="Calibri" w:hAnsi="Calibri" w:hint="cs"/>
          <w:rtl/>
        </w:rPr>
        <w:t xml:space="preserve"> </w:t>
      </w:r>
      <w:r>
        <w:rPr>
          <w:rFonts w:ascii="Calibri" w:eastAsia="Calibri" w:hAnsi="Calibri"/>
          <w:rtl/>
        </w:rPr>
        <w:t>–</w:t>
      </w:r>
      <w:r>
        <w:rPr>
          <w:rFonts w:ascii="Calibri" w:eastAsia="Calibri" w:hAnsi="Calibri" w:hint="cs"/>
          <w:rtl/>
        </w:rPr>
        <w:t xml:space="preserve"> האישיים והטיפוליים</w:t>
      </w:r>
      <w:r w:rsidRPr="00566DB0">
        <w:rPr>
          <w:rFonts w:ascii="Calibri" w:eastAsia="Calibri" w:hAnsi="Calibri" w:hint="cs"/>
          <w:rtl/>
        </w:rPr>
        <w:t>.</w:t>
      </w:r>
    </w:p>
    <w:p w14:paraId="12390A1B" w14:textId="77777777" w:rsidR="00DE41AB" w:rsidRPr="00A547A4" w:rsidRDefault="00DE41AB" w:rsidP="00DE41AB">
      <w:pPr>
        <w:spacing w:after="160" w:line="360" w:lineRule="auto"/>
        <w:jc w:val="both"/>
        <w:rPr>
          <w:rFonts w:ascii="Calibri" w:eastAsia="Calibri" w:hAnsi="Calibri"/>
          <w:rtl/>
        </w:rPr>
      </w:pPr>
      <w:r w:rsidRPr="00566DB0">
        <w:rPr>
          <w:rFonts w:ascii="Calibri" w:eastAsia="Calibri" w:hAnsi="Calibri" w:hint="cs"/>
          <w:b/>
          <w:bCs/>
          <w:rtl/>
        </w:rPr>
        <w:t xml:space="preserve">הנאשם </w:t>
      </w:r>
      <w:r w:rsidRPr="00A547A4">
        <w:rPr>
          <w:rFonts w:ascii="Calibri" w:eastAsia="Calibri" w:hAnsi="Calibri" w:hint="cs"/>
          <w:rtl/>
        </w:rPr>
        <w:t>בדברו האחרון, ביקש את רחמי בי המשפט בעת גזירת דינו ואף הביע את חרטתו וצערו בגין מעשיו אלו.</w:t>
      </w:r>
    </w:p>
    <w:p w14:paraId="3145567F" w14:textId="77777777" w:rsidR="00DE41AB" w:rsidRPr="00566DB0" w:rsidRDefault="00DE41AB" w:rsidP="00DE41AB">
      <w:pPr>
        <w:spacing w:after="160" w:line="360" w:lineRule="auto"/>
        <w:jc w:val="both"/>
        <w:rPr>
          <w:rFonts w:ascii="Calibri" w:eastAsia="Calibri" w:hAnsi="Calibri"/>
          <w:rtl/>
        </w:rPr>
      </w:pPr>
    </w:p>
    <w:p w14:paraId="4C1411D0" w14:textId="77777777" w:rsidR="00DE41AB" w:rsidRPr="00566DB0" w:rsidRDefault="00DE41AB" w:rsidP="00DE41AB">
      <w:pPr>
        <w:spacing w:after="160" w:line="360" w:lineRule="auto"/>
        <w:jc w:val="both"/>
        <w:rPr>
          <w:rFonts w:ascii="Calibri" w:eastAsia="Calibri" w:hAnsi="Calibri"/>
          <w:b/>
          <w:bCs/>
          <w:u w:val="single"/>
          <w:rtl/>
        </w:rPr>
      </w:pPr>
      <w:r w:rsidRPr="00566DB0">
        <w:rPr>
          <w:rFonts w:ascii="Calibri" w:eastAsia="Calibri" w:hAnsi="Calibri" w:hint="cs"/>
          <w:b/>
          <w:bCs/>
          <w:u w:val="single"/>
          <w:rtl/>
        </w:rPr>
        <w:t>תסקירי שירות המבחן</w:t>
      </w:r>
    </w:p>
    <w:p w14:paraId="38FC43EF"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מהתסקיר עולה כי הנאשם בן כ-45 שנים, נשוי ואב לארבעה ילדים. הוא סיים 12 שנות לימוד על אף קשיים התנהגותיים והיגררותו אחר חברה שלילית, ולאחר מכן שירת שירות צבאי מלא בצה"ל. לדבריו, משפחת מוצאו נורמטיבית ובין בני המשפחה יחסים תומכים. </w:t>
      </w:r>
    </w:p>
    <w:p w14:paraId="40C70CD4"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לאחר הצבא שהה הנאשם בארצות הברית ועבד עם דודו בתחום הסאונד</w:t>
      </w:r>
      <w:r>
        <w:rPr>
          <w:rFonts w:ascii="Calibri" w:eastAsia="Calibri" w:hAnsi="Calibri" w:hint="cs"/>
          <w:rtl/>
        </w:rPr>
        <w:t xml:space="preserve">, או אז </w:t>
      </w:r>
      <w:r w:rsidRPr="00566DB0">
        <w:rPr>
          <w:rFonts w:ascii="Calibri" w:eastAsia="Calibri" w:hAnsi="Calibri" w:hint="cs"/>
          <w:rtl/>
        </w:rPr>
        <w:t xml:space="preserve">החל להמר באופן כרוני. בגיל 22, עם חזרתו ארצה, נישא לאשתו ולהם ארבעה ילדים, בגילאי 10-20. </w:t>
      </w:r>
    </w:p>
    <w:p w14:paraId="2F43F529"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ברקע לביצוע העבירה, משבר ביחסי בני הזוג שהחל לפני כשנתיים, בילוי במועדוני לילה ושימוש בסם מסוג קוקאין, שהפך במהרה לאינטנסיבי ובו מאפייני התמכרות. </w:t>
      </w:r>
    </w:p>
    <w:p w14:paraId="5D20FF0F"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לצד זאת, אין בעברו של הנאשם הרשעות קודמות.</w:t>
      </w:r>
    </w:p>
    <w:p w14:paraId="55E5C222"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קצינת המבחן תיארה כי כאשר הופנה הנאשם לראשונה לשירות המבחן במסגרת תיק המעצר, חווה מצוקה ובושה עמוקה אל מול משפחתו, ולהליך הפלילי אפקט מרתיע ביותר עבורו. </w:t>
      </w:r>
    </w:p>
    <w:p w14:paraId="6A556A77"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מאז מעצרו, שלוש מתוך שש בדיקות לאיתור שרידי סם שמסר הנאשם לשירות המבחן נמצאו חיוביות לסמים מסוג גראס וחשיש, אך הנאשם שלל שימוש בסמים מכל סוג שהוא והסביר כי הוא נוטל בקביעות תרופה נגד צרבת אשר גורמת לתוצאה זו. בהמשך הפסיק ליטול את התרופה ומסר ארבע בדיקות נקיות, אך שירות המבחן ציין כי על פי המידע שבידם, תרופה זו אינה משפיעה על תוצאות הבדיקות באופן הנראה כשימוש בסם.</w:t>
      </w:r>
      <w:r>
        <w:rPr>
          <w:rFonts w:ascii="Calibri" w:eastAsia="Calibri" w:hAnsi="Calibri" w:hint="cs"/>
          <w:rtl/>
        </w:rPr>
        <w:t xml:space="preserve"> כאן המקום לציין כי בדיקות שתן פרטיות, 12 במספר,  אשר הוצגו על ידי הנאשם מלמדות על ניקיונו משימוש בסמים. </w:t>
      </w:r>
    </w:p>
    <w:p w14:paraId="69E24872"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ביחסו לעבירה, הנאשם נטל אחריות להחזקת הסמים, אך הדגיש כי החזיק את הסמים לשימוש עצמי בלבד ולא העביר אותם לאחרים. הנאשם מסר כי מצא בסמים מפלט מהתמודדות עם התסכולים מחיי היום יום, ולדבריו נגרר אחר חברה שלילית לבילויים </w:t>
      </w:r>
      <w:r>
        <w:rPr>
          <w:rFonts w:ascii="Calibri" w:eastAsia="Calibri" w:hAnsi="Calibri" w:hint="cs"/>
          <w:rtl/>
        </w:rPr>
        <w:t xml:space="preserve">אשר </w:t>
      </w:r>
      <w:r w:rsidRPr="00566DB0">
        <w:rPr>
          <w:rFonts w:ascii="Calibri" w:eastAsia="Calibri" w:hAnsi="Calibri" w:hint="cs"/>
          <w:rtl/>
        </w:rPr>
        <w:t>קשורים לשימוש בסמים ואלכוהול לתקופה של כשנה ומחצה.  הנאשם מתייחס לתקופה זו כאפיזודה כחולפת וחש בושה בגינה, וזו עומדת בפער משמעותי ביחס ליציבות ולהצלחה שהנאשם חווה בתחומי חייו השונים.</w:t>
      </w:r>
    </w:p>
    <w:p w14:paraId="290228DD"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על אף התרשמותה של קצינת המבחן כי הנאשם מרוכז בעצמו והתקשה לחשוף קשיים וחולשות גם בפני הקרובים לו, ועל אף נטייתו להתמכרות, סברה כי הוא גילה יכולת טובה להתבוננות על חייו והתנהלותו והביע נכונות לשיתוף פעולה עם הליך טיפולי.  </w:t>
      </w:r>
    </w:p>
    <w:p w14:paraId="52E66BE5"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לפיכך, על אף חומרת העבירה ומורכבות מצבו כיום, ובשל העדר עבר פלילי קודם וקבלת אחריות לעבירה ומסירת בדיקות, המליץ שירות המבחן להימנע מהטלת ענישה מחמירה, ולו גם במאסר בעבודות שירות, שכן זו עלולה לחבל ביציבות התעסוקתית שהשיג אשר משפיעה באופן חיובי על תפקודו המשפחתי ועל תחושת הערך העצמי. קצינת המבחן מסרה </w:t>
      </w:r>
      <w:r>
        <w:rPr>
          <w:rFonts w:ascii="Calibri" w:eastAsia="Calibri" w:hAnsi="Calibri" w:hint="cs"/>
          <w:rtl/>
        </w:rPr>
        <w:t xml:space="preserve">כי </w:t>
      </w:r>
      <w:r w:rsidRPr="00566DB0">
        <w:rPr>
          <w:rFonts w:ascii="Calibri" w:eastAsia="Calibri" w:hAnsi="Calibri" w:hint="cs"/>
          <w:rtl/>
        </w:rPr>
        <w:t xml:space="preserve">הטלת ענישה מוחשית וחינוכית של תרומה לקהילה, באמצעות צו שירות לתועלת הציבור, תתאים במקרה זה, ולפיכך המליצה על צו של"צ בהיקף של 300 שעות, </w:t>
      </w:r>
      <w:r>
        <w:rPr>
          <w:rFonts w:ascii="Calibri" w:eastAsia="Calibri" w:hAnsi="Calibri" w:hint="cs"/>
          <w:rtl/>
        </w:rPr>
        <w:t xml:space="preserve">וזאת </w:t>
      </w:r>
      <w:r w:rsidRPr="00566DB0">
        <w:rPr>
          <w:rFonts w:ascii="Calibri" w:eastAsia="Calibri" w:hAnsi="Calibri" w:hint="cs"/>
          <w:rtl/>
        </w:rPr>
        <w:t xml:space="preserve">לצד צו מבחן למשך שנה, </w:t>
      </w:r>
      <w:r>
        <w:rPr>
          <w:rFonts w:ascii="Calibri" w:eastAsia="Calibri" w:hAnsi="Calibri" w:hint="cs"/>
          <w:rtl/>
        </w:rPr>
        <w:t xml:space="preserve">אשר </w:t>
      </w:r>
      <w:r w:rsidRPr="00566DB0">
        <w:rPr>
          <w:rFonts w:ascii="Calibri" w:eastAsia="Calibri" w:hAnsi="Calibri" w:hint="cs"/>
          <w:rtl/>
        </w:rPr>
        <w:t>במהלכה יעקוב שירות המבחן אחר מצבו ושמירה על יציבות בחייו בין היתר באמצעות מסירת בדיקות נוספות לאיתור סמים וכן עונש מותנה.</w:t>
      </w:r>
    </w:p>
    <w:p w14:paraId="6CC60036"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b/>
          <w:bCs/>
          <w:rtl/>
        </w:rPr>
        <w:t>תסקיר משלים</w:t>
      </w:r>
      <w:r w:rsidRPr="00566DB0">
        <w:rPr>
          <w:rFonts w:ascii="Calibri" w:eastAsia="Calibri" w:hAnsi="Calibri" w:hint="cs"/>
          <w:rtl/>
        </w:rPr>
        <w:t xml:space="preserve"> אשר הוגש ביום 5.2.17 מלמד כי, הנאשם </w:t>
      </w:r>
      <w:r>
        <w:rPr>
          <w:rFonts w:ascii="Calibri" w:eastAsia="Calibri" w:hAnsi="Calibri" w:hint="cs"/>
          <w:rtl/>
        </w:rPr>
        <w:t>המשיך ו</w:t>
      </w:r>
      <w:r w:rsidRPr="00566DB0">
        <w:rPr>
          <w:rFonts w:ascii="Calibri" w:eastAsia="Calibri" w:hAnsi="Calibri" w:hint="cs"/>
          <w:rtl/>
        </w:rPr>
        <w:t>נטל חלק משמעותי בהליך טיפולי הכולל פגישות תכופות, מפגשים טיפוליים ואף מסירת בדיקות שתן אשר נמצאו כולן נקיות משרידי סם. משכך, חוזר שירות המבחן על המלצתו להטיל על הנאשם שירות ארוך לתועלת הציבור, מאסר מותנה וצו מבחן.</w:t>
      </w:r>
    </w:p>
    <w:p w14:paraId="03031786" w14:textId="77777777" w:rsidR="00DE41AB" w:rsidRPr="00566DB0" w:rsidRDefault="00DE41AB" w:rsidP="00DE41AB">
      <w:pPr>
        <w:spacing w:after="160" w:line="360" w:lineRule="auto"/>
        <w:jc w:val="both"/>
        <w:rPr>
          <w:rFonts w:ascii="Calibri" w:eastAsia="Calibri" w:hAnsi="Calibri"/>
          <w:rtl/>
        </w:rPr>
      </w:pPr>
    </w:p>
    <w:p w14:paraId="28AA258E" w14:textId="77777777" w:rsidR="00DE41AB" w:rsidRPr="00566DB0" w:rsidRDefault="00DE41AB" w:rsidP="00DE41AB">
      <w:pPr>
        <w:spacing w:after="160" w:line="360" w:lineRule="auto"/>
        <w:jc w:val="both"/>
        <w:rPr>
          <w:rFonts w:ascii="Calibri" w:eastAsia="Calibri" w:hAnsi="Calibri"/>
          <w:b/>
          <w:bCs/>
          <w:u w:val="single"/>
          <w:rtl/>
        </w:rPr>
      </w:pPr>
      <w:r w:rsidRPr="00566DB0">
        <w:rPr>
          <w:rFonts w:ascii="Calibri" w:eastAsia="Calibri" w:hAnsi="Calibri" w:hint="cs"/>
          <w:b/>
          <w:bCs/>
          <w:u w:val="single"/>
          <w:rtl/>
        </w:rPr>
        <w:t>דיון והכרעה</w:t>
      </w:r>
    </w:p>
    <w:p w14:paraId="226F8312" w14:textId="77777777" w:rsidR="00DE41AB" w:rsidRPr="00566DB0" w:rsidRDefault="00DE41AB" w:rsidP="00DE41AB">
      <w:pPr>
        <w:spacing w:after="160" w:line="360" w:lineRule="auto"/>
        <w:jc w:val="both"/>
        <w:rPr>
          <w:rFonts w:ascii="Calibri" w:eastAsia="Calibri" w:hAnsi="Calibri"/>
          <w:b/>
          <w:bCs/>
          <w:u w:val="single"/>
          <w:rtl/>
        </w:rPr>
      </w:pPr>
      <w:r w:rsidRPr="00566DB0">
        <w:rPr>
          <w:rFonts w:ascii="Calibri" w:eastAsia="Calibri" w:hAnsi="Calibri" w:hint="cs"/>
          <w:b/>
          <w:bCs/>
          <w:u w:val="single"/>
          <w:rtl/>
        </w:rPr>
        <w:t>מתחם העונש ההולם</w:t>
      </w:r>
    </w:p>
    <w:p w14:paraId="2B0402C9"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עבירת החזקת הסם שלא לצריכה עצמית שבה הורשע הנאשם קבועה בפקודת הסמים, בה מוגן הערך החברתי של הגנה על</w:t>
      </w:r>
      <w:r>
        <w:rPr>
          <w:rFonts w:ascii="Calibri" w:eastAsia="Calibri" w:hAnsi="Calibri" w:hint="cs"/>
          <w:rtl/>
        </w:rPr>
        <w:t xml:space="preserve"> החברה ועל פרטיה מפני נגע הסמים</w:t>
      </w:r>
      <w:r w:rsidRPr="00566DB0">
        <w:rPr>
          <w:rFonts w:ascii="Calibri" w:eastAsia="Calibri" w:hAnsi="Calibri" w:hint="cs"/>
          <w:rtl/>
        </w:rPr>
        <w:t xml:space="preserve"> הפושט בחברתנו והורס חלקות רבות וטובות. השימוש בסמים </w:t>
      </w:r>
      <w:r>
        <w:rPr>
          <w:rFonts w:ascii="Calibri" w:eastAsia="Calibri" w:hAnsi="Calibri" w:hint="cs"/>
          <w:rtl/>
        </w:rPr>
        <w:t>יש בו כדי לגרום נזק של ממש ל</w:t>
      </w:r>
      <w:r w:rsidRPr="00566DB0">
        <w:rPr>
          <w:rFonts w:ascii="Calibri" w:eastAsia="Calibri" w:hAnsi="Calibri" w:hint="cs"/>
          <w:rtl/>
        </w:rPr>
        <w:t>חיי המשתמשים בהם ו</w:t>
      </w:r>
      <w:r>
        <w:rPr>
          <w:rFonts w:ascii="Calibri" w:eastAsia="Calibri" w:hAnsi="Calibri" w:hint="cs"/>
          <w:rtl/>
        </w:rPr>
        <w:t>לה</w:t>
      </w:r>
      <w:r w:rsidRPr="00566DB0">
        <w:rPr>
          <w:rFonts w:ascii="Calibri" w:eastAsia="Calibri" w:hAnsi="Calibri" w:hint="cs"/>
          <w:rtl/>
        </w:rPr>
        <w:t xml:space="preserve">חריב </w:t>
      </w:r>
      <w:r>
        <w:rPr>
          <w:rFonts w:ascii="Calibri" w:eastAsia="Calibri" w:hAnsi="Calibri" w:hint="cs"/>
          <w:rtl/>
        </w:rPr>
        <w:t>אף</w:t>
      </w:r>
      <w:r w:rsidRPr="00566DB0">
        <w:rPr>
          <w:rFonts w:ascii="Calibri" w:eastAsia="Calibri" w:hAnsi="Calibri" w:hint="cs"/>
          <w:rtl/>
        </w:rPr>
        <w:t xml:space="preserve"> את חיי משפחותיהם, אשר לנגד עיניהן צופות ביקיריהן נופלים קורבן לסם, ונגררים בעקבותיו לא אחת גם לפשע ועבריינות הנלווים לשימוש פעמים רבות. בריאות הגוף והנפש של המשתמשים בסם – נפגעת גם היא.</w:t>
      </w:r>
    </w:p>
    <w:p w14:paraId="53EBAA2A"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כל עבירת סם היא חמורה מעצם השימוש בחומרים מסוכנים אלה, אך בעבירות שבהן מדובר בהחזקה שלא לצריכה עצמית, ואף לסחר- החומרה רבה אף יותר. חומרתן של עבירות אלה בכך, שהן המאפשרות את הפצת הסם והתפשטותו בחברה, ולפיכך על בית המשפט לתרום את חלקו במלחמה הציבורית בסמים, בדרך של ענישה מחמירה ומרתיעה</w:t>
      </w:r>
      <w:r w:rsidRPr="00566DB0">
        <w:rPr>
          <w:rFonts w:ascii="Calibri" w:eastAsia="Calibri" w:hAnsi="Calibri" w:hint="cs"/>
          <w:b/>
          <w:bCs/>
          <w:rtl/>
        </w:rPr>
        <w:t xml:space="preserve">, </w:t>
      </w:r>
      <w:r w:rsidRPr="00566DB0">
        <w:rPr>
          <w:rFonts w:ascii="Calibri" w:eastAsia="Calibri" w:hAnsi="Calibri" w:hint="cs"/>
          <w:rtl/>
        </w:rPr>
        <w:t xml:space="preserve">כפי שנפסק בבית המשפט העליון לא אחת: </w:t>
      </w:r>
    </w:p>
    <w:p w14:paraId="12EC0299" w14:textId="77777777" w:rsidR="00DE41AB" w:rsidRPr="00566DB0" w:rsidRDefault="00DE41AB" w:rsidP="00DE41AB">
      <w:pPr>
        <w:spacing w:after="160" w:line="360" w:lineRule="auto"/>
        <w:ind w:left="720" w:right="709"/>
        <w:jc w:val="both"/>
        <w:rPr>
          <w:rFonts w:ascii="Calibri" w:eastAsia="Calibri" w:hAnsi="Calibri"/>
          <w:rtl/>
        </w:rPr>
      </w:pPr>
      <w:r w:rsidRPr="00566DB0">
        <w:rPr>
          <w:rFonts w:ascii="Calibri" w:eastAsia="Calibri" w:hAnsi="Calibri" w:hint="cs"/>
          <w:b/>
          <w:bCs/>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קרי: למשולבים במערך ההפצה- מכוון לקבוע בהכרת הכל את החומרה היתירה שאנו מייחסים להפצת הסמים, ולהתריע עבריינים בכוח מלשלוח ידם בפעילות ההפצה. שתי תכליות מרכזיות אלו ניתן להשיג רק על ידי הטלת עונשים חמורים' (</w:t>
      </w:r>
      <w:hyperlink r:id="rId18" w:history="1">
        <w:r w:rsidR="002A2E10" w:rsidRPr="002A2E10">
          <w:rPr>
            <w:rFonts w:ascii="Calibri" w:eastAsia="Calibri" w:hAnsi="Calibri" w:hint="cs"/>
            <w:b/>
            <w:bCs/>
            <w:color w:val="0000FF"/>
            <w:u w:val="single"/>
            <w:rtl/>
          </w:rPr>
          <w:t>ע</w:t>
        </w:r>
        <w:r w:rsidR="002A2E10" w:rsidRPr="002A2E10">
          <w:rPr>
            <w:rFonts w:ascii="Calibri" w:eastAsia="Calibri" w:hAnsi="Calibri"/>
            <w:b/>
            <w:bCs/>
            <w:color w:val="0000FF"/>
            <w:u w:val="single"/>
            <w:rtl/>
          </w:rPr>
          <w:t>"</w:t>
        </w:r>
        <w:r w:rsidR="002A2E10" w:rsidRPr="002A2E10">
          <w:rPr>
            <w:rFonts w:ascii="Calibri" w:eastAsia="Calibri" w:hAnsi="Calibri" w:hint="cs"/>
            <w:b/>
            <w:bCs/>
            <w:color w:val="0000FF"/>
            <w:u w:val="single"/>
            <w:rtl/>
          </w:rPr>
          <w:t>פ</w:t>
        </w:r>
        <w:r w:rsidR="002A2E10" w:rsidRPr="002A2E10">
          <w:rPr>
            <w:rFonts w:ascii="Calibri" w:eastAsia="Calibri" w:hAnsi="Calibri"/>
            <w:b/>
            <w:bCs/>
            <w:color w:val="0000FF"/>
            <w:u w:val="single"/>
            <w:rtl/>
          </w:rPr>
          <w:t xml:space="preserve"> 966/94</w:t>
        </w:r>
      </w:hyperlink>
      <w:r w:rsidRPr="00566DB0">
        <w:rPr>
          <w:rFonts w:ascii="Calibri" w:eastAsia="Calibri" w:hAnsi="Calibri" w:hint="cs"/>
          <w:b/>
          <w:bCs/>
          <w:rtl/>
        </w:rPr>
        <w:t xml:space="preserve"> אמזלג נ' מדינת ישראל </w:t>
      </w:r>
      <w:r w:rsidR="00BF275D" w:rsidRPr="00BF275D">
        <w:rPr>
          <w:rFonts w:eastAsia="Calibri"/>
          <w:sz w:val="22"/>
          <w:rtl/>
        </w:rPr>
        <w:t>[</w:t>
      </w:r>
      <w:r w:rsidR="00BF275D" w:rsidRPr="00BF275D">
        <w:rPr>
          <w:rFonts w:eastAsia="Calibri" w:hint="cs"/>
          <w:sz w:val="22"/>
          <w:rtl/>
        </w:rPr>
        <w:t>פורסם</w:t>
      </w:r>
      <w:r w:rsidR="00BF275D" w:rsidRPr="00BF275D">
        <w:rPr>
          <w:rFonts w:eastAsia="Calibri"/>
          <w:sz w:val="22"/>
          <w:rtl/>
        </w:rPr>
        <w:t xml:space="preserve"> </w:t>
      </w:r>
      <w:r w:rsidR="00BF275D" w:rsidRPr="00BF275D">
        <w:rPr>
          <w:rFonts w:eastAsia="Calibri" w:hint="cs"/>
          <w:sz w:val="22"/>
          <w:rtl/>
        </w:rPr>
        <w:t>בנבו</w:t>
      </w:r>
      <w:r w:rsidR="00BF275D" w:rsidRPr="00BF275D">
        <w:rPr>
          <w:rFonts w:eastAsia="Calibri"/>
          <w:sz w:val="22"/>
          <w:rtl/>
        </w:rPr>
        <w:t xml:space="preserve">] </w:t>
      </w:r>
      <w:r w:rsidRPr="00566DB0">
        <w:rPr>
          <w:rFonts w:ascii="Calibri" w:eastAsia="Calibri" w:hAnsi="Calibri" w:hint="cs"/>
          <w:b/>
          <w:bCs/>
          <w:rtl/>
        </w:rPr>
        <w:t xml:space="preserve">(12.12.1995)" </w:t>
      </w:r>
      <w:r w:rsidRPr="00566DB0">
        <w:rPr>
          <w:rFonts w:ascii="Calibri" w:eastAsia="Calibri" w:hAnsi="Calibri" w:hint="cs"/>
          <w:rtl/>
        </w:rPr>
        <w:t>(</w:t>
      </w:r>
      <w:hyperlink r:id="rId19" w:history="1">
        <w:r w:rsidR="002A2E10" w:rsidRPr="002A2E10">
          <w:rPr>
            <w:rFonts w:ascii="Calibri" w:eastAsia="Calibri" w:hAnsi="Calibri" w:hint="cs"/>
            <w:color w:val="0000FF"/>
            <w:u w:val="single"/>
            <w:rtl/>
          </w:rPr>
          <w:t>ע</w:t>
        </w:r>
        <w:r w:rsidR="002A2E10" w:rsidRPr="002A2E10">
          <w:rPr>
            <w:rFonts w:ascii="Calibri" w:eastAsia="Calibri" w:hAnsi="Calibri"/>
            <w:color w:val="0000FF"/>
            <w:u w:val="single"/>
            <w:rtl/>
          </w:rPr>
          <w:t>"</w:t>
        </w:r>
        <w:r w:rsidR="002A2E10" w:rsidRPr="002A2E10">
          <w:rPr>
            <w:rFonts w:ascii="Calibri" w:eastAsia="Calibri" w:hAnsi="Calibri" w:hint="cs"/>
            <w:color w:val="0000FF"/>
            <w:u w:val="single"/>
            <w:rtl/>
          </w:rPr>
          <w:t>פ</w:t>
        </w:r>
        <w:r w:rsidR="002A2E10" w:rsidRPr="002A2E10">
          <w:rPr>
            <w:rFonts w:ascii="Calibri" w:eastAsia="Calibri" w:hAnsi="Calibri"/>
            <w:color w:val="0000FF"/>
            <w:u w:val="single"/>
            <w:rtl/>
          </w:rPr>
          <w:t xml:space="preserve"> 9482/09</w:t>
        </w:r>
      </w:hyperlink>
      <w:r w:rsidRPr="00566DB0">
        <w:rPr>
          <w:rFonts w:ascii="Calibri" w:eastAsia="Calibri" w:hAnsi="Calibri" w:hint="cs"/>
          <w:b/>
          <w:bCs/>
          <w:rtl/>
        </w:rPr>
        <w:t xml:space="preserve"> ביטון נ' מדינת ישראל, </w:t>
      </w:r>
      <w:r w:rsidRPr="00566DB0">
        <w:rPr>
          <w:rFonts w:ascii="Calibri" w:eastAsia="Calibri" w:hAnsi="Calibri" w:hint="cs"/>
          <w:rtl/>
        </w:rPr>
        <w:t xml:space="preserve">פסקה 24 לפסק הדין מיום 24.7.11, פורסם בנבו). </w:t>
      </w:r>
    </w:p>
    <w:p w14:paraId="032C6C4C"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מן הערך המוגן בעבירות אלה, אל הנסיבות המיוחדות של ביצוע העבירה; הנאשם שלפניי עסק במכירת בשר בקצביה שהפעיל, ובכך עסק מזה שנים מספר, כפי שעלה מתסקיר שירות המבחן. בחיפוש שנערך בקצביה שבבעלותו, נמצא הסם המסוכן. </w:t>
      </w:r>
    </w:p>
    <w:p w14:paraId="5A434260"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על אף שכמות הסם היא כזו אשר הצדיקה העמדתו לדין בעבירה של החזקה שלא לשימוש עצמי, הרי שלא היה בנסיבות הקיימות להראות כי הנאשם עשה מעשה כלשהו על מנת לסחור בסם ולהעבירו לאחרים, בין תמורת תשלום, בין חינם אין כסף. הנסיבות אינן מלמדות על תחכום או תכנון שהנאשם נהג בהם, וניכר כי כפי שהסכימו הצדדים וקראו לתוך כתב האישום, הסיבה שהובילה את הנאשם לביצוע העבירה היא המשבר האישי בחיי נישואיו והתדרדרותו לסמים בעקבות כך.</w:t>
      </w:r>
    </w:p>
    <w:p w14:paraId="61564181" w14:textId="77777777" w:rsidR="00DE41AB"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מכאן שמכלל הנסיבות שלפניי עולה כי בשונה ממקרים אחרים המאפיינים עבירות אלה בדרך כלל, הנאשם שלפניי איננו חלק ממעגל הסמים, הוא איננו רגיל ובקיא בעולם זה, והוא לא פעל בנסיבות אלה כדי להכשיל אחרים בסם, להפיצו או מתוך בצע כסף. זאת נאמר כמובן, מבלי להקל במעשה החמור שביצע הנאשם. </w:t>
      </w:r>
    </w:p>
    <w:p w14:paraId="451BE088" w14:textId="77777777" w:rsidR="00DE41AB" w:rsidRDefault="00DE41AB" w:rsidP="00DE41AB">
      <w:pPr>
        <w:spacing w:after="160" w:line="360" w:lineRule="auto"/>
        <w:jc w:val="both"/>
        <w:rPr>
          <w:rFonts w:ascii="Calibri" w:eastAsia="Calibri" w:hAnsi="Calibri"/>
          <w:rtl/>
        </w:rPr>
      </w:pPr>
    </w:p>
    <w:p w14:paraId="5981A61C"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וכאן יש מקום להערה נוספת.</w:t>
      </w:r>
    </w:p>
    <w:p w14:paraId="5DCE5ECE"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מידת האשם הינה אמת מידה חשובה ומשמעותית בכל הכרוך בקביעת מתחם הענישה ההולם. במקרה דנן, נתפס הסם המסוכן במשרדו של הנאשם בקצביה אשר בבעלותו. עובדה מוסכמת היא, כי הנאשם החל להשתמש בקוקאין עקב משבר אישי אשר נבע מגירושיו.</w:t>
      </w:r>
    </w:p>
    <w:p w14:paraId="5117EE7C"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הסם נתפס במקום שאינו מקום מחבוא קלאסי, והוא נ</w:t>
      </w:r>
      <w:r>
        <w:rPr>
          <w:rFonts w:ascii="Calibri" w:eastAsia="Calibri" w:hAnsi="Calibri" w:hint="cs"/>
          <w:rtl/>
        </w:rPr>
        <w:t>מצא</w:t>
      </w:r>
      <w:r w:rsidRPr="00566DB0">
        <w:rPr>
          <w:rFonts w:ascii="Calibri" w:eastAsia="Calibri" w:hAnsi="Calibri" w:hint="cs"/>
          <w:rtl/>
        </w:rPr>
        <w:t xml:space="preserve"> בחבילה אחת ולא כאשר הוא מחולק ו/או ארוז באופן המלמד כי הוא עתיד לעבור ללקוחות</w:t>
      </w:r>
      <w:r>
        <w:rPr>
          <w:rFonts w:ascii="Calibri" w:eastAsia="Calibri" w:hAnsi="Calibri" w:hint="cs"/>
          <w:rtl/>
        </w:rPr>
        <w:t xml:space="preserve"> פוטנציאליים</w:t>
      </w:r>
      <w:r w:rsidRPr="00566DB0">
        <w:rPr>
          <w:rFonts w:ascii="Calibri" w:eastAsia="Calibri" w:hAnsi="Calibri" w:hint="cs"/>
          <w:rtl/>
        </w:rPr>
        <w:t xml:space="preserve"> ואופי החזקתו הינה מסחרית.</w:t>
      </w:r>
    </w:p>
    <w:p w14:paraId="1E24E93C" w14:textId="77777777" w:rsidR="00DE41AB" w:rsidRDefault="00DE41AB" w:rsidP="00DE41AB">
      <w:pPr>
        <w:spacing w:after="160" w:line="360" w:lineRule="auto"/>
        <w:jc w:val="both"/>
        <w:rPr>
          <w:rFonts w:ascii="Calibri" w:eastAsia="Calibri" w:hAnsi="Calibri"/>
          <w:rtl/>
        </w:rPr>
      </w:pPr>
      <w:r w:rsidRPr="00566DB0">
        <w:rPr>
          <w:rFonts w:ascii="Calibri" w:eastAsia="Calibri" w:hAnsi="Calibri" w:hint="cs"/>
          <w:rtl/>
        </w:rPr>
        <w:t>אז</w:t>
      </w:r>
      <w:r>
        <w:rPr>
          <w:rFonts w:ascii="Calibri" w:eastAsia="Calibri" w:hAnsi="Calibri" w:hint="cs"/>
          <w:rtl/>
        </w:rPr>
        <w:t xml:space="preserve">, אם כן, </w:t>
      </w:r>
      <w:r w:rsidRPr="00566DB0">
        <w:rPr>
          <w:rFonts w:ascii="Calibri" w:eastAsia="Calibri" w:hAnsi="Calibri" w:hint="cs"/>
          <w:rtl/>
        </w:rPr>
        <w:t xml:space="preserve"> עם מה נותרנו? </w:t>
      </w:r>
    </w:p>
    <w:p w14:paraId="091462A4"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עם חזקה שבחוק המלמדת כי החזקת סם בכמות העולה על 0.3 גרם יוצרת </w:t>
      </w:r>
      <w:r>
        <w:rPr>
          <w:rFonts w:ascii="Calibri" w:eastAsia="Calibri" w:hAnsi="Calibri" w:hint="cs"/>
          <w:rtl/>
        </w:rPr>
        <w:t>מציאות</w:t>
      </w:r>
      <w:r w:rsidRPr="00566DB0">
        <w:rPr>
          <w:rFonts w:ascii="Calibri" w:eastAsia="Calibri" w:hAnsi="Calibri" w:hint="cs"/>
          <w:rtl/>
        </w:rPr>
        <w:t xml:space="preserve"> משפטית לפיה הסם הוחזק שלא לצריכה עצמית. ודוק, המחוקק אינו קובע כי המטרה אשר לשמה הוחזק הסם הינה סחר או קיום עסקאות אחרות בסם, אלא רק הגדרה על דרך השלילה – "</w:t>
      </w:r>
      <w:r w:rsidRPr="00566DB0">
        <w:rPr>
          <w:rFonts w:ascii="Calibri" w:eastAsia="Calibri" w:hAnsi="Calibri" w:hint="cs"/>
          <w:b/>
          <w:bCs/>
          <w:u w:val="single"/>
          <w:rtl/>
        </w:rPr>
        <w:t>שלא</w:t>
      </w:r>
      <w:r w:rsidRPr="00566DB0">
        <w:rPr>
          <w:rFonts w:ascii="Calibri" w:eastAsia="Calibri" w:hAnsi="Calibri" w:hint="cs"/>
          <w:rtl/>
        </w:rPr>
        <w:t xml:space="preserve"> לצריכה עצמית", היינו, מי שמחזיק סם מסוכן בכמות העולה על 0.3 גרם יונח כי לא התכוון לעשות כן לצורך שימוש בסם. הא ותו לא.</w:t>
      </w:r>
    </w:p>
    <w:p w14:paraId="6E18D7C3" w14:textId="77777777" w:rsidR="00DE41AB" w:rsidRDefault="00DE41AB" w:rsidP="00DE41AB">
      <w:pPr>
        <w:spacing w:after="160" w:line="360" w:lineRule="auto"/>
        <w:jc w:val="both"/>
        <w:rPr>
          <w:rFonts w:ascii="Calibri" w:eastAsia="Calibri" w:hAnsi="Calibri"/>
          <w:rtl/>
        </w:rPr>
      </w:pPr>
      <w:r w:rsidRPr="00566DB0">
        <w:rPr>
          <w:rFonts w:ascii="Calibri" w:eastAsia="Calibri" w:hAnsi="Calibri" w:hint="cs"/>
          <w:rtl/>
        </w:rPr>
        <w:t>חזקה חוקית זו כבודה במקומה מונח, אולם היא יוצרת רמת אשמה "ר</w:t>
      </w:r>
      <w:r>
        <w:rPr>
          <w:rFonts w:ascii="Calibri" w:eastAsia="Calibri" w:hAnsi="Calibri" w:hint="cs"/>
          <w:rtl/>
        </w:rPr>
        <w:t>י</w:t>
      </w:r>
      <w:r w:rsidRPr="00566DB0">
        <w:rPr>
          <w:rFonts w:ascii="Calibri" w:eastAsia="Calibri" w:hAnsi="Calibri" w:hint="cs"/>
          <w:rtl/>
        </w:rPr>
        <w:t>שמית" ולא מוכחת, רוצה לומר, גם בעת שחזקה זו קיימת, הרי שיש להניח לזכותו של הנאשם, כנהוג במשפט פלילי, כי רמת האשמה המוטלת לפתחו הינה נמוכה</w:t>
      </w:r>
      <w:r>
        <w:rPr>
          <w:rFonts w:ascii="Calibri" w:eastAsia="Calibri" w:hAnsi="Calibri" w:hint="cs"/>
          <w:rtl/>
        </w:rPr>
        <w:t>, ככל שקיימים מספר מדרגי חומרה בהחזקתו של סם שלא לצריכה עצמית</w:t>
      </w:r>
      <w:r w:rsidRPr="00566DB0">
        <w:rPr>
          <w:rFonts w:ascii="Calibri" w:eastAsia="Calibri" w:hAnsi="Calibri" w:hint="cs"/>
          <w:rtl/>
        </w:rPr>
        <w:t>.</w:t>
      </w:r>
      <w:r>
        <w:rPr>
          <w:rFonts w:ascii="Calibri" w:eastAsia="Calibri" w:hAnsi="Calibri" w:hint="cs"/>
          <w:rtl/>
        </w:rPr>
        <w:t xml:space="preserve"> רוצה לומר, יש מי שמחזיק סם שלא לצריכה עצמית ומטרתו היא לסחור בו ולהפיצו, ויש מי שעושה כן ומטרתו היא להשתמש בסם יחד עם חבריו הקרובים וליתן להם אותו ללא תמורה. זה מחזיק וזה מחזיק, אלא שזה סוחר של ממש, והשני מצוי במקום אחר וצדדי, קרוב יותר לזה המחזיק כמות העולה כדי שימוש עצמי בסם מסוכן. זה מצוי בתחום הפלילי ואף חברו, אלא שזה נעוץ בו עמוק, והשני אך נוגע בפליליות הכרוכה במעשיו.</w:t>
      </w:r>
    </w:p>
    <w:p w14:paraId="4A1A37CB" w14:textId="77777777" w:rsidR="00DE41AB" w:rsidRPr="00566DB0" w:rsidRDefault="00DE41AB" w:rsidP="00DE41AB">
      <w:pPr>
        <w:spacing w:after="160" w:line="360" w:lineRule="auto"/>
        <w:jc w:val="both"/>
        <w:rPr>
          <w:rFonts w:ascii="Calibri" w:eastAsia="Calibri" w:hAnsi="Calibri"/>
          <w:rtl/>
        </w:rPr>
      </w:pPr>
      <w:r>
        <w:rPr>
          <w:rFonts w:ascii="Calibri" w:eastAsia="Calibri" w:hAnsi="Calibri" w:hint="cs"/>
          <w:rtl/>
        </w:rPr>
        <w:t>עניין זה אף עולה ביתר שאת מדברי הצדדים לפרוטוקול הדיון מיום 26.2.17, לפיהם ישנה סתירה פנימית מסויימת בין סעיף החיקוק (בו נתלית המאשימה בטיעוניה), לבין נסיבות העבירה (בהן נתלה הסניגור המלומד).</w:t>
      </w:r>
    </w:p>
    <w:p w14:paraId="6ADB4C92" w14:textId="77777777" w:rsidR="00DE41AB" w:rsidRPr="00566DB0" w:rsidRDefault="00DE41AB" w:rsidP="00DE41AB">
      <w:pPr>
        <w:spacing w:after="160" w:line="360" w:lineRule="auto"/>
        <w:jc w:val="both"/>
        <w:rPr>
          <w:rFonts w:ascii="Calibri" w:eastAsia="Calibri" w:hAnsi="Calibri"/>
          <w:b/>
          <w:bCs/>
          <w:rtl/>
        </w:rPr>
      </w:pPr>
      <w:r w:rsidRPr="00566DB0">
        <w:rPr>
          <w:rFonts w:ascii="Calibri" w:eastAsia="Calibri" w:hAnsi="Calibri" w:hint="cs"/>
          <w:rtl/>
        </w:rPr>
        <w:t>כמצוות תיקון 113 ל</w:t>
      </w:r>
      <w:hyperlink r:id="rId20" w:history="1">
        <w:r w:rsidR="002A2E10" w:rsidRPr="002A2E10">
          <w:rPr>
            <w:rFonts w:ascii="Calibri" w:eastAsia="Calibri" w:hAnsi="Calibri" w:hint="cs"/>
            <w:color w:val="0000FF"/>
            <w:u w:val="single"/>
            <w:rtl/>
          </w:rPr>
          <w:t>חוק</w:t>
        </w:r>
        <w:r w:rsidR="002A2E10" w:rsidRPr="002A2E10">
          <w:rPr>
            <w:rFonts w:ascii="Calibri" w:eastAsia="Calibri" w:hAnsi="Calibri"/>
            <w:color w:val="0000FF"/>
            <w:u w:val="single"/>
            <w:rtl/>
          </w:rPr>
          <w:t xml:space="preserve"> </w:t>
        </w:r>
        <w:r w:rsidR="002A2E10" w:rsidRPr="002A2E10">
          <w:rPr>
            <w:rFonts w:ascii="Calibri" w:eastAsia="Calibri" w:hAnsi="Calibri" w:hint="cs"/>
            <w:color w:val="0000FF"/>
            <w:u w:val="single"/>
            <w:rtl/>
          </w:rPr>
          <w:t>העונשין</w:t>
        </w:r>
      </w:hyperlink>
      <w:r w:rsidRPr="00566DB0">
        <w:rPr>
          <w:rFonts w:ascii="Calibri" w:eastAsia="Calibri" w:hAnsi="Calibri" w:hint="cs"/>
          <w:rtl/>
        </w:rPr>
        <w:t xml:space="preserve">, התשל"ז-1977, לאחר בחינת הערך המוגן, מידת הפגיעה בו, מידת האשמה ונסיבות ביצוע העבירה והענישה הנוהגת בפסיקה, נחה דעתי כי </w:t>
      </w:r>
      <w:r w:rsidRPr="00566DB0">
        <w:rPr>
          <w:rFonts w:ascii="Calibri" w:eastAsia="Calibri" w:hAnsi="Calibri" w:hint="cs"/>
          <w:b/>
          <w:bCs/>
          <w:rtl/>
        </w:rPr>
        <w:t>מתחם הענישה ההולם במקרה זה נע בין עונש מאסר</w:t>
      </w:r>
      <w:r>
        <w:rPr>
          <w:rFonts w:ascii="Calibri" w:eastAsia="Calibri" w:hAnsi="Calibri" w:hint="cs"/>
          <w:b/>
          <w:bCs/>
          <w:rtl/>
        </w:rPr>
        <w:t xml:space="preserve"> בן 8  חודשים</w:t>
      </w:r>
      <w:r w:rsidRPr="00566DB0">
        <w:rPr>
          <w:rFonts w:ascii="Calibri" w:eastAsia="Calibri" w:hAnsi="Calibri" w:hint="cs"/>
          <w:b/>
          <w:bCs/>
          <w:rtl/>
        </w:rPr>
        <w:t xml:space="preserve"> ועד מאסר לריצוי בפועל למשך 18 חודשים. </w:t>
      </w:r>
    </w:p>
    <w:p w14:paraId="7A157778" w14:textId="77777777" w:rsidR="00DE41AB" w:rsidRPr="00566DB0" w:rsidRDefault="00DE41AB" w:rsidP="00DE41AB">
      <w:pPr>
        <w:spacing w:after="160" w:line="360" w:lineRule="auto"/>
        <w:jc w:val="both"/>
        <w:rPr>
          <w:rFonts w:ascii="Calibri" w:eastAsia="Calibri" w:hAnsi="Calibri"/>
          <w:b/>
          <w:bCs/>
          <w:rtl/>
        </w:rPr>
      </w:pPr>
    </w:p>
    <w:p w14:paraId="24952F4E" w14:textId="77777777" w:rsidR="00DE41AB" w:rsidRPr="00566DB0" w:rsidRDefault="00DE41AB" w:rsidP="00DE41AB">
      <w:pPr>
        <w:spacing w:after="160" w:line="360" w:lineRule="auto"/>
        <w:jc w:val="both"/>
        <w:rPr>
          <w:rFonts w:ascii="Calibri" w:eastAsia="Calibri" w:hAnsi="Calibri"/>
          <w:b/>
          <w:bCs/>
          <w:u w:val="single"/>
          <w:rtl/>
        </w:rPr>
      </w:pPr>
      <w:r w:rsidRPr="00566DB0">
        <w:rPr>
          <w:rFonts w:ascii="Calibri" w:eastAsia="Calibri" w:hAnsi="Calibri" w:hint="cs"/>
          <w:b/>
          <w:bCs/>
          <w:u w:val="single"/>
          <w:rtl/>
        </w:rPr>
        <w:t>העונש המתאים</w:t>
      </w:r>
    </w:p>
    <w:p w14:paraId="0A448ECB"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הנאשם, יליד שנת 1971, בן כ-45 שנים כיום, נשוי ואב לארבעה ילדים. למחייתו עוסק כעצמאי בתחום הבשר ומצליח בתחומו. אורחות חייו של הנאשם נורמטיביים בדרך כלל, הוא עסוק בעבודתו ובחיי משפחתו, וזוהי לו הסתבכות יחידה עם הדין הפלילי.</w:t>
      </w:r>
    </w:p>
    <w:p w14:paraId="0326B1DB"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הנאשם שיתף פעולה עם רשויות החוק, הודה בעבירות המיוחסות לו וחסך את הצורך בניהול הוכחות, ובכך גילה נטילת אחריות על מעשה העבירה.</w:t>
      </w:r>
    </w:p>
    <w:p w14:paraId="7E81C332"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הנאשם נושא באחריות לעבירה שביצע, תוך שהוא עומד על כך שרכש את הסמים לשימוש עצמי בלבד. תחושותיו של הנאשם לנוכח סטייתו מדרך הישרה ומעורבותו בפלילים ובהליך המשפטי- קשות ביותר. לראשונה בחייו התדרדר לשימוש בסם, לעבירה על החוק ולהליכים המשפטיים הנלווים לו, בהם מעצר ושירות המבחן התרשם כי ההליך המשפטי מהווה גורם מרתיע ומשמעותי לנאשם, והוא שיתף פעולה באופן מלא עם שירות המבחן  לאורך תקופת האבחון. </w:t>
      </w:r>
    </w:p>
    <w:p w14:paraId="532A4E8D"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אשר לשימוש בסמים כיום, הוגשו לעיוני בדיקות שתן </w:t>
      </w:r>
      <w:r>
        <w:rPr>
          <w:rFonts w:ascii="Calibri" w:eastAsia="Calibri" w:hAnsi="Calibri" w:hint="cs"/>
          <w:rtl/>
        </w:rPr>
        <w:t xml:space="preserve">אשר </w:t>
      </w:r>
      <w:r w:rsidRPr="00566DB0">
        <w:rPr>
          <w:rFonts w:ascii="Calibri" w:eastAsia="Calibri" w:hAnsi="Calibri" w:hint="cs"/>
          <w:rtl/>
        </w:rPr>
        <w:t>ערך הנאשם באופן פרטי וכן ממצאי שירות המבחן אשר מלמדים על כך שאינו משתמש בסמים.</w:t>
      </w:r>
      <w:r>
        <w:rPr>
          <w:rFonts w:ascii="Calibri" w:eastAsia="Calibri" w:hAnsi="Calibri" w:hint="cs"/>
          <w:rtl/>
        </w:rPr>
        <w:t xml:space="preserve"> אכן, מספר בדיקות שתן נמצאו "מלוכלכות" אולם הסבריו של הנאשם לא נסתרו, וחשוב מכל </w:t>
      </w:r>
      <w:r>
        <w:rPr>
          <w:rFonts w:ascii="Calibri" w:eastAsia="Calibri" w:hAnsi="Calibri"/>
          <w:rtl/>
        </w:rPr>
        <w:t>–</w:t>
      </w:r>
      <w:r>
        <w:rPr>
          <w:rFonts w:ascii="Calibri" w:eastAsia="Calibri" w:hAnsi="Calibri" w:hint="cs"/>
          <w:rtl/>
        </w:rPr>
        <w:t xml:space="preserve"> אין מחלוקת כי 12 בדיקות שתן עוקבות הביאו לכדי תוצאה ברורה וחד משמעית </w:t>
      </w:r>
      <w:r>
        <w:rPr>
          <w:rFonts w:ascii="Calibri" w:eastAsia="Calibri" w:hAnsi="Calibri"/>
          <w:rtl/>
        </w:rPr>
        <w:t>–</w:t>
      </w:r>
      <w:r>
        <w:rPr>
          <w:rFonts w:ascii="Calibri" w:eastAsia="Calibri" w:hAnsi="Calibri" w:hint="cs"/>
          <w:rtl/>
        </w:rPr>
        <w:t xml:space="preserve"> הנאשם דנן אינו משתמש עוד בסמים </w:t>
      </w:r>
      <w:r>
        <w:rPr>
          <w:rFonts w:ascii="Calibri" w:eastAsia="Calibri" w:hAnsi="Calibri"/>
          <w:rtl/>
        </w:rPr>
        <w:t>–</w:t>
      </w:r>
      <w:r>
        <w:rPr>
          <w:rFonts w:ascii="Calibri" w:eastAsia="Calibri" w:hAnsi="Calibri" w:hint="cs"/>
          <w:rtl/>
        </w:rPr>
        <w:t xml:space="preserve"> לא בחשיש ואף לא בקוקאין.</w:t>
      </w:r>
    </w:p>
    <w:p w14:paraId="19144BAB"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כפי שהתרשם שירות המבחן, מצבו של הנאשם היה מורכב</w:t>
      </w:r>
      <w:r>
        <w:rPr>
          <w:rFonts w:ascii="Calibri" w:eastAsia="Calibri" w:hAnsi="Calibri" w:hint="cs"/>
          <w:rtl/>
        </w:rPr>
        <w:t>,</w:t>
      </w:r>
      <w:r w:rsidRPr="00566DB0">
        <w:rPr>
          <w:rFonts w:ascii="Calibri" w:eastAsia="Calibri" w:hAnsi="Calibri" w:hint="cs"/>
          <w:rtl/>
        </w:rPr>
        <w:t xml:space="preserve"> אך כיום חלה התייצבות באורחות חייו. מדובר באדם נורמטיבי, אשר נקלע והתדרדר לסמים על רקע משבר בחיי הנישואים, אך מאז עבר תהליך וערך שינוי וחזר והתייצב הן מבחינה משפחתית והן מבחינה תעסוקתית. כיום הוא מנהל את חייו באופן תקין, והוא חווה סיפוק הן מתפקודו במשפחה והן מתפקודו התעסוקתי והוא נכון להמשיך לנהל את חייו באורח זה. </w:t>
      </w:r>
    </w:p>
    <w:p w14:paraId="3AA7ADCC"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הנאשם ביצע את העבירה לפני כשנתיים, בשנת 2014. מדובר במעידה חד פעמית בחייו, סטייה מדרך הישר שבה צעד עד אז, וחלוף הזמן מלמדנו כי מאז שב הנאשם למסלול חייו המתוקן, והוא עושה מאמצים ומגייס את כוחותיו לשוב לחיים תקינים, הן במסגרת התעסוקתית והן בזו המשפחתית.</w:t>
      </w:r>
    </w:p>
    <w:p w14:paraId="4DC33A4F" w14:textId="77777777" w:rsidR="00DE41AB" w:rsidRDefault="00DE41AB" w:rsidP="00DE41AB">
      <w:pPr>
        <w:spacing w:after="160" w:line="360" w:lineRule="auto"/>
        <w:jc w:val="both"/>
        <w:rPr>
          <w:rFonts w:ascii="Calibri" w:eastAsia="Calibri" w:hAnsi="Calibri"/>
          <w:rtl/>
        </w:rPr>
      </w:pPr>
      <w:r w:rsidRPr="00566DB0">
        <w:rPr>
          <w:rFonts w:ascii="Calibri" w:eastAsia="Calibri" w:hAnsi="Calibri" w:hint="cs"/>
          <w:rtl/>
        </w:rPr>
        <w:t xml:space="preserve">על אף החומרה שבמעשה העבירה, תוך בחינת נסיבותיו כפי שנסקר לעיל, שוכנעתי כי מאמציו של הנאשם לשוב לדרך הישר, שיתוף הפעולה עם רשויות החוק והטיפול, מצדיקים הכרה ותמיכה, והשיקום שהוא עבר ועודנו עובר בתמיכתו של שירות המבחן- מבורכים. יחד עם זאת, ועל אף תהליך השיקום אשר הנאשם עבר ועודנו מצוי בו, הרי שנוכח חומרת העבירה, בנסיבותיה המתוארות לעיל, לא ניתן יהיה לקבל את המלצת שירות המבחן ולהטיל שירות לתועלת הציבור במידה אשר הומלצה על ידו, אלא </w:t>
      </w:r>
      <w:r>
        <w:rPr>
          <w:rFonts w:ascii="Calibri" w:eastAsia="Calibri" w:hAnsi="Calibri" w:hint="cs"/>
          <w:rtl/>
        </w:rPr>
        <w:t xml:space="preserve">ביד עונשית קשה יותר, גם לנוכח המעשה, אך גם לנוכח סוגו של הסם. השיח הציבורי רווי בדעות שונות וברוחות משתנות באשר לסמים כאלו ואחרים, אולם הקוקאין המצוי בפרשתינו אינו מותיר מקום לוויכוח </w:t>
      </w:r>
      <w:r>
        <w:rPr>
          <w:rFonts w:ascii="Calibri" w:eastAsia="Calibri" w:hAnsi="Calibri"/>
          <w:rtl/>
        </w:rPr>
        <w:t>–</w:t>
      </w:r>
      <w:r>
        <w:rPr>
          <w:rFonts w:ascii="Calibri" w:eastAsia="Calibri" w:hAnsi="Calibri" w:hint="cs"/>
          <w:rtl/>
        </w:rPr>
        <w:t xml:space="preserve"> מדובר בסם קשה, השפעתו משמעותית והוא משוייך ל"משפחה" קשה שהשפעתה רעה ומזיקה עד מאד. ענישתו של כל אדם אכן מותאמת לנסיבותיו האישיות, אולם יש והיא מושפעת באופן מכריע מטיבה של העבירה המיוחסת לו ומרמת הסיכון שלה לחברה כולה.</w:t>
      </w:r>
    </w:p>
    <w:p w14:paraId="55A0C250" w14:textId="77777777" w:rsidR="00DE41AB" w:rsidRPr="00566DB0" w:rsidRDefault="00DE41AB" w:rsidP="00DE41AB">
      <w:pPr>
        <w:spacing w:after="160" w:line="360" w:lineRule="auto"/>
        <w:jc w:val="both"/>
        <w:rPr>
          <w:rFonts w:ascii="Calibri" w:eastAsia="Calibri" w:hAnsi="Calibri"/>
          <w:rtl/>
        </w:rPr>
      </w:pPr>
      <w:r>
        <w:rPr>
          <w:rFonts w:ascii="Calibri" w:eastAsia="Calibri" w:hAnsi="Calibri" w:hint="cs"/>
          <w:rtl/>
        </w:rPr>
        <w:t xml:space="preserve">ניתן להניח שאם אותם 31.37 גרם של חומר אשר נתפס במשרדו של הנאשם היה מוגדר כחשיש, הרי שדרישתה העונשית של המאשימה הייתה שונה באופן מהותי, אך ככל שמדובר בקוקאין יש בהחלט, כך לטעמי, מקום לדרישה עונשית משמעותית בדמותו של מאסר בפועל </w:t>
      </w:r>
      <w:r w:rsidRPr="00566DB0">
        <w:rPr>
          <w:rFonts w:ascii="Calibri" w:eastAsia="Calibri" w:hAnsi="Calibri" w:hint="cs"/>
          <w:rtl/>
        </w:rPr>
        <w:t xml:space="preserve">כפסיקת בית המשפט העליון לעניין הענישה בעבירות הסמים ובמיוחד אלה הנוגעות למפיצי הסמים ונושאי התפקידים השונים במערך הפצתם, הרי שעל הענישה במקרים כגון אלה להיות מרתיעה  וכואבת, ולא די בהוקעת המעשים ובגינויים. </w:t>
      </w:r>
    </w:p>
    <w:p w14:paraId="134B5A32" w14:textId="77777777" w:rsidR="00DE41AB" w:rsidRDefault="00DE41AB" w:rsidP="00DE41AB">
      <w:pPr>
        <w:spacing w:after="160" w:line="360" w:lineRule="auto"/>
        <w:jc w:val="both"/>
        <w:rPr>
          <w:rFonts w:ascii="Calibri" w:eastAsia="Calibri" w:hAnsi="Calibri"/>
          <w:rtl/>
        </w:rPr>
      </w:pPr>
      <w:r>
        <w:rPr>
          <w:rFonts w:ascii="Calibri" w:eastAsia="Calibri" w:hAnsi="Calibri" w:hint="cs"/>
          <w:rtl/>
        </w:rPr>
        <w:t xml:space="preserve">אלא שכאן מסתיים לו העונש ה"כותרתי" ומתחיל הדיון בעניינו של הנאשם שלפני ובנתונים המיוחסים לו תוך הנחת דגש על </w:t>
      </w:r>
      <w:r w:rsidRPr="00566DB0">
        <w:rPr>
          <w:rFonts w:ascii="Calibri" w:eastAsia="Calibri" w:hAnsi="Calibri" w:hint="cs"/>
          <w:rtl/>
        </w:rPr>
        <w:t xml:space="preserve">הליך שיקומו של המשיב </w:t>
      </w:r>
      <w:r>
        <w:rPr>
          <w:rFonts w:ascii="Calibri" w:eastAsia="Calibri" w:hAnsi="Calibri" w:hint="cs"/>
          <w:rtl/>
        </w:rPr>
        <w:t xml:space="preserve">אשר </w:t>
      </w:r>
      <w:r w:rsidRPr="00566DB0">
        <w:rPr>
          <w:rFonts w:ascii="Calibri" w:eastAsia="Calibri" w:hAnsi="Calibri" w:hint="cs"/>
          <w:rtl/>
        </w:rPr>
        <w:t>הינו פיזי ונפשי גם יחד כעולה</w:t>
      </w:r>
      <w:r>
        <w:rPr>
          <w:rFonts w:ascii="Calibri" w:eastAsia="Calibri" w:hAnsi="Calibri" w:hint="cs"/>
          <w:rtl/>
        </w:rPr>
        <w:t xml:space="preserve"> מתסקירו של שירות המבחן</w:t>
      </w:r>
      <w:r w:rsidRPr="00566DB0">
        <w:rPr>
          <w:rFonts w:ascii="Calibri" w:eastAsia="Calibri" w:hAnsi="Calibri" w:hint="cs"/>
          <w:rtl/>
        </w:rPr>
        <w:t>,  משכך נדמה כי ניתן יהיה</w:t>
      </w:r>
      <w:r>
        <w:rPr>
          <w:rFonts w:ascii="Calibri" w:eastAsia="Calibri" w:hAnsi="Calibri" w:hint="cs"/>
          <w:rtl/>
        </w:rPr>
        <w:t xml:space="preserve"> לקבוע את עונשו המתאים של הנאשם </w:t>
      </w:r>
      <w:r w:rsidRPr="003E65A8">
        <w:rPr>
          <w:rFonts w:ascii="Calibri" w:eastAsia="Calibri" w:hAnsi="Calibri" w:hint="cs"/>
          <w:b/>
          <w:bCs/>
          <w:rtl/>
        </w:rPr>
        <w:t>מתחת</w:t>
      </w:r>
      <w:r>
        <w:rPr>
          <w:rFonts w:ascii="Calibri" w:eastAsia="Calibri" w:hAnsi="Calibri" w:hint="cs"/>
          <w:rtl/>
        </w:rPr>
        <w:t xml:space="preserve"> לרף התחתון של המתחם ההולם שצויין לעיל. רוצה לומר, מי שמחזיק קוקאין ברשותו בכמות שכזו </w:t>
      </w:r>
      <w:r>
        <w:rPr>
          <w:rFonts w:ascii="Calibri" w:eastAsia="Calibri" w:hAnsi="Calibri"/>
          <w:rtl/>
        </w:rPr>
        <w:t>–</w:t>
      </w:r>
      <w:r>
        <w:rPr>
          <w:rFonts w:ascii="Calibri" w:eastAsia="Calibri" w:hAnsi="Calibri" w:hint="cs"/>
          <w:rtl/>
        </w:rPr>
        <w:t xml:space="preserve"> ימצא עצמו בבית האסורים, אך ככל שהצטרף להליך שיקומי פורה, ניתן יהיה להקל עימו, אך להשאירו בתחום העונשים המוחשיים אשר אינם כוללים את בית האסורים- היינו, מאסר שירוצה בעבודות שירות.</w:t>
      </w:r>
      <w:r w:rsidRPr="00566DB0">
        <w:rPr>
          <w:rFonts w:ascii="Calibri" w:eastAsia="Calibri" w:hAnsi="Calibri" w:hint="cs"/>
          <w:rtl/>
        </w:rPr>
        <w:t xml:space="preserve"> </w:t>
      </w:r>
      <w:r>
        <w:rPr>
          <w:rFonts w:ascii="Calibri" w:eastAsia="Calibri" w:hAnsi="Calibri" w:hint="cs"/>
          <w:rtl/>
        </w:rPr>
        <w:t xml:space="preserve">זהו השיקום וזה שכרו. כך נכון לגבי כל עבירה, ועל אחת כמה וכמה לעבירות הקשורות לסמים מסוכנים אשר ההתמכרות להם קשה, וההינתקות מהם קשה שבעתיים. </w:t>
      </w:r>
    </w:p>
    <w:p w14:paraId="4CCFEF8E" w14:textId="77777777" w:rsidR="00DE41AB" w:rsidRPr="00566DB0" w:rsidRDefault="00DE41AB" w:rsidP="00DE41AB">
      <w:pPr>
        <w:spacing w:after="160" w:line="360" w:lineRule="auto"/>
        <w:jc w:val="both"/>
        <w:rPr>
          <w:rFonts w:ascii="Calibri" w:eastAsia="Calibri" w:hAnsi="Calibri"/>
          <w:rtl/>
        </w:rPr>
      </w:pPr>
      <w:r>
        <w:rPr>
          <w:rFonts w:ascii="Calibri" w:eastAsia="Calibri" w:hAnsi="Calibri" w:hint="cs"/>
          <w:rtl/>
        </w:rPr>
        <w:t>אכן, עונש מטבע ברייתו, עתיד לפגוע בנאשם, בפרנסתו ובילדיו. אדם הינו יצור המקושר לסביבתו המשפחתית, הקרובה והרחוקה, וכל מהלומה אותה הוא סופג יוצרת גלים של השפעה עליה. כך בכלל וכך אף במקרה דנן, אולם, כאמור, אין מנוס מלבחור בכלי ענישתי מוחשי על אף הפגיעה הצפויה בפרנסה וביתר התחומים, אך אין מנוס מכך, כאמור.</w:t>
      </w:r>
    </w:p>
    <w:p w14:paraId="6025E7AF" w14:textId="77777777" w:rsidR="00DE41AB" w:rsidRPr="00566DB0" w:rsidRDefault="00DE41AB" w:rsidP="00DE41AB">
      <w:pPr>
        <w:spacing w:after="160" w:line="360" w:lineRule="auto"/>
        <w:jc w:val="both"/>
        <w:rPr>
          <w:rFonts w:ascii="Calibri" w:eastAsia="Calibri" w:hAnsi="Calibri"/>
          <w:rtl/>
        </w:rPr>
      </w:pPr>
      <w:r w:rsidRPr="00566DB0">
        <w:rPr>
          <w:rFonts w:ascii="Calibri" w:eastAsia="Calibri" w:hAnsi="Calibri" w:hint="cs"/>
          <w:rtl/>
        </w:rPr>
        <w:t>סיכומו של דבר, לאחר ששקלתי את כל השיקולים הנדרשים ונתתי דעתי לנסיבותיו המיוחדו</w:t>
      </w:r>
      <w:r>
        <w:rPr>
          <w:rFonts w:ascii="Calibri" w:eastAsia="Calibri" w:hAnsi="Calibri" w:hint="cs"/>
          <w:rtl/>
        </w:rPr>
        <w:t>ת של הנאשם, להעדר עברו הפלילי ויתר</w:t>
      </w:r>
      <w:r w:rsidRPr="00566DB0">
        <w:rPr>
          <w:rFonts w:ascii="Calibri" w:eastAsia="Calibri" w:hAnsi="Calibri" w:hint="cs"/>
          <w:rtl/>
        </w:rPr>
        <w:t xml:space="preserve"> השיקולים הנזכרים לעיל, אני גוזר על הנאשם את העונשים הבאים:</w:t>
      </w:r>
    </w:p>
    <w:p w14:paraId="29362142" w14:textId="77777777" w:rsidR="00DE41AB" w:rsidRDefault="00DE41AB" w:rsidP="00DE41AB">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ארבעה (4)</w:t>
      </w:r>
      <w:r w:rsidRPr="00566DB0">
        <w:rPr>
          <w:rFonts w:ascii="Calibri" w:eastAsia="Calibri" w:hAnsi="Calibri" w:hint="cs"/>
          <w:b/>
          <w:bCs/>
          <w:rtl/>
        </w:rPr>
        <w:t xml:space="preserve"> חודשי מאס</w:t>
      </w:r>
      <w:r>
        <w:rPr>
          <w:rFonts w:ascii="Calibri" w:eastAsia="Calibri" w:hAnsi="Calibri" w:hint="cs"/>
          <w:b/>
          <w:bCs/>
          <w:rtl/>
        </w:rPr>
        <w:t>ר אשר יכול וירוצו בעבודות שירות, וזאת על פי חוות דעתו של הממונה על עבודות השירות ובכפוף לה. כך או כך, ריצוי רכיב עונשי זה לא יחל לפני 1.5.17.</w:t>
      </w:r>
    </w:p>
    <w:p w14:paraId="1CA69E0C" w14:textId="77777777" w:rsidR="00DE41AB" w:rsidRPr="00566DB0" w:rsidRDefault="00DE41AB" w:rsidP="00DE41AB">
      <w:pPr>
        <w:numPr>
          <w:ilvl w:val="0"/>
          <w:numId w:val="1"/>
        </w:numPr>
        <w:spacing w:after="160" w:line="360" w:lineRule="auto"/>
        <w:contextualSpacing/>
        <w:jc w:val="both"/>
        <w:rPr>
          <w:rFonts w:ascii="Calibri" w:eastAsia="Calibri" w:hAnsi="Calibri"/>
          <w:b/>
          <w:bCs/>
        </w:rPr>
      </w:pPr>
      <w:r w:rsidRPr="00566DB0">
        <w:rPr>
          <w:rFonts w:ascii="Calibri" w:eastAsia="Calibri" w:hAnsi="Calibri" w:hint="cs"/>
          <w:b/>
          <w:bCs/>
          <w:rtl/>
        </w:rPr>
        <w:t>צו מבחן בפיקוח שירות המבחן למשך שנה</w:t>
      </w:r>
      <w:r>
        <w:rPr>
          <w:rFonts w:ascii="Calibri" w:eastAsia="Calibri" w:hAnsi="Calibri" w:hint="cs"/>
          <w:b/>
          <w:bCs/>
          <w:rtl/>
        </w:rPr>
        <w:t xml:space="preserve"> מהיום</w:t>
      </w:r>
      <w:r w:rsidRPr="00566DB0">
        <w:rPr>
          <w:rFonts w:ascii="Calibri" w:eastAsia="Calibri" w:hAnsi="Calibri" w:hint="cs"/>
          <w:b/>
          <w:bCs/>
          <w:rtl/>
        </w:rPr>
        <w:t>, במהלכה יערוך שירות המבחן, שיחות, מעקב ובדיקות לאיתור שרידי סם.</w:t>
      </w:r>
    </w:p>
    <w:p w14:paraId="3F09E742" w14:textId="77777777" w:rsidR="00DE41AB" w:rsidRDefault="00DE41AB" w:rsidP="00DE41AB">
      <w:pPr>
        <w:numPr>
          <w:ilvl w:val="0"/>
          <w:numId w:val="1"/>
        </w:numPr>
        <w:spacing w:after="160" w:line="360" w:lineRule="auto"/>
        <w:contextualSpacing/>
        <w:jc w:val="both"/>
        <w:rPr>
          <w:rFonts w:ascii="Calibri" w:eastAsia="Calibri" w:hAnsi="Calibri"/>
          <w:b/>
          <w:bCs/>
        </w:rPr>
      </w:pPr>
      <w:r w:rsidRPr="00566DB0">
        <w:rPr>
          <w:rFonts w:ascii="Calibri" w:eastAsia="Calibri" w:hAnsi="Calibri" w:hint="cs"/>
          <w:b/>
          <w:bCs/>
          <w:rtl/>
        </w:rPr>
        <w:t xml:space="preserve">שישה (6) חודשי מאסר שאותם לא ירצה הנאשם אלא אם יעבור תוך שלוש שנים מהיום על העבירה בה הורשע בגזר דין זה או על כל עבירה לפי </w:t>
      </w:r>
      <w:hyperlink r:id="rId21" w:history="1">
        <w:r w:rsidR="002A2E10" w:rsidRPr="002A2E10">
          <w:rPr>
            <w:rFonts w:ascii="Calibri" w:eastAsia="Calibri" w:hAnsi="Calibri" w:hint="cs"/>
            <w:b/>
            <w:bCs/>
            <w:color w:val="0000FF"/>
            <w:u w:val="single"/>
            <w:rtl/>
          </w:rPr>
          <w:t>פקודת</w:t>
        </w:r>
        <w:r w:rsidR="002A2E10" w:rsidRPr="002A2E10">
          <w:rPr>
            <w:rFonts w:ascii="Calibri" w:eastAsia="Calibri" w:hAnsi="Calibri"/>
            <w:b/>
            <w:bCs/>
            <w:color w:val="0000FF"/>
            <w:u w:val="single"/>
            <w:rtl/>
          </w:rPr>
          <w:t xml:space="preserve"> </w:t>
        </w:r>
        <w:r w:rsidR="002A2E10" w:rsidRPr="002A2E10">
          <w:rPr>
            <w:rFonts w:ascii="Calibri" w:eastAsia="Calibri" w:hAnsi="Calibri" w:hint="cs"/>
            <w:b/>
            <w:bCs/>
            <w:color w:val="0000FF"/>
            <w:u w:val="single"/>
            <w:rtl/>
          </w:rPr>
          <w:t>הסמים</w:t>
        </w:r>
        <w:r w:rsidR="002A2E10" w:rsidRPr="002A2E10">
          <w:rPr>
            <w:rFonts w:ascii="Calibri" w:eastAsia="Calibri" w:hAnsi="Calibri"/>
            <w:b/>
            <w:bCs/>
            <w:color w:val="0000FF"/>
            <w:u w:val="single"/>
            <w:rtl/>
          </w:rPr>
          <w:t xml:space="preserve"> </w:t>
        </w:r>
        <w:r w:rsidR="002A2E10" w:rsidRPr="002A2E10">
          <w:rPr>
            <w:rFonts w:ascii="Calibri" w:eastAsia="Calibri" w:hAnsi="Calibri" w:hint="cs"/>
            <w:b/>
            <w:bCs/>
            <w:color w:val="0000FF"/>
            <w:u w:val="single"/>
            <w:rtl/>
          </w:rPr>
          <w:t>המסוכנים</w:t>
        </w:r>
      </w:hyperlink>
      <w:r w:rsidRPr="00566DB0">
        <w:rPr>
          <w:rFonts w:ascii="Calibri" w:eastAsia="Calibri" w:hAnsi="Calibri" w:hint="cs"/>
          <w:b/>
          <w:bCs/>
          <w:rtl/>
        </w:rPr>
        <w:t xml:space="preserve"> [נוסח חדש], התשל"ג- 1973, למעט החזקת סם או שימוש בו לצריכה עצמית. </w:t>
      </w:r>
    </w:p>
    <w:p w14:paraId="79F9B1F4" w14:textId="77777777" w:rsidR="00DE41AB" w:rsidRPr="00566DB0" w:rsidRDefault="00DE41AB" w:rsidP="00DE41AB">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ארבעים וחמישה (45) ימי מאסר אשר לא ירוצו, אלא אם יעבור הנאשם על עבירה של שימוש או החזקת סם לצריכה עצמית, וזאת תוך שלוש שנים מהיום.</w:t>
      </w:r>
    </w:p>
    <w:p w14:paraId="7B2CDBD1" w14:textId="77777777" w:rsidR="00DE41AB" w:rsidRDefault="00DE41AB" w:rsidP="00DE41AB">
      <w:pPr>
        <w:numPr>
          <w:ilvl w:val="0"/>
          <w:numId w:val="1"/>
        </w:numPr>
        <w:spacing w:after="160" w:line="360" w:lineRule="auto"/>
        <w:contextualSpacing/>
        <w:jc w:val="both"/>
        <w:rPr>
          <w:rFonts w:ascii="Calibri" w:eastAsia="Calibri" w:hAnsi="Calibri"/>
          <w:b/>
          <w:bCs/>
        </w:rPr>
      </w:pPr>
      <w:r w:rsidRPr="00566DB0">
        <w:rPr>
          <w:rFonts w:ascii="Calibri" w:eastAsia="Calibri" w:hAnsi="Calibri" w:hint="cs"/>
          <w:b/>
          <w:bCs/>
          <w:rtl/>
        </w:rPr>
        <w:t xml:space="preserve">קנס בסך </w:t>
      </w:r>
      <w:r>
        <w:rPr>
          <w:rFonts w:ascii="Calibri" w:eastAsia="Calibri" w:hAnsi="Calibri" w:hint="cs"/>
          <w:b/>
          <w:bCs/>
          <w:rtl/>
        </w:rPr>
        <w:t>8,</w:t>
      </w:r>
      <w:r w:rsidRPr="00566DB0">
        <w:rPr>
          <w:rFonts w:ascii="Calibri" w:eastAsia="Calibri" w:hAnsi="Calibri" w:hint="cs"/>
          <w:b/>
          <w:bCs/>
          <w:rtl/>
        </w:rPr>
        <w:t>000 ₪. הנאשם ישלם קנס זה עד יום 1.</w:t>
      </w:r>
      <w:r>
        <w:rPr>
          <w:rFonts w:ascii="Calibri" w:eastAsia="Calibri" w:hAnsi="Calibri" w:hint="cs"/>
          <w:b/>
          <w:bCs/>
          <w:rtl/>
        </w:rPr>
        <w:t>1</w:t>
      </w:r>
      <w:r w:rsidRPr="00566DB0">
        <w:rPr>
          <w:rFonts w:ascii="Calibri" w:eastAsia="Calibri" w:hAnsi="Calibri" w:hint="cs"/>
          <w:b/>
          <w:bCs/>
          <w:rtl/>
        </w:rPr>
        <w:t>.1</w:t>
      </w:r>
      <w:r>
        <w:rPr>
          <w:rFonts w:ascii="Calibri" w:eastAsia="Calibri" w:hAnsi="Calibri" w:hint="cs"/>
          <w:b/>
          <w:bCs/>
          <w:rtl/>
        </w:rPr>
        <w:t>8</w:t>
      </w:r>
      <w:r w:rsidRPr="00566DB0">
        <w:rPr>
          <w:rFonts w:ascii="Calibri" w:eastAsia="Calibri" w:hAnsi="Calibri" w:hint="cs"/>
          <w:b/>
          <w:bCs/>
          <w:rtl/>
        </w:rPr>
        <w:t>.</w:t>
      </w:r>
    </w:p>
    <w:p w14:paraId="02F9DCA3" w14:textId="77777777" w:rsidR="00DE41AB" w:rsidRDefault="00DE41AB" w:rsidP="00DE41AB">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המוצגים יחולטו או יושמדו על פי שיקול דעתו של רשם המוצגים.</w:t>
      </w:r>
    </w:p>
    <w:p w14:paraId="4692087F" w14:textId="77777777" w:rsidR="00DE41AB" w:rsidRPr="003E65A8" w:rsidRDefault="00DE41AB" w:rsidP="00DE41AB">
      <w:pPr>
        <w:spacing w:after="160" w:line="360" w:lineRule="auto"/>
        <w:contextualSpacing/>
        <w:jc w:val="both"/>
        <w:rPr>
          <w:rFonts w:ascii="Calibri" w:eastAsia="Calibri" w:hAnsi="Calibri"/>
          <w:b/>
          <w:bCs/>
        </w:rPr>
      </w:pPr>
    </w:p>
    <w:p w14:paraId="6B5CBB37" w14:textId="77777777" w:rsidR="00DE41AB" w:rsidRPr="00566DB0" w:rsidRDefault="00DE41AB" w:rsidP="00DE41AB">
      <w:pPr>
        <w:spacing w:after="160" w:line="360" w:lineRule="auto"/>
        <w:jc w:val="both"/>
        <w:rPr>
          <w:rFonts w:ascii="Calibri" w:eastAsia="Calibri" w:hAnsi="Calibri"/>
          <w:b/>
          <w:bCs/>
          <w:rtl/>
        </w:rPr>
      </w:pPr>
      <w:r w:rsidRPr="00566DB0">
        <w:rPr>
          <w:rFonts w:ascii="Calibri" w:eastAsia="Calibri" w:hAnsi="Calibri" w:hint="cs"/>
          <w:b/>
          <w:bCs/>
          <w:rtl/>
        </w:rPr>
        <w:t xml:space="preserve">זכות ערעור לבית המשפט המחוזי תוך 45 יום. </w:t>
      </w:r>
    </w:p>
    <w:p w14:paraId="5F871DF9" w14:textId="77777777" w:rsidR="00DE41AB" w:rsidRPr="002A2E10" w:rsidRDefault="002A2E10" w:rsidP="00DE41AB">
      <w:pPr>
        <w:rPr>
          <w:color w:val="FFFFFF"/>
          <w:sz w:val="2"/>
          <w:szCs w:val="2"/>
          <w:rtl/>
        </w:rPr>
      </w:pPr>
      <w:r w:rsidRPr="002A2E10">
        <w:rPr>
          <w:color w:val="FFFFFF"/>
          <w:sz w:val="2"/>
          <w:szCs w:val="2"/>
          <w:rtl/>
        </w:rPr>
        <w:t>5129371</w:t>
      </w:r>
    </w:p>
    <w:p w14:paraId="5D95AFFF" w14:textId="77777777" w:rsidR="00DE41AB" w:rsidRPr="00BF275D" w:rsidRDefault="002A2E10" w:rsidP="00DE41AB">
      <w:pPr>
        <w:rPr>
          <w:rFonts w:cs="FrankRuehl"/>
          <w:b/>
          <w:bCs/>
          <w:sz w:val="28"/>
          <w:szCs w:val="28"/>
          <w:rtl/>
        </w:rPr>
      </w:pPr>
      <w:r w:rsidRPr="00BF275D">
        <w:rPr>
          <w:rFonts w:ascii="Arial" w:hAnsi="Arial"/>
          <w:b/>
          <w:bCs/>
          <w:color w:val="FFFFFF"/>
          <w:sz w:val="2"/>
          <w:szCs w:val="2"/>
          <w:rtl/>
        </w:rPr>
        <w:t>54678313</w:t>
      </w:r>
      <w:r w:rsidRPr="00BF275D">
        <w:rPr>
          <w:rFonts w:ascii="Arial" w:hAnsi="Arial"/>
          <w:b/>
          <w:bCs/>
          <w:rtl/>
        </w:rPr>
        <w:t xml:space="preserve">ניתן היום,  ל' שבט תשע"ז, 26 פברואר 2017, בנוכחות הצדדים. </w:t>
      </w:r>
    </w:p>
    <w:p w14:paraId="528DC1F9" w14:textId="77777777" w:rsidR="00DE41AB" w:rsidRDefault="00DE41AB" w:rsidP="00DE41A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3573C5C" w14:textId="77777777" w:rsidR="00DE41AB" w:rsidRDefault="00DE41AB" w:rsidP="00DE41AB">
      <w:pPr>
        <w:jc w:val="center"/>
        <w:rPr>
          <w:rFonts w:ascii="Arial" w:hAnsi="Arial" w:cs="FrankRuehl"/>
          <w:sz w:val="28"/>
          <w:szCs w:val="28"/>
          <w:rtl/>
        </w:rPr>
      </w:pPr>
    </w:p>
    <w:p w14:paraId="64B35329" w14:textId="77777777" w:rsidR="002A2E10" w:rsidRPr="002A2E10" w:rsidRDefault="002A2E10" w:rsidP="002A2E10">
      <w:pPr>
        <w:keepNext/>
        <w:rPr>
          <w:rFonts w:ascii="David" w:hAnsi="David"/>
          <w:color w:val="000000"/>
          <w:sz w:val="22"/>
          <w:szCs w:val="22"/>
          <w:rtl/>
        </w:rPr>
      </w:pPr>
    </w:p>
    <w:p w14:paraId="4E8A3F82" w14:textId="77777777" w:rsidR="002A2E10" w:rsidRPr="002A2E10" w:rsidRDefault="002A2E10" w:rsidP="002A2E10">
      <w:pPr>
        <w:keepNext/>
        <w:rPr>
          <w:rFonts w:ascii="David" w:hAnsi="David"/>
          <w:color w:val="000000"/>
          <w:sz w:val="22"/>
          <w:szCs w:val="22"/>
          <w:rtl/>
        </w:rPr>
      </w:pPr>
      <w:r w:rsidRPr="002A2E10">
        <w:rPr>
          <w:rFonts w:ascii="David" w:hAnsi="David"/>
          <w:color w:val="000000"/>
          <w:sz w:val="22"/>
          <w:szCs w:val="22"/>
          <w:rtl/>
        </w:rPr>
        <w:t>שמואל הרבסט 54678313</w:t>
      </w:r>
    </w:p>
    <w:p w14:paraId="28B3427B" w14:textId="77777777" w:rsidR="002A2E10" w:rsidRDefault="002A2E10" w:rsidP="002A2E10">
      <w:r w:rsidRPr="002A2E10">
        <w:rPr>
          <w:color w:val="000000"/>
          <w:rtl/>
        </w:rPr>
        <w:t>נוסח מסמך זה כפוף לשינויי ניסוח ועריכה</w:t>
      </w:r>
    </w:p>
    <w:p w14:paraId="000A43E0" w14:textId="77777777" w:rsidR="002A2E10" w:rsidRDefault="002A2E10" w:rsidP="002A2E10">
      <w:pPr>
        <w:rPr>
          <w:rtl/>
        </w:rPr>
      </w:pPr>
    </w:p>
    <w:p w14:paraId="24DA9E07" w14:textId="77777777" w:rsidR="002A2E10" w:rsidRDefault="002A2E10" w:rsidP="002A2E10">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71ED281E" w14:textId="77777777" w:rsidR="00DF27D7" w:rsidRPr="002A2E10" w:rsidRDefault="00DF27D7" w:rsidP="002A2E10">
      <w:pPr>
        <w:jc w:val="center"/>
        <w:rPr>
          <w:color w:val="0000FF"/>
          <w:u w:val="single"/>
        </w:rPr>
      </w:pPr>
    </w:p>
    <w:sectPr w:rsidR="00DF27D7" w:rsidRPr="002A2E10" w:rsidSect="002A2E10">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16408" w14:textId="77777777" w:rsidR="007C13CA" w:rsidRDefault="007C13CA">
      <w:r>
        <w:separator/>
      </w:r>
    </w:p>
  </w:endnote>
  <w:endnote w:type="continuationSeparator" w:id="0">
    <w:p w14:paraId="064EF7EB" w14:textId="77777777" w:rsidR="007C13CA" w:rsidRDefault="007C1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74126" w14:textId="77777777" w:rsidR="007C13CA" w:rsidRDefault="007C13CA" w:rsidP="002A2E1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8B3143" w14:textId="77777777" w:rsidR="007C13CA" w:rsidRPr="002A2E10" w:rsidRDefault="007C13CA" w:rsidP="002A2E10">
    <w:pPr>
      <w:pStyle w:val="a4"/>
      <w:pBdr>
        <w:top w:val="single" w:sz="4" w:space="1" w:color="auto"/>
        <w:between w:val="single" w:sz="4" w:space="0" w:color="auto"/>
      </w:pBdr>
      <w:spacing w:after="60"/>
      <w:jc w:val="center"/>
      <w:rPr>
        <w:rFonts w:ascii="FrankRuehl" w:hAnsi="FrankRuehl" w:cs="FrankRuehl"/>
        <w:color w:val="000000"/>
      </w:rPr>
    </w:pPr>
    <w:r w:rsidRPr="002A2E1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B9898" w14:textId="77777777" w:rsidR="007C13CA" w:rsidRDefault="007C13CA" w:rsidP="002A2E1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46F2">
      <w:rPr>
        <w:rFonts w:ascii="FrankRuehl" w:hAnsi="FrankRuehl" w:cs="FrankRuehl"/>
        <w:noProof/>
        <w:rtl/>
      </w:rPr>
      <w:t>1</w:t>
    </w:r>
    <w:r>
      <w:rPr>
        <w:rFonts w:ascii="FrankRuehl" w:hAnsi="FrankRuehl" w:cs="FrankRuehl"/>
        <w:rtl/>
      </w:rPr>
      <w:fldChar w:fldCharType="end"/>
    </w:r>
  </w:p>
  <w:p w14:paraId="2D79C9EC" w14:textId="77777777" w:rsidR="007C13CA" w:rsidRPr="002A2E10" w:rsidRDefault="007C13CA" w:rsidP="002A2E10">
    <w:pPr>
      <w:pStyle w:val="a4"/>
      <w:pBdr>
        <w:top w:val="single" w:sz="4" w:space="1" w:color="auto"/>
        <w:between w:val="single" w:sz="4" w:space="0" w:color="auto"/>
      </w:pBdr>
      <w:spacing w:after="60"/>
      <w:jc w:val="center"/>
      <w:rPr>
        <w:rFonts w:ascii="FrankRuehl" w:hAnsi="FrankRuehl" w:cs="FrankRuehl"/>
        <w:color w:val="000000"/>
      </w:rPr>
    </w:pPr>
    <w:r w:rsidRPr="002A2E10">
      <w:rPr>
        <w:rFonts w:ascii="FrankRuehl" w:hAnsi="FrankRuehl" w:cs="FrankRuehl"/>
        <w:color w:val="000000"/>
      </w:rPr>
      <w:pict w14:anchorId="6C47E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2D533" w14:textId="77777777" w:rsidR="007C13CA" w:rsidRDefault="007C13CA">
      <w:r>
        <w:separator/>
      </w:r>
    </w:p>
  </w:footnote>
  <w:footnote w:type="continuationSeparator" w:id="0">
    <w:p w14:paraId="5A34EF04" w14:textId="77777777" w:rsidR="007C13CA" w:rsidRDefault="007C1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7BC96" w14:textId="77777777" w:rsidR="007C13CA" w:rsidRPr="002A2E10" w:rsidRDefault="007C13CA" w:rsidP="002A2E1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7414-01-15</w:t>
    </w:r>
    <w:r>
      <w:rPr>
        <w:rFonts w:ascii="David" w:hAnsi="David"/>
        <w:color w:val="000000"/>
        <w:sz w:val="22"/>
        <w:szCs w:val="22"/>
        <w:rtl/>
      </w:rPr>
      <w:tab/>
      <w:t xml:space="preserve"> מדינת ישראל נ' ניסים שגב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2EFCA" w14:textId="77777777" w:rsidR="007C13CA" w:rsidRPr="002A2E10" w:rsidRDefault="007C13CA" w:rsidP="002A2E1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7414-01-15</w:t>
    </w:r>
    <w:r>
      <w:rPr>
        <w:rFonts w:ascii="David" w:hAnsi="David"/>
        <w:color w:val="000000"/>
        <w:sz w:val="22"/>
        <w:szCs w:val="22"/>
        <w:rtl/>
      </w:rPr>
      <w:tab/>
      <w:t xml:space="preserve"> מדינת ישראל נ' ניסים שגב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7027E"/>
    <w:multiLevelType w:val="hybridMultilevel"/>
    <w:tmpl w:val="5D423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73819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41AB"/>
    <w:rsid w:val="00097C27"/>
    <w:rsid w:val="002A2E10"/>
    <w:rsid w:val="003E46F2"/>
    <w:rsid w:val="004B292A"/>
    <w:rsid w:val="007C13CA"/>
    <w:rsid w:val="00A249EE"/>
    <w:rsid w:val="00B347E8"/>
    <w:rsid w:val="00B777D4"/>
    <w:rsid w:val="00BF275D"/>
    <w:rsid w:val="00DE41AB"/>
    <w:rsid w:val="00DF27D7"/>
    <w:rsid w:val="00E20C0A"/>
    <w:rsid w:val="00EE48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1220DE"/>
  <w15:chartTrackingRefBased/>
  <w15:docId w15:val="{59D53213-A635-45D9-9FEC-382118B9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41A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E41AB"/>
    <w:pPr>
      <w:tabs>
        <w:tab w:val="center" w:pos="4153"/>
        <w:tab w:val="right" w:pos="8306"/>
      </w:tabs>
    </w:pPr>
  </w:style>
  <w:style w:type="paragraph" w:styleId="a4">
    <w:name w:val="footer"/>
    <w:basedOn w:val="a"/>
    <w:rsid w:val="00DE41AB"/>
    <w:pPr>
      <w:tabs>
        <w:tab w:val="center" w:pos="4153"/>
        <w:tab w:val="right" w:pos="8306"/>
      </w:tabs>
    </w:pPr>
  </w:style>
  <w:style w:type="character" w:styleId="a5">
    <w:name w:val="page number"/>
    <w:basedOn w:val="a0"/>
    <w:rsid w:val="00DE41AB"/>
  </w:style>
  <w:style w:type="character" w:styleId="Hyperlink">
    <w:name w:val="Hyperlink"/>
    <w:basedOn w:val="a0"/>
    <w:rsid w:val="002A2E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17932979"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1879120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5726579"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2676</Words>
  <Characters>13382</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16026</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7995492</vt:i4>
      </vt:variant>
      <vt:variant>
        <vt:i4>39</vt:i4>
      </vt:variant>
      <vt:variant>
        <vt:i4>0</vt:i4>
      </vt:variant>
      <vt:variant>
        <vt:i4>5</vt:i4>
      </vt:variant>
      <vt:variant>
        <vt:lpwstr>http://www.nevo.co.il/law/70301</vt:lpwstr>
      </vt:variant>
      <vt:variant>
        <vt:lpwstr/>
      </vt:variant>
      <vt:variant>
        <vt:i4>3866738</vt:i4>
      </vt:variant>
      <vt:variant>
        <vt:i4>36</vt:i4>
      </vt:variant>
      <vt:variant>
        <vt:i4>0</vt:i4>
      </vt:variant>
      <vt:variant>
        <vt:i4>5</vt:i4>
      </vt:variant>
      <vt:variant>
        <vt:lpwstr>http://www.nevo.co.il/case/5726579</vt:lpwstr>
      </vt:variant>
      <vt:variant>
        <vt:lpwstr/>
      </vt:variant>
      <vt:variant>
        <vt:i4>3997817</vt:i4>
      </vt:variant>
      <vt:variant>
        <vt:i4>33</vt:i4>
      </vt:variant>
      <vt:variant>
        <vt:i4>0</vt:i4>
      </vt:variant>
      <vt:variant>
        <vt:i4>5</vt:i4>
      </vt:variant>
      <vt:variant>
        <vt:lpwstr>http://www.nevo.co.il/case/17932979</vt:lpwstr>
      </vt:variant>
      <vt:variant>
        <vt:lpwstr/>
      </vt:variant>
      <vt:variant>
        <vt:i4>3604599</vt:i4>
      </vt:variant>
      <vt:variant>
        <vt:i4>30</vt:i4>
      </vt:variant>
      <vt:variant>
        <vt:i4>0</vt:i4>
      </vt:variant>
      <vt:variant>
        <vt:i4>5</vt:i4>
      </vt:variant>
      <vt:variant>
        <vt:lpwstr>http://www.nevo.co.il/case/18791200</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2025-04-22T22:34:00Z</dcterms:created>
  <dcterms:modified xsi:type="dcterms:W3CDTF">2025-04-22T22:34:00Z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7414</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ניסים שגב</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20170226</vt:lpwstr>
  </property>
  <property fmtid="{D5CDD505-2E9C-101B-9397-08002B2CF9AE}" pid="13" name="TYPE_N_DATE">
    <vt:lpwstr>38020170226</vt:lpwstr>
  </property>
  <property fmtid="{D5CDD505-2E9C-101B-9397-08002B2CF9AE}" pid="14" name="CASESLISTTMP1">
    <vt:lpwstr>18791200;17932979;5726579</vt:lpwstr>
  </property>
  <property fmtid="{D5CDD505-2E9C-101B-9397-08002B2CF9AE}" pid="15" name="CASENOTES1">
    <vt:lpwstr>ProcID=235&amp;PartA=24&amp;PartC=48</vt:lpwstr>
  </property>
  <property fmtid="{D5CDD505-2E9C-101B-9397-08002B2CF9AE}" pid="16" name="WORDNUMPAGES">
    <vt:lpwstr>9</vt:lpwstr>
  </property>
  <property fmtid="{D5CDD505-2E9C-101B-9397-08002B2CF9AE}" pid="17" name="TYPE_ABS_DATE">
    <vt:lpwstr>380120170226</vt:lpwstr>
  </property>
  <property fmtid="{D5CDD505-2E9C-101B-9397-08002B2CF9AE}" pid="18" name="ISABSTRACT">
    <vt:lpwstr>Y</vt:lpwstr>
  </property>
  <property fmtid="{D5CDD505-2E9C-101B-9397-08002B2CF9AE}" pid="19" name="LAWLISTTMP1">
    <vt:lpwstr>4216/007.a;007.c</vt:lpwstr>
  </property>
  <property fmtid="{D5CDD505-2E9C-101B-9397-08002B2CF9AE}" pid="20" name="LAWLISTTMP2">
    <vt:lpwstr>70301</vt:lpwstr>
  </property>
  <property fmtid="{D5CDD505-2E9C-101B-9397-08002B2CF9AE}" pid="21" name="LAWYER">
    <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YES</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8991</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20170320</vt:lpwstr>
  </property>
  <property fmtid="{D5CDD505-2E9C-101B-9397-08002B2CF9AE}" pid="73" name="METAKZER">
    <vt:lpwstr>עומרי</vt:lpwstr>
  </property>
</Properties>
</file>