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24E37" w:rsidRPr="00B80891" w14:paraId="34F540E2" w14:textId="77777777" w:rsidTr="008F38CA">
        <w:trPr>
          <w:trHeight w:hRule="exact" w:val="418"/>
          <w:jc w:val="center"/>
        </w:trPr>
        <w:tc>
          <w:tcPr>
            <w:tcW w:w="8720" w:type="dxa"/>
            <w:gridSpan w:val="3"/>
          </w:tcPr>
          <w:p w14:paraId="462C84F3" w14:textId="77777777" w:rsidR="00124E37" w:rsidRPr="00B80891" w:rsidRDefault="00124E37" w:rsidP="008F38CA">
            <w:pPr>
              <w:pStyle w:val="a3"/>
              <w:tabs>
                <w:tab w:val="clear" w:pos="8306"/>
              </w:tabs>
              <w:jc w:val="center"/>
              <w:rPr>
                <w:rFonts w:ascii="Tahoma" w:hAnsi="Tahoma" w:cs="Tahoma"/>
                <w:b/>
                <w:bCs/>
                <w:color w:val="000080"/>
                <w:sz w:val="20"/>
                <w:szCs w:val="20"/>
                <w:rtl/>
              </w:rPr>
            </w:pPr>
            <w:bookmarkStart w:id="0" w:name="LastJudge"/>
            <w:r w:rsidRPr="00B80891">
              <w:rPr>
                <w:rFonts w:ascii="Tahoma" w:hAnsi="Tahoma" w:cs="Tahoma"/>
                <w:b/>
                <w:bCs/>
                <w:color w:val="000080"/>
                <w:sz w:val="20"/>
                <w:szCs w:val="20"/>
                <w:rtl/>
              </w:rPr>
              <w:t>בית משפט השלום בנתניה</w:t>
            </w:r>
          </w:p>
        </w:tc>
      </w:tr>
      <w:tr w:rsidR="00124E37" w:rsidRPr="00B80891" w14:paraId="52B784D5" w14:textId="77777777" w:rsidTr="008F38CA">
        <w:trPr>
          <w:trHeight w:val="337"/>
          <w:jc w:val="center"/>
        </w:trPr>
        <w:tc>
          <w:tcPr>
            <w:tcW w:w="6396" w:type="dxa"/>
          </w:tcPr>
          <w:p w14:paraId="3FC6F971" w14:textId="77777777" w:rsidR="00124E37" w:rsidRPr="00B80891" w:rsidRDefault="00124E37" w:rsidP="008F38CA">
            <w:pPr>
              <w:rPr>
                <w:b/>
                <w:bCs/>
                <w:sz w:val="26"/>
                <w:szCs w:val="26"/>
                <w:rtl/>
              </w:rPr>
            </w:pPr>
            <w:r w:rsidRPr="00B80891">
              <w:rPr>
                <w:b/>
                <w:bCs/>
                <w:sz w:val="26"/>
                <w:szCs w:val="26"/>
                <w:rtl/>
              </w:rPr>
              <w:t>ת"פ</w:t>
            </w:r>
            <w:r w:rsidRPr="00B80891">
              <w:rPr>
                <w:rFonts w:hint="cs"/>
                <w:b/>
                <w:bCs/>
                <w:sz w:val="26"/>
                <w:szCs w:val="26"/>
                <w:rtl/>
              </w:rPr>
              <w:t xml:space="preserve"> </w:t>
            </w:r>
            <w:r w:rsidRPr="00B80891">
              <w:rPr>
                <w:b/>
                <w:bCs/>
                <w:sz w:val="26"/>
                <w:szCs w:val="26"/>
                <w:rtl/>
              </w:rPr>
              <w:t>37411-02-15</w:t>
            </w:r>
            <w:r w:rsidRPr="00B80891">
              <w:rPr>
                <w:rFonts w:hint="cs"/>
                <w:b/>
                <w:bCs/>
                <w:sz w:val="26"/>
                <w:szCs w:val="26"/>
                <w:rtl/>
              </w:rPr>
              <w:t xml:space="preserve"> </w:t>
            </w:r>
            <w:r w:rsidRPr="00B80891">
              <w:rPr>
                <w:b/>
                <w:bCs/>
                <w:sz w:val="26"/>
                <w:szCs w:val="26"/>
                <w:rtl/>
              </w:rPr>
              <w:t>מדינת ישראל נ' בואהרון</w:t>
            </w:r>
          </w:p>
          <w:p w14:paraId="4F5C27A3" w14:textId="77777777" w:rsidR="00124E37" w:rsidRPr="00B80891" w:rsidRDefault="00124E37" w:rsidP="008F38CA">
            <w:pPr>
              <w:rPr>
                <w:b/>
                <w:bCs/>
                <w:sz w:val="26"/>
                <w:szCs w:val="26"/>
                <w:rtl/>
              </w:rPr>
            </w:pPr>
            <w:r w:rsidRPr="00B80891">
              <w:rPr>
                <w:rFonts w:hint="cs"/>
                <w:b/>
                <w:bCs/>
                <w:sz w:val="26"/>
                <w:szCs w:val="26"/>
                <w:rtl/>
              </w:rPr>
              <w:t>ת"פ 25823-07-15, 1629-12-14</w:t>
            </w:r>
          </w:p>
        </w:tc>
        <w:tc>
          <w:tcPr>
            <w:tcW w:w="236" w:type="dxa"/>
          </w:tcPr>
          <w:p w14:paraId="1D696BEA" w14:textId="77777777" w:rsidR="00124E37" w:rsidRPr="00B80891" w:rsidRDefault="00124E37" w:rsidP="008F38CA">
            <w:pPr>
              <w:pStyle w:val="a3"/>
              <w:jc w:val="right"/>
              <w:rPr>
                <w:b/>
                <w:bCs/>
                <w:sz w:val="26"/>
                <w:szCs w:val="26"/>
                <w:rtl/>
              </w:rPr>
            </w:pPr>
          </w:p>
        </w:tc>
        <w:tc>
          <w:tcPr>
            <w:tcW w:w="2088" w:type="dxa"/>
          </w:tcPr>
          <w:p w14:paraId="705D9F5C" w14:textId="77777777" w:rsidR="00124E37" w:rsidRPr="00B80891" w:rsidRDefault="00124E37" w:rsidP="008F38CA">
            <w:pPr>
              <w:pStyle w:val="a3"/>
              <w:tabs>
                <w:tab w:val="clear" w:pos="4153"/>
              </w:tabs>
              <w:jc w:val="right"/>
              <w:rPr>
                <w:b/>
                <w:bCs/>
                <w:sz w:val="26"/>
                <w:szCs w:val="26"/>
                <w:rtl/>
              </w:rPr>
            </w:pPr>
            <w:r w:rsidRPr="00B80891">
              <w:rPr>
                <w:b/>
                <w:bCs/>
                <w:sz w:val="26"/>
                <w:szCs w:val="26"/>
                <w:rtl/>
              </w:rPr>
              <w:t>20 יולי 2017</w:t>
            </w:r>
          </w:p>
        </w:tc>
      </w:tr>
    </w:tbl>
    <w:p w14:paraId="656FB552" w14:textId="77777777" w:rsidR="00124E37" w:rsidRPr="00B80891" w:rsidRDefault="00124E37" w:rsidP="00124E37">
      <w:pPr>
        <w:pStyle w:val="a3"/>
        <w:jc w:val="center"/>
        <w:rPr>
          <w:rFonts w:ascii="Tahoma" w:hAnsi="Tahoma" w:cs="Tahoma"/>
          <w:b/>
          <w:bCs/>
          <w:color w:val="000080"/>
          <w:sz w:val="20"/>
          <w:szCs w:val="20"/>
          <w:rtl/>
        </w:rPr>
      </w:pPr>
    </w:p>
    <w:p w14:paraId="098BF1BF" w14:textId="77777777" w:rsidR="00124E37" w:rsidRPr="00B80891" w:rsidRDefault="00124E37" w:rsidP="00124E3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8F38CA" w:rsidRPr="00B80891" w14:paraId="37B74F27" w14:textId="77777777" w:rsidTr="00124E37">
        <w:trPr>
          <w:gridAfter w:val="1"/>
          <w:wAfter w:w="56" w:type="dxa"/>
        </w:trPr>
        <w:tc>
          <w:tcPr>
            <w:tcW w:w="8718" w:type="dxa"/>
            <w:gridSpan w:val="2"/>
            <w:shd w:val="clear" w:color="auto" w:fill="auto"/>
          </w:tcPr>
          <w:p w14:paraId="58C5CF87" w14:textId="77777777" w:rsidR="00124E37" w:rsidRPr="00B80891" w:rsidRDefault="00124E37" w:rsidP="008F38CA">
            <w:pPr>
              <w:rPr>
                <w:b/>
                <w:bCs/>
                <w:sz w:val="26"/>
                <w:szCs w:val="26"/>
                <w:rtl/>
              </w:rPr>
            </w:pPr>
            <w:r w:rsidRPr="00B80891">
              <w:rPr>
                <w:rFonts w:hint="cs"/>
                <w:b/>
                <w:bCs/>
                <w:sz w:val="26"/>
                <w:szCs w:val="26"/>
                <w:rtl/>
              </w:rPr>
              <w:t>לפני כבוד ה</w:t>
            </w:r>
            <w:r w:rsidRPr="00B80891">
              <w:rPr>
                <w:b/>
                <w:bCs/>
                <w:sz w:val="26"/>
                <w:szCs w:val="26"/>
                <w:rtl/>
              </w:rPr>
              <w:t>שופט עמית פרייז</w:t>
            </w:r>
            <w:r w:rsidRPr="00B80891">
              <w:rPr>
                <w:rStyle w:val="TimesNewRomanTimesNewRoman"/>
                <w:rtl/>
              </w:rPr>
              <w:t xml:space="preserve"> </w:t>
            </w:r>
          </w:p>
        </w:tc>
      </w:tr>
      <w:tr w:rsidR="008F38CA" w:rsidRPr="00B80891" w14:paraId="1A677C60" w14:textId="77777777" w:rsidTr="00124E37">
        <w:trPr>
          <w:cantSplit/>
          <w:trHeight w:val="724"/>
        </w:trPr>
        <w:tc>
          <w:tcPr>
            <w:tcW w:w="2880" w:type="dxa"/>
            <w:shd w:val="clear" w:color="auto" w:fill="auto"/>
          </w:tcPr>
          <w:p w14:paraId="0E644E3B" w14:textId="77777777" w:rsidR="00124E37" w:rsidRPr="00B80891" w:rsidRDefault="00124E37" w:rsidP="00124E37">
            <w:pPr>
              <w:ind w:left="26"/>
              <w:rPr>
                <w:b/>
                <w:bCs/>
                <w:sz w:val="26"/>
                <w:szCs w:val="26"/>
                <w:rtl/>
              </w:rPr>
            </w:pPr>
            <w:bookmarkStart w:id="1" w:name="FirstAppellant"/>
          </w:p>
          <w:p w14:paraId="3919F6B7" w14:textId="77777777" w:rsidR="00124E37" w:rsidRPr="00B80891" w:rsidRDefault="00124E37" w:rsidP="00124E37">
            <w:pPr>
              <w:ind w:left="26"/>
              <w:rPr>
                <w:b/>
                <w:bCs/>
                <w:sz w:val="26"/>
                <w:szCs w:val="26"/>
                <w:rtl/>
              </w:rPr>
            </w:pPr>
            <w:r w:rsidRPr="00B80891">
              <w:rPr>
                <w:rFonts w:hint="cs"/>
                <w:b/>
                <w:bCs/>
                <w:sz w:val="26"/>
                <w:szCs w:val="26"/>
                <w:rtl/>
              </w:rPr>
              <w:t>ה</w:t>
            </w:r>
            <w:r w:rsidRPr="00B80891">
              <w:rPr>
                <w:b/>
                <w:bCs/>
                <w:sz w:val="26"/>
                <w:szCs w:val="26"/>
                <w:rtl/>
              </w:rPr>
              <w:t>מאשימה</w:t>
            </w:r>
          </w:p>
        </w:tc>
        <w:tc>
          <w:tcPr>
            <w:tcW w:w="5922" w:type="dxa"/>
            <w:gridSpan w:val="2"/>
            <w:shd w:val="clear" w:color="auto" w:fill="auto"/>
          </w:tcPr>
          <w:p w14:paraId="341A96AF" w14:textId="77777777" w:rsidR="00124E37" w:rsidRPr="00B80891" w:rsidRDefault="00124E37" w:rsidP="008F38CA">
            <w:pPr>
              <w:rPr>
                <w:rtl/>
              </w:rPr>
            </w:pPr>
          </w:p>
          <w:p w14:paraId="7B1386FF" w14:textId="77777777" w:rsidR="00124E37" w:rsidRPr="00B80891" w:rsidRDefault="00124E37" w:rsidP="008F38CA">
            <w:pPr>
              <w:rPr>
                <w:b/>
                <w:bCs/>
                <w:sz w:val="26"/>
                <w:szCs w:val="26"/>
                <w:rtl/>
              </w:rPr>
            </w:pPr>
            <w:r w:rsidRPr="00B80891">
              <w:rPr>
                <w:rFonts w:hint="cs"/>
                <w:rtl/>
              </w:rPr>
              <w:t xml:space="preserve"> </w:t>
            </w:r>
            <w:r w:rsidRPr="00B80891">
              <w:rPr>
                <w:b/>
                <w:bCs/>
                <w:sz w:val="26"/>
                <w:szCs w:val="26"/>
                <w:rtl/>
              </w:rPr>
              <w:t>מדינת ישראל</w:t>
            </w:r>
          </w:p>
          <w:p w14:paraId="372ED328" w14:textId="77777777" w:rsidR="00124E37" w:rsidRPr="00B80891" w:rsidRDefault="00124E37" w:rsidP="008F38CA">
            <w:pPr>
              <w:rPr>
                <w:b/>
                <w:bCs/>
                <w:sz w:val="26"/>
                <w:szCs w:val="26"/>
                <w:rtl/>
              </w:rPr>
            </w:pPr>
          </w:p>
        </w:tc>
      </w:tr>
      <w:bookmarkEnd w:id="1"/>
      <w:tr w:rsidR="008F38CA" w:rsidRPr="00B80891" w14:paraId="21156859" w14:textId="77777777" w:rsidTr="00124E37">
        <w:tc>
          <w:tcPr>
            <w:tcW w:w="8802" w:type="dxa"/>
            <w:gridSpan w:val="3"/>
            <w:shd w:val="clear" w:color="auto" w:fill="auto"/>
            <w:vAlign w:val="center"/>
          </w:tcPr>
          <w:p w14:paraId="0F1B365C" w14:textId="77777777" w:rsidR="00124E37" w:rsidRPr="00B80891" w:rsidRDefault="00124E37" w:rsidP="00124E37">
            <w:pPr>
              <w:jc w:val="center"/>
              <w:rPr>
                <w:rFonts w:ascii="Arial" w:hAnsi="Arial"/>
                <w:b/>
                <w:bCs/>
                <w:sz w:val="26"/>
                <w:szCs w:val="26"/>
                <w:rtl/>
              </w:rPr>
            </w:pPr>
            <w:r w:rsidRPr="00B80891">
              <w:rPr>
                <w:rFonts w:ascii="Arial" w:hAnsi="Arial"/>
                <w:b/>
                <w:bCs/>
                <w:sz w:val="26"/>
                <w:szCs w:val="26"/>
                <w:rtl/>
              </w:rPr>
              <w:t>נגד</w:t>
            </w:r>
          </w:p>
          <w:p w14:paraId="220125D7" w14:textId="77777777" w:rsidR="00124E37" w:rsidRPr="00B80891" w:rsidRDefault="00124E37" w:rsidP="008F38CA">
            <w:pPr>
              <w:rPr>
                <w:rFonts w:ascii="Arial" w:hAnsi="Arial"/>
                <w:b/>
                <w:bCs/>
                <w:sz w:val="26"/>
                <w:szCs w:val="26"/>
              </w:rPr>
            </w:pPr>
          </w:p>
        </w:tc>
      </w:tr>
      <w:tr w:rsidR="008F38CA" w:rsidRPr="00B80891" w14:paraId="20C8EC47" w14:textId="77777777" w:rsidTr="00124E37">
        <w:tc>
          <w:tcPr>
            <w:tcW w:w="2880" w:type="dxa"/>
            <w:shd w:val="clear" w:color="auto" w:fill="auto"/>
          </w:tcPr>
          <w:p w14:paraId="4D50DD7F" w14:textId="77777777" w:rsidR="00124E37" w:rsidRPr="00B80891" w:rsidRDefault="00124E37" w:rsidP="00124E37">
            <w:pPr>
              <w:ind w:left="26"/>
              <w:rPr>
                <w:b/>
                <w:bCs/>
                <w:sz w:val="26"/>
                <w:szCs w:val="26"/>
                <w:rtl/>
              </w:rPr>
            </w:pPr>
            <w:r w:rsidRPr="00B80891">
              <w:rPr>
                <w:rFonts w:hint="cs"/>
                <w:b/>
                <w:bCs/>
                <w:sz w:val="26"/>
                <w:szCs w:val="26"/>
                <w:rtl/>
              </w:rPr>
              <w:t>ה</w:t>
            </w:r>
            <w:r w:rsidRPr="00B80891">
              <w:rPr>
                <w:b/>
                <w:bCs/>
                <w:sz w:val="26"/>
                <w:szCs w:val="26"/>
                <w:rtl/>
              </w:rPr>
              <w:t>נאשם</w:t>
            </w:r>
          </w:p>
        </w:tc>
        <w:tc>
          <w:tcPr>
            <w:tcW w:w="5922" w:type="dxa"/>
            <w:gridSpan w:val="2"/>
            <w:shd w:val="clear" w:color="auto" w:fill="auto"/>
          </w:tcPr>
          <w:p w14:paraId="324E2FB3" w14:textId="77777777" w:rsidR="00124E37" w:rsidRPr="00B80891" w:rsidRDefault="00124E37" w:rsidP="005679F1">
            <w:pPr>
              <w:rPr>
                <w:rFonts w:hint="cs"/>
                <w:b/>
                <w:bCs/>
                <w:sz w:val="26"/>
                <w:szCs w:val="26"/>
                <w:rtl/>
              </w:rPr>
            </w:pPr>
            <w:r w:rsidRPr="00B80891">
              <w:rPr>
                <w:rFonts w:hint="cs"/>
                <w:rtl/>
              </w:rPr>
              <w:t xml:space="preserve"> </w:t>
            </w:r>
            <w:r w:rsidRPr="00B80891">
              <w:rPr>
                <w:b/>
                <w:bCs/>
                <w:sz w:val="26"/>
                <w:szCs w:val="26"/>
                <w:rtl/>
              </w:rPr>
              <w:t>מאיר בואהרון</w:t>
            </w:r>
            <w:r w:rsidRPr="00B80891">
              <w:rPr>
                <w:rFonts w:hint="cs"/>
                <w:rtl/>
              </w:rPr>
              <w:t xml:space="preserve"> </w:t>
            </w:r>
          </w:p>
          <w:p w14:paraId="7C88A257" w14:textId="77777777" w:rsidR="00124E37" w:rsidRPr="00B80891" w:rsidRDefault="00124E37" w:rsidP="008F38CA">
            <w:pPr>
              <w:rPr>
                <w:b/>
                <w:bCs/>
                <w:sz w:val="26"/>
                <w:szCs w:val="26"/>
                <w:rtl/>
              </w:rPr>
            </w:pPr>
          </w:p>
        </w:tc>
      </w:tr>
    </w:tbl>
    <w:p w14:paraId="571D1F42" w14:textId="77777777" w:rsidR="00124E37" w:rsidRPr="00B80891" w:rsidRDefault="00124E37" w:rsidP="00124E37">
      <w:pPr>
        <w:spacing w:line="360" w:lineRule="auto"/>
        <w:jc w:val="both"/>
        <w:rPr>
          <w:sz w:val="6"/>
          <w:szCs w:val="6"/>
          <w:rtl/>
        </w:rPr>
      </w:pPr>
      <w:r w:rsidRPr="00B80891">
        <w:rPr>
          <w:sz w:val="6"/>
          <w:szCs w:val="6"/>
          <w:rtl/>
        </w:rPr>
        <w:t>&lt;#2#&gt;</w:t>
      </w:r>
    </w:p>
    <w:p w14:paraId="1344FB0D" w14:textId="77777777" w:rsidR="00124E37" w:rsidRPr="00B80891" w:rsidRDefault="00124E37" w:rsidP="00124E37">
      <w:pPr>
        <w:pStyle w:val="12"/>
        <w:rPr>
          <w:u w:val="none"/>
          <w:rtl/>
        </w:rPr>
      </w:pPr>
      <w:r w:rsidRPr="00B80891">
        <w:rPr>
          <w:rFonts w:hint="cs"/>
          <w:u w:val="none"/>
          <w:rtl/>
        </w:rPr>
        <w:t>נוכחים:</w:t>
      </w:r>
    </w:p>
    <w:p w14:paraId="585FCD8E" w14:textId="77777777" w:rsidR="00124E37" w:rsidRPr="00B80891" w:rsidRDefault="00124E37" w:rsidP="00124E37">
      <w:pPr>
        <w:pStyle w:val="12"/>
        <w:rPr>
          <w:b w:val="0"/>
          <w:bCs w:val="0"/>
          <w:u w:val="none"/>
          <w:rtl/>
        </w:rPr>
      </w:pPr>
      <w:bookmarkStart w:id="2" w:name="FirstLawyer"/>
      <w:r w:rsidRPr="00B80891">
        <w:rPr>
          <w:rFonts w:hint="cs"/>
          <w:b w:val="0"/>
          <w:bCs w:val="0"/>
          <w:u w:val="none"/>
          <w:rtl/>
        </w:rPr>
        <w:t>ב"כ</w:t>
      </w:r>
      <w:bookmarkEnd w:id="2"/>
      <w:r w:rsidRPr="00B80891">
        <w:rPr>
          <w:rFonts w:hint="cs"/>
          <w:b w:val="0"/>
          <w:bCs w:val="0"/>
          <w:u w:val="none"/>
          <w:rtl/>
        </w:rPr>
        <w:t xml:space="preserve"> המאשימה עו"ד רוני אלסטר</w:t>
      </w:r>
    </w:p>
    <w:p w14:paraId="6E5DA463" w14:textId="77777777" w:rsidR="00124E37" w:rsidRPr="00B80891" w:rsidRDefault="00124E37" w:rsidP="00124E37">
      <w:pPr>
        <w:pStyle w:val="12"/>
        <w:rPr>
          <w:b w:val="0"/>
          <w:bCs w:val="0"/>
          <w:u w:val="none"/>
          <w:rtl/>
        </w:rPr>
      </w:pPr>
      <w:r w:rsidRPr="00B80891">
        <w:rPr>
          <w:rFonts w:hint="cs"/>
          <w:b w:val="0"/>
          <w:bCs w:val="0"/>
          <w:u w:val="none"/>
          <w:rtl/>
        </w:rPr>
        <w:t xml:space="preserve">הנאשם וב"כ עו"ד סגרון </w:t>
      </w:r>
    </w:p>
    <w:p w14:paraId="19786812" w14:textId="77777777" w:rsidR="00124E37" w:rsidRPr="00B80891" w:rsidRDefault="00124E37" w:rsidP="00124E37">
      <w:pPr>
        <w:pStyle w:val="12"/>
        <w:rPr>
          <w:b w:val="0"/>
          <w:bCs w:val="0"/>
          <w:u w:val="none"/>
          <w:rtl/>
        </w:rPr>
      </w:pPr>
    </w:p>
    <w:p w14:paraId="3B3D48FD" w14:textId="77777777" w:rsidR="00124E37" w:rsidRPr="00B80891" w:rsidRDefault="00124E37" w:rsidP="00124E37">
      <w:pPr>
        <w:tabs>
          <w:tab w:val="left" w:pos="566"/>
        </w:tabs>
        <w:spacing w:line="360" w:lineRule="auto"/>
        <w:jc w:val="center"/>
        <w:rPr>
          <w:rFonts w:ascii="Arial" w:hAnsi="Arial"/>
          <w:b/>
          <w:bCs/>
          <w:sz w:val="28"/>
          <w:szCs w:val="28"/>
          <w:rtl/>
        </w:rPr>
      </w:pPr>
      <w:r w:rsidRPr="00B80891">
        <w:rPr>
          <w:rFonts w:ascii="Arial" w:hAnsi="Arial"/>
          <w:b/>
          <w:color w:val="FF0000"/>
          <w:sz w:val="28"/>
          <w:rtl/>
        </w:rPr>
        <w:t>במסמך זה הושמטו פרוטוקולים</w:t>
      </w:r>
    </w:p>
    <w:p w14:paraId="3925F292" w14:textId="77777777" w:rsidR="00B80891" w:rsidRDefault="00B80891" w:rsidP="00124E37">
      <w:pPr>
        <w:tabs>
          <w:tab w:val="left" w:pos="566"/>
        </w:tabs>
        <w:spacing w:line="360" w:lineRule="auto"/>
        <w:jc w:val="center"/>
        <w:rPr>
          <w:rFonts w:ascii="Arial" w:hAnsi="Arial"/>
          <w:sz w:val="28"/>
          <w:szCs w:val="28"/>
          <w:rtl/>
        </w:rPr>
      </w:pPr>
      <w:bookmarkStart w:id="3" w:name="LawTable"/>
      <w:bookmarkEnd w:id="3"/>
    </w:p>
    <w:p w14:paraId="7FD78AA6" w14:textId="77777777" w:rsidR="00B80891" w:rsidRPr="00B80891" w:rsidRDefault="00B80891" w:rsidP="00B80891">
      <w:pPr>
        <w:tabs>
          <w:tab w:val="left" w:pos="566"/>
        </w:tabs>
        <w:spacing w:after="120" w:line="240" w:lineRule="exact"/>
        <w:ind w:left="283" w:hanging="283"/>
        <w:jc w:val="both"/>
        <w:rPr>
          <w:rFonts w:ascii="FrankRuehl" w:hAnsi="FrankRuehl" w:cs="FrankRuehl"/>
          <w:rtl/>
        </w:rPr>
      </w:pPr>
    </w:p>
    <w:p w14:paraId="0AEF0AAE" w14:textId="77777777" w:rsidR="00B80891" w:rsidRPr="00B80891" w:rsidRDefault="00B80891" w:rsidP="00B80891">
      <w:pPr>
        <w:tabs>
          <w:tab w:val="left" w:pos="566"/>
        </w:tabs>
        <w:spacing w:after="120" w:line="240" w:lineRule="exact"/>
        <w:ind w:left="283" w:hanging="283"/>
        <w:jc w:val="both"/>
        <w:rPr>
          <w:rFonts w:ascii="FrankRuehl" w:hAnsi="FrankRuehl" w:cs="FrankRuehl"/>
          <w:rtl/>
        </w:rPr>
      </w:pPr>
      <w:r w:rsidRPr="00B80891">
        <w:rPr>
          <w:rFonts w:ascii="FrankRuehl" w:hAnsi="FrankRuehl" w:cs="FrankRuehl"/>
          <w:rtl/>
        </w:rPr>
        <w:t xml:space="preserve">חקיקה שאוזכרה: </w:t>
      </w:r>
    </w:p>
    <w:p w14:paraId="0F7958CE" w14:textId="77777777" w:rsidR="00B80891" w:rsidRPr="00B80891" w:rsidRDefault="00B80891" w:rsidP="00B80891">
      <w:pPr>
        <w:tabs>
          <w:tab w:val="left" w:pos="566"/>
        </w:tabs>
        <w:spacing w:after="120" w:line="240" w:lineRule="exact"/>
        <w:ind w:left="283" w:hanging="283"/>
        <w:jc w:val="both"/>
        <w:rPr>
          <w:rFonts w:ascii="FrankRuehl" w:hAnsi="FrankRuehl" w:cs="FrankRuehl"/>
          <w:color w:val="0000FF"/>
          <w:u w:val="single"/>
          <w:rtl/>
        </w:rPr>
      </w:pPr>
      <w:hyperlink r:id="rId7" w:history="1">
        <w:r w:rsidRPr="00B80891">
          <w:rPr>
            <w:rStyle w:val="Hyperlink"/>
            <w:rFonts w:ascii="FrankRuehl" w:hAnsi="FrankRuehl" w:cs="FrankRuehl"/>
            <w:rtl/>
          </w:rPr>
          <w:t>פקודת הסמים המסוכנים [נוסח חדש], תשל"ג-1973</w:t>
        </w:r>
      </w:hyperlink>
    </w:p>
    <w:p w14:paraId="3D509507" w14:textId="77777777" w:rsidR="00B80891" w:rsidRPr="00B80891" w:rsidRDefault="00B80891" w:rsidP="00B80891">
      <w:pPr>
        <w:tabs>
          <w:tab w:val="left" w:pos="566"/>
        </w:tabs>
        <w:spacing w:after="120" w:line="240" w:lineRule="exact"/>
        <w:ind w:left="283" w:hanging="283"/>
        <w:jc w:val="both"/>
        <w:rPr>
          <w:rFonts w:ascii="FrankRuehl" w:hAnsi="FrankRuehl" w:cs="FrankRuehl"/>
          <w:rtl/>
        </w:rPr>
      </w:pPr>
    </w:p>
    <w:p w14:paraId="5771FE3D" w14:textId="77777777" w:rsidR="00B80891" w:rsidRPr="00B80891" w:rsidRDefault="00B80891" w:rsidP="00124E37">
      <w:pPr>
        <w:tabs>
          <w:tab w:val="left" w:pos="566"/>
        </w:tabs>
        <w:spacing w:line="360" w:lineRule="auto"/>
        <w:jc w:val="center"/>
        <w:rPr>
          <w:rFonts w:ascii="Arial" w:hAnsi="Arial"/>
          <w:b/>
          <w:bCs/>
          <w:sz w:val="28"/>
          <w:szCs w:val="28"/>
          <w:rtl/>
        </w:rPr>
      </w:pPr>
      <w:bookmarkStart w:id="4" w:name="LawTable_End"/>
      <w:bookmarkEnd w:id="4"/>
    </w:p>
    <w:p w14:paraId="4B335C0D" w14:textId="77777777" w:rsidR="00B80891" w:rsidRPr="00B80891" w:rsidRDefault="00B80891" w:rsidP="00B80891">
      <w:pPr>
        <w:tabs>
          <w:tab w:val="left" w:pos="566"/>
        </w:tabs>
        <w:spacing w:line="360" w:lineRule="auto"/>
        <w:jc w:val="center"/>
        <w:rPr>
          <w:rFonts w:ascii="Arial" w:hAnsi="Arial"/>
          <w:b/>
          <w:bCs/>
          <w:sz w:val="28"/>
          <w:szCs w:val="28"/>
          <w:u w:val="single"/>
          <w:rtl/>
        </w:rPr>
      </w:pPr>
      <w:bookmarkStart w:id="5" w:name="PsakDin"/>
      <w:bookmarkEnd w:id="0"/>
      <w:r w:rsidRPr="00B80891">
        <w:rPr>
          <w:rFonts w:ascii="Arial" w:hAnsi="Arial"/>
          <w:b/>
          <w:bCs/>
          <w:sz w:val="28"/>
          <w:szCs w:val="28"/>
          <w:u w:val="single"/>
          <w:rtl/>
        </w:rPr>
        <w:t>גזר דין</w:t>
      </w:r>
    </w:p>
    <w:bookmarkEnd w:id="5"/>
    <w:p w14:paraId="0C5F3C29" w14:textId="77777777" w:rsidR="00124E37" w:rsidRDefault="00124E37" w:rsidP="00124E37">
      <w:pPr>
        <w:tabs>
          <w:tab w:val="left" w:pos="566"/>
        </w:tabs>
        <w:spacing w:line="360" w:lineRule="auto"/>
        <w:jc w:val="both"/>
        <w:rPr>
          <w:rtl/>
        </w:rPr>
      </w:pPr>
    </w:p>
    <w:p w14:paraId="3C93B7C7" w14:textId="77777777" w:rsidR="00124E37" w:rsidRDefault="00124E37" w:rsidP="00124E37">
      <w:pPr>
        <w:tabs>
          <w:tab w:val="left" w:pos="566"/>
        </w:tabs>
        <w:spacing w:line="360" w:lineRule="auto"/>
        <w:jc w:val="both"/>
        <w:rPr>
          <w:rtl/>
        </w:rPr>
      </w:pPr>
      <w:bookmarkStart w:id="6" w:name="ABSTRACT_START"/>
      <w:bookmarkEnd w:id="6"/>
      <w:r w:rsidRPr="00300654">
        <w:rPr>
          <w:rFonts w:hint="cs"/>
          <w:rtl/>
        </w:rPr>
        <w:t>הנאשם הורשע על פי הודאתו, במס</w:t>
      </w:r>
      <w:r>
        <w:rPr>
          <w:rFonts w:hint="cs"/>
          <w:rtl/>
        </w:rPr>
        <w:t>גרת הסדר טיעון, בביצוע עבירות של גידול סמים מסוכנים (2 עבירות) וכן החזקת סמים שלא לצריכה עצמית וזאת בגין 3 אירועים כפי שיפורט להלן.</w:t>
      </w:r>
    </w:p>
    <w:p w14:paraId="09FE20B1" w14:textId="77777777" w:rsidR="00124E37" w:rsidRDefault="00124E37" w:rsidP="00124E37">
      <w:pPr>
        <w:tabs>
          <w:tab w:val="left" w:pos="566"/>
        </w:tabs>
        <w:spacing w:line="360" w:lineRule="auto"/>
        <w:jc w:val="both"/>
        <w:rPr>
          <w:rtl/>
        </w:rPr>
      </w:pPr>
      <w:r>
        <w:rPr>
          <w:rFonts w:hint="cs"/>
          <w:rtl/>
        </w:rPr>
        <w:t xml:space="preserve">האירוע הראשון התרחש במרץ 2014, כאשר הנאשם גידל 5 שתילים של סם מסוכן מסוג קנביס במשקל כולל של קילוגרם נטו . </w:t>
      </w:r>
    </w:p>
    <w:p w14:paraId="7538E024" w14:textId="77777777" w:rsidR="00124E37" w:rsidRDefault="00124E37" w:rsidP="00124E37">
      <w:pPr>
        <w:tabs>
          <w:tab w:val="left" w:pos="566"/>
        </w:tabs>
        <w:spacing w:line="360" w:lineRule="auto"/>
        <w:jc w:val="both"/>
        <w:rPr>
          <w:rtl/>
        </w:rPr>
      </w:pPr>
      <w:r>
        <w:rPr>
          <w:rFonts w:hint="cs"/>
          <w:rtl/>
        </w:rPr>
        <w:t>האירוע השני התרחש ביוני 2014, כאשר בחיפוש משטרתי התבר שהנאשם מחזיק ברשותו כמות כוללת של מעל 100 גרם נטו סם מסוכן מסוג קנביס/חשיש.</w:t>
      </w:r>
    </w:p>
    <w:p w14:paraId="21FBCDF9" w14:textId="77777777" w:rsidR="00124E37" w:rsidRDefault="00124E37" w:rsidP="00124E37">
      <w:pPr>
        <w:tabs>
          <w:tab w:val="left" w:pos="566"/>
        </w:tabs>
        <w:spacing w:line="360" w:lineRule="auto"/>
        <w:jc w:val="both"/>
        <w:rPr>
          <w:rtl/>
        </w:rPr>
      </w:pPr>
      <w:bookmarkStart w:id="7" w:name="ABSTRACT_END"/>
      <w:bookmarkEnd w:id="7"/>
    </w:p>
    <w:p w14:paraId="54199DE6" w14:textId="77777777" w:rsidR="00124E37" w:rsidRDefault="00124E37" w:rsidP="00124E37">
      <w:pPr>
        <w:tabs>
          <w:tab w:val="left" w:pos="566"/>
        </w:tabs>
        <w:spacing w:line="360" w:lineRule="auto"/>
        <w:jc w:val="both"/>
        <w:rPr>
          <w:rtl/>
        </w:rPr>
      </w:pPr>
      <w:r>
        <w:rPr>
          <w:rFonts w:hint="cs"/>
          <w:rtl/>
        </w:rPr>
        <w:t xml:space="preserve">האירוע השלישי התרחש בחודש יולי 2015, כאשר הנאשם גידל 16 שתילים וסם מסוכן מסוג קנביס, במשקל כולל של כ-1.15 קילוגרם תוך שפעל להגיע למקום מספר ימים כדי להשקות את השתילים ולהשתמש באמצעים חקלאיים שונים לגידולם. </w:t>
      </w:r>
    </w:p>
    <w:p w14:paraId="75CB7597" w14:textId="77777777" w:rsidR="00124E37" w:rsidRDefault="00124E37" w:rsidP="00124E37">
      <w:pPr>
        <w:tabs>
          <w:tab w:val="left" w:pos="566"/>
        </w:tabs>
        <w:spacing w:line="360" w:lineRule="auto"/>
        <w:jc w:val="both"/>
        <w:rPr>
          <w:rtl/>
        </w:rPr>
      </w:pPr>
    </w:p>
    <w:p w14:paraId="196B176C" w14:textId="77777777" w:rsidR="00124E37" w:rsidRDefault="00124E37" w:rsidP="00124E37">
      <w:pPr>
        <w:tabs>
          <w:tab w:val="left" w:pos="566"/>
        </w:tabs>
        <w:spacing w:line="360" w:lineRule="auto"/>
        <w:jc w:val="both"/>
        <w:rPr>
          <w:rtl/>
        </w:rPr>
      </w:pPr>
      <w:r>
        <w:rPr>
          <w:rFonts w:hint="cs"/>
          <w:rtl/>
        </w:rPr>
        <w:t>כעולה מהנתונים שבאו בתסקיר שירות המבחן ובדברי הצדדים לעונש ומסמכים שהוצגו היום לנאשם רקע בריאותי קשה אשר נותן בו אותותיו באמצעות כאבים עזים, כך שהוא פנה לשימוש בקנביס לצורך מתן מענה ולו חלקי למכאוביו .</w:t>
      </w:r>
    </w:p>
    <w:p w14:paraId="3C6E3D90" w14:textId="77777777" w:rsidR="00124E37" w:rsidRDefault="00124E37" w:rsidP="00124E37">
      <w:pPr>
        <w:tabs>
          <w:tab w:val="left" w:pos="566"/>
        </w:tabs>
        <w:spacing w:line="360" w:lineRule="auto"/>
        <w:jc w:val="both"/>
        <w:rPr>
          <w:rtl/>
        </w:rPr>
      </w:pPr>
    </w:p>
    <w:p w14:paraId="6C3C810C" w14:textId="77777777" w:rsidR="00124E37" w:rsidRDefault="00124E37" w:rsidP="00124E37">
      <w:pPr>
        <w:tabs>
          <w:tab w:val="left" w:pos="566"/>
        </w:tabs>
        <w:spacing w:line="360" w:lineRule="auto"/>
        <w:jc w:val="both"/>
        <w:rPr>
          <w:rtl/>
        </w:rPr>
      </w:pPr>
      <w:r>
        <w:rPr>
          <w:rFonts w:hint="cs"/>
          <w:rtl/>
        </w:rPr>
        <w:lastRenderedPageBreak/>
        <w:t xml:space="preserve">גם במקרה של גידול שתילי סמים מסוג קנביס, אשר נועדו להפגת מכאובים עקב מצב בריאותי קשה ככלל עמדת ביהמ"ש המחוזי מרכז הינה להטלת מאסר בפועל ולו לתקופה קצרה על דרך עבודות שירות. יחד עם זאת, במקרה זה מצבו הבריאותי של הנאשם אף לא מאשפר לו לבצע עבודות שירות ולפיכך יש שיקול שלא להטיל עליו מאסר בפועל כלל. </w:t>
      </w:r>
    </w:p>
    <w:p w14:paraId="682F8AFD" w14:textId="77777777" w:rsidR="00124E37" w:rsidRDefault="00124E37" w:rsidP="00124E37">
      <w:pPr>
        <w:tabs>
          <w:tab w:val="left" w:pos="566"/>
        </w:tabs>
        <w:spacing w:line="360" w:lineRule="auto"/>
        <w:jc w:val="both"/>
        <w:rPr>
          <w:rtl/>
        </w:rPr>
      </w:pPr>
    </w:p>
    <w:p w14:paraId="02F3FFD4" w14:textId="77777777" w:rsidR="00124E37" w:rsidRDefault="00124E37" w:rsidP="00124E37">
      <w:pPr>
        <w:tabs>
          <w:tab w:val="left" w:pos="566"/>
        </w:tabs>
        <w:spacing w:line="360" w:lineRule="auto"/>
        <w:jc w:val="both"/>
        <w:rPr>
          <w:rtl/>
        </w:rPr>
      </w:pPr>
      <w:r>
        <w:rPr>
          <w:rFonts w:hint="cs"/>
          <w:rtl/>
        </w:rPr>
        <w:t xml:space="preserve">אדרבה, כאשר הנאשם מצליח בשנים האחרונות להסדיר שימוש בקנביס באמצעות רופא כאשר הכמות המותרת לו כבר הגודלה מספר פעמים דבר המלמד מחד על הצורך הבריאותי שלו בצריכת הסם ומנגד על כך שהוא מטיב להקפיד על מתן המענה במסגרת הרפואית, כך שאם המענה לא הולם בתקופות מסויימות הרי שכאמור פועל לשכנע את הגורמים המתאימים שיש להגדילו. </w:t>
      </w:r>
    </w:p>
    <w:p w14:paraId="65AA1B6A" w14:textId="77777777" w:rsidR="00124E37" w:rsidRDefault="00124E37" w:rsidP="00124E37">
      <w:pPr>
        <w:tabs>
          <w:tab w:val="left" w:pos="566"/>
        </w:tabs>
        <w:spacing w:line="360" w:lineRule="auto"/>
        <w:jc w:val="both"/>
        <w:rPr>
          <w:rtl/>
        </w:rPr>
      </w:pPr>
    </w:p>
    <w:p w14:paraId="49EAA294" w14:textId="77777777" w:rsidR="00124E37" w:rsidRDefault="00124E37" w:rsidP="00124E37">
      <w:pPr>
        <w:tabs>
          <w:tab w:val="left" w:pos="566"/>
        </w:tabs>
        <w:spacing w:line="360" w:lineRule="auto"/>
        <w:jc w:val="both"/>
        <w:rPr>
          <w:rtl/>
        </w:rPr>
      </w:pPr>
      <w:r>
        <w:rPr>
          <w:rFonts w:hint="cs"/>
          <w:rtl/>
        </w:rPr>
        <w:t>הנאשם אמר אף דברים ברורים היום בפני המלמדים על רצונו להמשיך ולתת מענה למכאוביו רק במסגרת החוק גם אם לא מדובר במענה מלא .</w:t>
      </w:r>
    </w:p>
    <w:p w14:paraId="496BD5EA" w14:textId="77777777" w:rsidR="00124E37" w:rsidRDefault="00124E37" w:rsidP="00124E37">
      <w:pPr>
        <w:tabs>
          <w:tab w:val="left" w:pos="566"/>
        </w:tabs>
        <w:spacing w:line="360" w:lineRule="auto"/>
        <w:jc w:val="both"/>
        <w:rPr>
          <w:rtl/>
        </w:rPr>
      </w:pPr>
    </w:p>
    <w:p w14:paraId="48FA5D28" w14:textId="77777777" w:rsidR="00124E37" w:rsidRDefault="00124E37" w:rsidP="00124E37">
      <w:pPr>
        <w:tabs>
          <w:tab w:val="left" w:pos="566"/>
        </w:tabs>
        <w:spacing w:line="360" w:lineRule="auto"/>
        <w:jc w:val="both"/>
        <w:rPr>
          <w:rtl/>
        </w:rPr>
      </w:pPr>
      <w:r>
        <w:rPr>
          <w:rFonts w:hint="cs"/>
          <w:rtl/>
        </w:rPr>
        <w:t xml:space="preserve">בשים לב לכל אלה הרי שעברו הפלילי המכביד של הנאשם לא צריך לקחת בחשבון בהיבט שלחובתו אלא להיפך, במובן שיש לראות את הנאשם כמי ששם עברו מאחוריו ופועל לשקם את חייו ולפעול אך ורק במסגרת החוק עם כל תלאותיו. </w:t>
      </w:r>
    </w:p>
    <w:p w14:paraId="47D497A1" w14:textId="77777777" w:rsidR="00124E37" w:rsidRDefault="00124E37" w:rsidP="00124E37">
      <w:pPr>
        <w:tabs>
          <w:tab w:val="left" w:pos="566"/>
        </w:tabs>
        <w:spacing w:line="360" w:lineRule="auto"/>
        <w:jc w:val="both"/>
        <w:rPr>
          <w:rtl/>
        </w:rPr>
      </w:pPr>
    </w:p>
    <w:p w14:paraId="41C9DBFF" w14:textId="77777777" w:rsidR="00124E37" w:rsidRDefault="00124E37" w:rsidP="00124E37">
      <w:pPr>
        <w:tabs>
          <w:tab w:val="left" w:pos="566"/>
        </w:tabs>
        <w:spacing w:line="360" w:lineRule="auto"/>
        <w:jc w:val="both"/>
        <w:rPr>
          <w:rtl/>
        </w:rPr>
      </w:pPr>
      <w:r>
        <w:rPr>
          <w:rFonts w:hint="cs"/>
          <w:rtl/>
        </w:rPr>
        <w:t>בשים לב לכך הסדר הטיעון אליו הגיעו הצדדים הינו סביר, והולם ועל כן הריני לאמצו.</w:t>
      </w:r>
    </w:p>
    <w:p w14:paraId="78099DAD" w14:textId="77777777" w:rsidR="00124E37" w:rsidRDefault="00124E37" w:rsidP="00124E37">
      <w:pPr>
        <w:tabs>
          <w:tab w:val="left" w:pos="566"/>
        </w:tabs>
        <w:spacing w:line="360" w:lineRule="auto"/>
        <w:jc w:val="both"/>
        <w:rPr>
          <w:rtl/>
        </w:rPr>
      </w:pPr>
    </w:p>
    <w:p w14:paraId="23F2E019" w14:textId="77777777" w:rsidR="00124E37" w:rsidRDefault="00124E37" w:rsidP="00124E37">
      <w:pPr>
        <w:tabs>
          <w:tab w:val="left" w:pos="566"/>
        </w:tabs>
        <w:snapToGrid w:val="0"/>
        <w:spacing w:line="360" w:lineRule="auto"/>
        <w:jc w:val="both"/>
        <w:rPr>
          <w:rtl/>
        </w:rPr>
      </w:pPr>
    </w:p>
    <w:p w14:paraId="378BE870" w14:textId="77777777" w:rsidR="00124E37" w:rsidRDefault="00124E37" w:rsidP="00124E37">
      <w:pPr>
        <w:tabs>
          <w:tab w:val="left" w:pos="566"/>
        </w:tabs>
        <w:snapToGrid w:val="0"/>
        <w:spacing w:line="360" w:lineRule="auto"/>
        <w:jc w:val="both"/>
        <w:rPr>
          <w:rtl/>
        </w:rPr>
      </w:pPr>
    </w:p>
    <w:p w14:paraId="0D60E3DC" w14:textId="77777777" w:rsidR="00124E37" w:rsidRPr="00300654" w:rsidRDefault="00124E37" w:rsidP="00124E37">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59123A39" w14:textId="77777777" w:rsidR="00124E37" w:rsidRDefault="00124E37" w:rsidP="00124E37">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12</w:t>
      </w:r>
      <w:r w:rsidRPr="00300654">
        <w:rPr>
          <w:rFonts w:hint="cs"/>
          <w:rtl/>
        </w:rPr>
        <w:t xml:space="preserve"> חודשים למשך 3 שנים מהיום, והתנאי הוא שלא יעבור </w:t>
      </w:r>
      <w:r>
        <w:rPr>
          <w:rFonts w:hint="cs"/>
          <w:rtl/>
        </w:rPr>
        <w:t xml:space="preserve">עבירה על </w:t>
      </w:r>
      <w:hyperlink r:id="rId8" w:history="1">
        <w:r w:rsidR="00B80891" w:rsidRPr="00B80891">
          <w:rPr>
            <w:rStyle w:val="Hyperlink"/>
            <w:rFonts w:hint="eastAsia"/>
            <w:color w:val="0000FF"/>
            <w:rtl/>
          </w:rPr>
          <w:t>פקודת</w:t>
        </w:r>
        <w:r w:rsidR="00B80891" w:rsidRPr="00B80891">
          <w:rPr>
            <w:rStyle w:val="Hyperlink"/>
            <w:color w:val="0000FF"/>
            <w:rtl/>
          </w:rPr>
          <w:t xml:space="preserve"> הסמים המסוכנים</w:t>
        </w:r>
      </w:hyperlink>
      <w:r>
        <w:rPr>
          <w:rFonts w:hint="cs"/>
          <w:rtl/>
        </w:rPr>
        <w:t xml:space="preserve"> מסוג פשע.</w:t>
      </w:r>
    </w:p>
    <w:p w14:paraId="2B508B9A" w14:textId="77777777" w:rsidR="00124E37" w:rsidRPr="00300654" w:rsidRDefault="00124E37" w:rsidP="00124E37">
      <w:pPr>
        <w:numPr>
          <w:ilvl w:val="0"/>
          <w:numId w:val="1"/>
        </w:numPr>
        <w:tabs>
          <w:tab w:val="left" w:pos="566"/>
        </w:tabs>
        <w:snapToGrid w:val="0"/>
        <w:spacing w:line="360" w:lineRule="auto"/>
        <w:ind w:left="658" w:hanging="298"/>
        <w:jc w:val="both"/>
        <w:rPr>
          <w:rtl/>
        </w:rPr>
      </w:pPr>
      <w:r>
        <w:rPr>
          <w:rFonts w:hint="cs"/>
          <w:rtl/>
        </w:rPr>
        <w:t xml:space="preserve">מאסר על תנאי של 6 חודשים למשך 3 שנים מהיום, והתנאי הוא שלא יעבור עבירה על </w:t>
      </w:r>
      <w:hyperlink r:id="rId9" w:history="1">
        <w:r w:rsidR="00B80891" w:rsidRPr="00B80891">
          <w:rPr>
            <w:rStyle w:val="Hyperlink"/>
            <w:rFonts w:hint="eastAsia"/>
            <w:color w:val="0000FF"/>
            <w:rtl/>
          </w:rPr>
          <w:t>פקודת</w:t>
        </w:r>
        <w:r w:rsidR="00B80891" w:rsidRPr="00B80891">
          <w:rPr>
            <w:rStyle w:val="Hyperlink"/>
            <w:color w:val="0000FF"/>
            <w:rtl/>
          </w:rPr>
          <w:t xml:space="preserve"> הסמים המסוכנים</w:t>
        </w:r>
      </w:hyperlink>
      <w:r>
        <w:rPr>
          <w:rFonts w:hint="cs"/>
          <w:rtl/>
        </w:rPr>
        <w:t xml:space="preserve"> מסוג עוון. </w:t>
      </w:r>
    </w:p>
    <w:p w14:paraId="4C086631" w14:textId="77777777" w:rsidR="00124E37" w:rsidRPr="00300654" w:rsidRDefault="00124E37" w:rsidP="00124E37">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1000</w:t>
      </w:r>
      <w:r w:rsidRPr="00300654">
        <w:rPr>
          <w:rFonts w:hint="cs"/>
          <w:rtl/>
        </w:rPr>
        <w:t xml:space="preserve"> ₪, או </w:t>
      </w:r>
      <w:r>
        <w:rPr>
          <w:rFonts w:hint="cs"/>
          <w:rtl/>
        </w:rPr>
        <w:t>10</w:t>
      </w:r>
      <w:r w:rsidRPr="00300654">
        <w:rPr>
          <w:rFonts w:hint="cs"/>
          <w:rtl/>
        </w:rPr>
        <w:t xml:space="preserve"> ימי מאסר תמורתו</w:t>
      </w:r>
      <w:r>
        <w:rPr>
          <w:rFonts w:hint="cs"/>
          <w:rtl/>
        </w:rPr>
        <w:t xml:space="preserve"> אם הקנס לא ישולם</w:t>
      </w:r>
      <w:r w:rsidRPr="00300654">
        <w:rPr>
          <w:rFonts w:hint="cs"/>
          <w:rtl/>
        </w:rPr>
        <w:t>. הקנס ישולם ב-</w:t>
      </w:r>
      <w:r>
        <w:rPr>
          <w:rFonts w:hint="cs"/>
          <w:rtl/>
        </w:rPr>
        <w:t>4</w:t>
      </w:r>
      <w:r w:rsidRPr="00300654">
        <w:rPr>
          <w:rFonts w:hint="cs"/>
          <w:rtl/>
        </w:rPr>
        <w:t xml:space="preserve"> תשלומים חודשיים, שווים ורצופים, החל מיום </w:t>
      </w:r>
      <w:r>
        <w:rPr>
          <w:rFonts w:hint="cs"/>
          <w:rtl/>
        </w:rPr>
        <w:t>15.8.17</w:t>
      </w:r>
      <w:r w:rsidRPr="00300654">
        <w:rPr>
          <w:rFonts w:hint="cs"/>
          <w:rtl/>
        </w:rPr>
        <w:t xml:space="preserve"> ובכל </w:t>
      </w:r>
      <w:r>
        <w:rPr>
          <w:rFonts w:hint="cs"/>
          <w:rtl/>
        </w:rPr>
        <w:t>15</w:t>
      </w:r>
      <w:r w:rsidRPr="00300654">
        <w:rPr>
          <w:rFonts w:hint="cs"/>
          <w:rtl/>
        </w:rPr>
        <w:t xml:space="preserve"> לכל חודש עוקב. לא ישולם תשלום אחד במועדו – תעמוד כל היתרה לפרעון מיידי.</w:t>
      </w:r>
    </w:p>
    <w:p w14:paraId="79453812" w14:textId="77777777" w:rsidR="00124E37" w:rsidRPr="00300654" w:rsidRDefault="00124E37" w:rsidP="00124E37">
      <w:pPr>
        <w:numPr>
          <w:ilvl w:val="0"/>
          <w:numId w:val="1"/>
        </w:numPr>
        <w:tabs>
          <w:tab w:val="left" w:pos="566"/>
        </w:tabs>
        <w:snapToGrid w:val="0"/>
        <w:spacing w:line="360" w:lineRule="auto"/>
        <w:ind w:left="658" w:hanging="298"/>
        <w:jc w:val="both"/>
        <w:rPr>
          <w:rtl/>
        </w:rPr>
      </w:pPr>
      <w:r>
        <w:rPr>
          <w:rFonts w:hint="cs"/>
          <w:rtl/>
        </w:rPr>
        <w:t xml:space="preserve">אני מחייב את הנאשם לבצע 150 שעות עבודה לתועלת הציבור, וזאת בהתאם לתכנית שהכין שירות המבחן כעולה מהתסקיר. עם גמר ביצוע עבודות אלה, שירות המבחן ידווח לביהמ"ש. </w:t>
      </w:r>
    </w:p>
    <w:p w14:paraId="6F84F54F" w14:textId="77777777" w:rsidR="00124E37" w:rsidRPr="00300654" w:rsidRDefault="00124E37" w:rsidP="00124E37">
      <w:pPr>
        <w:tabs>
          <w:tab w:val="left" w:pos="566"/>
        </w:tabs>
        <w:snapToGrid w:val="0"/>
        <w:spacing w:line="360" w:lineRule="auto"/>
        <w:jc w:val="both"/>
        <w:rPr>
          <w:rtl/>
        </w:rPr>
      </w:pPr>
    </w:p>
    <w:p w14:paraId="5AC3D1C2" w14:textId="77777777" w:rsidR="00124E37" w:rsidRPr="00300654" w:rsidRDefault="00124E37" w:rsidP="00124E37">
      <w:pPr>
        <w:tabs>
          <w:tab w:val="left" w:pos="566"/>
        </w:tabs>
        <w:snapToGrid w:val="0"/>
        <w:spacing w:line="360" w:lineRule="auto"/>
        <w:ind w:left="567" w:hanging="567"/>
        <w:jc w:val="both"/>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הסמים והאמצעים לגידולם שנתפסו.</w:t>
      </w:r>
    </w:p>
    <w:p w14:paraId="2552D545" w14:textId="77777777" w:rsidR="00124E37" w:rsidRPr="00AB1F66" w:rsidRDefault="00124E37" w:rsidP="00124E37">
      <w:pPr>
        <w:tabs>
          <w:tab w:val="left" w:pos="566"/>
        </w:tabs>
        <w:snapToGrid w:val="0"/>
        <w:spacing w:line="360" w:lineRule="auto"/>
        <w:ind w:left="567" w:hanging="567"/>
        <w:jc w:val="both"/>
        <w:rPr>
          <w:rtl/>
        </w:rPr>
      </w:pPr>
    </w:p>
    <w:p w14:paraId="75CC9114" w14:textId="77777777" w:rsidR="00124E37" w:rsidRPr="00300654" w:rsidRDefault="00124E37" w:rsidP="00124E37">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43E6A460" w14:textId="77777777" w:rsidR="00124E37" w:rsidRPr="007659E1" w:rsidRDefault="00124E37" w:rsidP="00124E37">
      <w:pPr>
        <w:tabs>
          <w:tab w:val="left" w:pos="566"/>
        </w:tabs>
        <w:snapToGrid w:val="0"/>
        <w:spacing w:line="360" w:lineRule="auto"/>
        <w:ind w:left="567" w:hanging="567"/>
        <w:jc w:val="both"/>
        <w:rPr>
          <w:rtl/>
        </w:rPr>
      </w:pPr>
    </w:p>
    <w:p w14:paraId="023CD750" w14:textId="77777777" w:rsidR="00124E37" w:rsidRDefault="00124E37" w:rsidP="00124E37">
      <w:pPr>
        <w:tabs>
          <w:tab w:val="left" w:pos="566"/>
        </w:tabs>
        <w:snapToGrid w:val="0"/>
        <w:spacing w:line="360" w:lineRule="auto"/>
        <w:ind w:left="567" w:hanging="567"/>
        <w:jc w:val="both"/>
        <w:rPr>
          <w:b/>
          <w:bCs/>
          <w:rtl/>
        </w:rPr>
      </w:pPr>
      <w:r w:rsidRPr="00300654">
        <w:rPr>
          <w:rFonts w:hint="cs"/>
          <w:b/>
          <w:bCs/>
          <w:rtl/>
        </w:rPr>
        <w:t xml:space="preserve">המזכירות תשלח העתק מגזר הדין </w:t>
      </w:r>
      <w:r>
        <w:rPr>
          <w:rFonts w:hint="cs"/>
          <w:b/>
          <w:bCs/>
          <w:rtl/>
        </w:rPr>
        <w:t>לשירות המבחן.</w:t>
      </w:r>
    </w:p>
    <w:p w14:paraId="731CC2C5" w14:textId="77777777" w:rsidR="00124E37" w:rsidRDefault="00124E37" w:rsidP="00124E37">
      <w:pPr>
        <w:tabs>
          <w:tab w:val="left" w:pos="566"/>
        </w:tabs>
        <w:snapToGrid w:val="0"/>
        <w:spacing w:line="360" w:lineRule="auto"/>
        <w:ind w:left="567" w:hanging="567"/>
        <w:jc w:val="both"/>
        <w:rPr>
          <w:b/>
          <w:bCs/>
          <w:rtl/>
        </w:rPr>
      </w:pPr>
    </w:p>
    <w:p w14:paraId="3168EDF0" w14:textId="77777777" w:rsidR="00124E37" w:rsidRDefault="00124E37" w:rsidP="00124E37">
      <w:pPr>
        <w:tabs>
          <w:tab w:val="left" w:pos="566"/>
        </w:tabs>
        <w:snapToGrid w:val="0"/>
        <w:spacing w:line="360" w:lineRule="auto"/>
        <w:ind w:left="567" w:hanging="567"/>
        <w:jc w:val="both"/>
        <w:rPr>
          <w:b/>
          <w:bCs/>
          <w:u w:val="double"/>
          <w:rtl/>
        </w:rPr>
      </w:pPr>
      <w:r>
        <w:rPr>
          <w:rFonts w:hint="cs"/>
          <w:b/>
          <w:bCs/>
          <w:rtl/>
        </w:rPr>
        <w:t xml:space="preserve">הפרוטוקול יתויק בכל התיקים. </w:t>
      </w:r>
    </w:p>
    <w:p w14:paraId="217CF006" w14:textId="77777777" w:rsidR="00124E37" w:rsidRDefault="00124E37" w:rsidP="00124E37">
      <w:pPr>
        <w:spacing w:line="360" w:lineRule="auto"/>
        <w:jc w:val="both"/>
        <w:rPr>
          <w:sz w:val="6"/>
          <w:szCs w:val="6"/>
          <w:rtl/>
        </w:rPr>
      </w:pPr>
      <w:r>
        <w:rPr>
          <w:sz w:val="6"/>
          <w:szCs w:val="6"/>
          <w:rtl/>
        </w:rPr>
        <w:t>&lt;#5#&gt;</w:t>
      </w:r>
    </w:p>
    <w:p w14:paraId="5110D5DE" w14:textId="77777777" w:rsidR="00124E37" w:rsidRDefault="00124E37" w:rsidP="00124E37">
      <w:pPr>
        <w:jc w:val="right"/>
        <w:rPr>
          <w:rtl/>
        </w:rPr>
      </w:pPr>
    </w:p>
    <w:p w14:paraId="0DE98EA0" w14:textId="77777777" w:rsidR="00124E37" w:rsidRDefault="00B80891" w:rsidP="00124E37">
      <w:pPr>
        <w:jc w:val="center"/>
        <w:rPr>
          <w:rtl/>
        </w:rPr>
      </w:pPr>
      <w:r>
        <w:rPr>
          <w:b/>
          <w:bCs/>
          <w:rtl/>
        </w:rPr>
        <w:t xml:space="preserve">ניתנה והודעה היום כ"ו תמוז תשע"ז, 20/07/2017 במעמד הנוכחים. </w:t>
      </w:r>
    </w:p>
    <w:p w14:paraId="541155F5" w14:textId="77777777" w:rsidR="00124E37" w:rsidRPr="00B80891" w:rsidRDefault="00B80891" w:rsidP="00124E37">
      <w:pPr>
        <w:jc w:val="right"/>
        <w:rPr>
          <w:color w:val="FFFFFF"/>
          <w:sz w:val="2"/>
          <w:szCs w:val="2"/>
          <w:rtl/>
        </w:rPr>
      </w:pPr>
      <w:r w:rsidRPr="00B8089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F38CA" w14:paraId="0F4A9F4A" w14:textId="77777777" w:rsidTr="00124E37">
        <w:trPr>
          <w:trHeight w:val="316"/>
          <w:jc w:val="right"/>
        </w:trPr>
        <w:tc>
          <w:tcPr>
            <w:tcW w:w="3936" w:type="dxa"/>
            <w:shd w:val="clear" w:color="auto" w:fill="auto"/>
          </w:tcPr>
          <w:p w14:paraId="381B7CEF" w14:textId="77777777" w:rsidR="00124E37" w:rsidRPr="00B80891" w:rsidRDefault="00B80891" w:rsidP="00124E37">
            <w:pPr>
              <w:jc w:val="center"/>
              <w:rPr>
                <w:color w:val="FFFFFF"/>
                <w:sz w:val="2"/>
                <w:szCs w:val="2"/>
              </w:rPr>
            </w:pPr>
            <w:r w:rsidRPr="00B80891">
              <w:rPr>
                <w:color w:val="FFFFFF"/>
                <w:sz w:val="2"/>
                <w:szCs w:val="2"/>
                <w:rtl/>
              </w:rPr>
              <w:t>54678313</w:t>
            </w:r>
            <w:r w:rsidR="00124E37" w:rsidRPr="00B80891">
              <w:rPr>
                <w:color w:val="FFFFFF"/>
                <w:sz w:val="2"/>
                <w:szCs w:val="2"/>
                <w:rtl/>
              </w:rPr>
              <w:t xml:space="preserve">     </w:t>
            </w:r>
          </w:p>
          <w:p w14:paraId="1194AA01" w14:textId="77777777" w:rsidR="00124E37" w:rsidRDefault="00124E37" w:rsidP="00124E37">
            <w:pPr>
              <w:jc w:val="center"/>
              <w:rPr>
                <w:rtl/>
              </w:rPr>
            </w:pPr>
          </w:p>
        </w:tc>
      </w:tr>
      <w:tr w:rsidR="008F38CA" w14:paraId="3586AAA7" w14:textId="77777777" w:rsidTr="00124E37">
        <w:trPr>
          <w:trHeight w:val="361"/>
          <w:jc w:val="right"/>
        </w:trPr>
        <w:tc>
          <w:tcPr>
            <w:tcW w:w="3936" w:type="dxa"/>
            <w:shd w:val="clear" w:color="auto" w:fill="auto"/>
          </w:tcPr>
          <w:p w14:paraId="3CCD92D4" w14:textId="77777777" w:rsidR="00124E37" w:rsidRPr="00124E37" w:rsidRDefault="00124E37" w:rsidP="00124E37">
            <w:pPr>
              <w:jc w:val="center"/>
              <w:rPr>
                <w:b/>
                <w:bCs/>
                <w:rtl/>
              </w:rPr>
            </w:pPr>
            <w:r w:rsidRPr="00124E37">
              <w:rPr>
                <w:b/>
                <w:bCs/>
                <w:rtl/>
              </w:rPr>
              <w:t>עמית</w:t>
            </w:r>
            <w:r w:rsidRPr="00124E37">
              <w:rPr>
                <w:rFonts w:hint="cs"/>
                <w:b/>
                <w:bCs/>
                <w:rtl/>
              </w:rPr>
              <w:t xml:space="preserve"> </w:t>
            </w:r>
            <w:r w:rsidRPr="00124E37">
              <w:rPr>
                <w:b/>
                <w:bCs/>
                <w:rtl/>
              </w:rPr>
              <w:t xml:space="preserve">פרייז </w:t>
            </w:r>
            <w:r w:rsidRPr="00124E37">
              <w:rPr>
                <w:rFonts w:hint="cs"/>
                <w:b/>
                <w:bCs/>
                <w:rtl/>
              </w:rPr>
              <w:t xml:space="preserve">, </w:t>
            </w:r>
            <w:r w:rsidRPr="00124E37">
              <w:rPr>
                <w:b/>
                <w:bCs/>
                <w:rtl/>
              </w:rPr>
              <w:t xml:space="preserve">שופט </w:t>
            </w:r>
          </w:p>
        </w:tc>
      </w:tr>
    </w:tbl>
    <w:p w14:paraId="0A4DA821" w14:textId="77777777" w:rsidR="00124E37" w:rsidRDefault="00124E37" w:rsidP="00124E37">
      <w:pPr>
        <w:jc w:val="right"/>
        <w:rPr>
          <w:rtl/>
        </w:rPr>
      </w:pPr>
    </w:p>
    <w:p w14:paraId="6037BD33" w14:textId="77777777" w:rsidR="00124E37" w:rsidRDefault="00124E37" w:rsidP="00124E37">
      <w:pPr>
        <w:jc w:val="both"/>
        <w:rPr>
          <w:rtl/>
        </w:rPr>
      </w:pPr>
    </w:p>
    <w:p w14:paraId="556224BE" w14:textId="77777777" w:rsidR="00124E37" w:rsidRDefault="00124E37" w:rsidP="00124E37">
      <w:pPr>
        <w:spacing w:line="360" w:lineRule="auto"/>
        <w:jc w:val="center"/>
        <w:rPr>
          <w:rtl/>
        </w:rPr>
      </w:pPr>
    </w:p>
    <w:p w14:paraId="31287759" w14:textId="77777777" w:rsidR="002D7B2F" w:rsidRPr="005679F1" w:rsidRDefault="005679F1" w:rsidP="00B80891">
      <w:pPr>
        <w:keepNext/>
        <w:rPr>
          <w:color w:val="FFFFFF"/>
          <w:sz w:val="2"/>
          <w:szCs w:val="2"/>
          <w:rtl/>
        </w:rPr>
      </w:pPr>
      <w:r w:rsidRPr="005679F1">
        <w:rPr>
          <w:color w:val="FFFFFF"/>
          <w:sz w:val="2"/>
          <w:szCs w:val="2"/>
          <w:rtl/>
        </w:rPr>
        <w:t>54678313</w:t>
      </w:r>
    </w:p>
    <w:p w14:paraId="78776181" w14:textId="77777777" w:rsidR="00B80891" w:rsidRPr="00B80891" w:rsidRDefault="00B80891" w:rsidP="00B80891">
      <w:pPr>
        <w:keepNext/>
        <w:rPr>
          <w:color w:val="000000"/>
          <w:sz w:val="22"/>
          <w:szCs w:val="22"/>
          <w:rtl/>
        </w:rPr>
      </w:pPr>
      <w:r w:rsidRPr="00B80891">
        <w:rPr>
          <w:color w:val="000000"/>
          <w:sz w:val="22"/>
          <w:szCs w:val="22"/>
          <w:rtl/>
        </w:rPr>
        <w:t>עמית פרייז 54678313</w:t>
      </w:r>
    </w:p>
    <w:p w14:paraId="16E47958" w14:textId="77777777" w:rsidR="00B80891" w:rsidRDefault="00B80891" w:rsidP="00B80891">
      <w:r w:rsidRPr="00B80891">
        <w:rPr>
          <w:color w:val="000000"/>
          <w:rtl/>
        </w:rPr>
        <w:t>נוסח מסמך זה כפוף לשינויי ניסוח ועריכה</w:t>
      </w:r>
    </w:p>
    <w:p w14:paraId="560FD299" w14:textId="77777777" w:rsidR="00B80891" w:rsidRDefault="00B80891" w:rsidP="00B80891">
      <w:pPr>
        <w:rPr>
          <w:rtl/>
        </w:rPr>
      </w:pPr>
    </w:p>
    <w:p w14:paraId="380F292D" w14:textId="77777777" w:rsidR="00B80891" w:rsidRDefault="00B80891" w:rsidP="00B80891">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38AB64E9" w14:textId="77777777" w:rsidR="005679F1" w:rsidRPr="005679F1" w:rsidRDefault="005679F1" w:rsidP="005679F1">
      <w:pPr>
        <w:keepNext/>
        <w:rPr>
          <w:color w:val="000000"/>
          <w:sz w:val="22"/>
          <w:szCs w:val="22"/>
          <w:rtl/>
        </w:rPr>
      </w:pPr>
    </w:p>
    <w:sectPr w:rsidR="005679F1" w:rsidRPr="005679F1" w:rsidSect="005679F1">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60FE4" w14:textId="77777777" w:rsidR="00FA4A3B" w:rsidRDefault="00FA4A3B" w:rsidP="004D6149">
      <w:r>
        <w:separator/>
      </w:r>
    </w:p>
  </w:endnote>
  <w:endnote w:type="continuationSeparator" w:id="0">
    <w:p w14:paraId="43A2291E" w14:textId="77777777" w:rsidR="00FA4A3B" w:rsidRDefault="00FA4A3B" w:rsidP="004D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AD546" w14:textId="77777777" w:rsidR="00FA4A3B" w:rsidRDefault="00FA4A3B" w:rsidP="005679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94B93E" w14:textId="77777777" w:rsidR="00FA4A3B" w:rsidRPr="005679F1" w:rsidRDefault="00FA4A3B" w:rsidP="005679F1">
    <w:pPr>
      <w:pStyle w:val="a5"/>
      <w:pBdr>
        <w:top w:val="single" w:sz="4" w:space="1" w:color="auto"/>
        <w:between w:val="single" w:sz="4" w:space="0" w:color="auto"/>
      </w:pBdr>
      <w:spacing w:after="60"/>
      <w:jc w:val="center"/>
      <w:rPr>
        <w:rFonts w:ascii="FrankRuehl" w:hAnsi="FrankRuehl" w:cs="FrankRuehl"/>
        <w:color w:val="000000"/>
      </w:rPr>
    </w:pPr>
    <w:r w:rsidRPr="005679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BC8E3" w14:textId="77777777" w:rsidR="00FA4A3B" w:rsidRDefault="00FA4A3B" w:rsidP="005679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0CBC">
      <w:rPr>
        <w:rFonts w:ascii="FrankRuehl" w:hAnsi="FrankRuehl" w:cs="FrankRuehl"/>
        <w:noProof/>
        <w:rtl/>
      </w:rPr>
      <w:t>1</w:t>
    </w:r>
    <w:r>
      <w:rPr>
        <w:rFonts w:ascii="FrankRuehl" w:hAnsi="FrankRuehl" w:cs="FrankRuehl"/>
        <w:rtl/>
      </w:rPr>
      <w:fldChar w:fldCharType="end"/>
    </w:r>
  </w:p>
  <w:p w14:paraId="66069D9B" w14:textId="77777777" w:rsidR="00FA4A3B" w:rsidRPr="005679F1" w:rsidRDefault="00FA4A3B" w:rsidP="005679F1">
    <w:pPr>
      <w:pStyle w:val="a5"/>
      <w:pBdr>
        <w:top w:val="single" w:sz="4" w:space="1" w:color="auto"/>
        <w:between w:val="single" w:sz="4" w:space="0" w:color="auto"/>
      </w:pBdr>
      <w:spacing w:after="60"/>
      <w:jc w:val="center"/>
      <w:rPr>
        <w:rFonts w:ascii="FrankRuehl" w:hAnsi="FrankRuehl" w:cs="FrankRuehl"/>
        <w:color w:val="000000"/>
      </w:rPr>
    </w:pPr>
    <w:r w:rsidRPr="005679F1">
      <w:rPr>
        <w:rFonts w:ascii="FrankRuehl" w:hAnsi="FrankRuehl" w:cs="FrankRuehl"/>
        <w:color w:val="000000"/>
      </w:rPr>
      <w:pict w14:anchorId="25C70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842FD" w14:textId="77777777" w:rsidR="00FA4A3B" w:rsidRDefault="00FA4A3B" w:rsidP="004D6149">
      <w:r>
        <w:separator/>
      </w:r>
    </w:p>
  </w:footnote>
  <w:footnote w:type="continuationSeparator" w:id="0">
    <w:p w14:paraId="3E233F55" w14:textId="77777777" w:rsidR="00FA4A3B" w:rsidRDefault="00FA4A3B" w:rsidP="004D6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18D88" w14:textId="77777777" w:rsidR="00FA4A3B" w:rsidRPr="005679F1" w:rsidRDefault="00FA4A3B" w:rsidP="005679F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37411-02-15</w:t>
    </w:r>
    <w:r>
      <w:rPr>
        <w:color w:val="000000"/>
        <w:sz w:val="22"/>
        <w:szCs w:val="22"/>
        <w:rtl/>
      </w:rPr>
      <w:tab/>
      <w:t xml:space="preserve"> מדינת ישראל נ' מאיר בואהרון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715CD" w14:textId="77777777" w:rsidR="00FA4A3B" w:rsidRPr="005679F1" w:rsidRDefault="00FA4A3B" w:rsidP="005679F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37411-02-15</w:t>
    </w:r>
    <w:r>
      <w:rPr>
        <w:color w:val="000000"/>
        <w:sz w:val="22"/>
        <w:szCs w:val="22"/>
        <w:rtl/>
      </w:rPr>
      <w:tab/>
      <w:t xml:space="preserve"> מדינת ישראל נ' מאיר בואהרון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4814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4E37"/>
    <w:rsid w:val="00124E37"/>
    <w:rsid w:val="002D7B2F"/>
    <w:rsid w:val="004D6149"/>
    <w:rsid w:val="005679F1"/>
    <w:rsid w:val="00806FCF"/>
    <w:rsid w:val="008F38CA"/>
    <w:rsid w:val="00B31DEC"/>
    <w:rsid w:val="00B70CBC"/>
    <w:rsid w:val="00B80891"/>
    <w:rsid w:val="00BA16A0"/>
    <w:rsid w:val="00F64B33"/>
    <w:rsid w:val="00FA4A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48B69BA"/>
  <w15:chartTrackingRefBased/>
  <w15:docId w15:val="{56BFED6F-9FC6-4EA3-BEEE-2C93C5E4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4E37"/>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24E37"/>
    <w:pPr>
      <w:tabs>
        <w:tab w:val="center" w:pos="4153"/>
        <w:tab w:val="right" w:pos="8306"/>
      </w:tabs>
    </w:pPr>
  </w:style>
  <w:style w:type="character" w:customStyle="1" w:styleId="a4">
    <w:name w:val="כותרת עליונה תו"/>
    <w:link w:val="a3"/>
    <w:rsid w:val="00124E37"/>
    <w:rPr>
      <w:rFonts w:ascii="David" w:eastAsia="David" w:hAnsi="David" w:cs="David"/>
      <w:sz w:val="24"/>
      <w:szCs w:val="24"/>
    </w:rPr>
  </w:style>
  <w:style w:type="paragraph" w:styleId="a5">
    <w:name w:val="footer"/>
    <w:basedOn w:val="a"/>
    <w:link w:val="a6"/>
    <w:rsid w:val="00124E37"/>
    <w:pPr>
      <w:tabs>
        <w:tab w:val="center" w:pos="4153"/>
        <w:tab w:val="right" w:pos="8306"/>
      </w:tabs>
    </w:pPr>
  </w:style>
  <w:style w:type="character" w:customStyle="1" w:styleId="a6">
    <w:name w:val="כותרת תחתונה תו"/>
    <w:link w:val="a5"/>
    <w:rsid w:val="00124E37"/>
    <w:rPr>
      <w:rFonts w:ascii="David" w:eastAsia="David" w:hAnsi="David" w:cs="David"/>
      <w:sz w:val="24"/>
      <w:szCs w:val="24"/>
    </w:rPr>
  </w:style>
  <w:style w:type="table" w:styleId="a7">
    <w:name w:val="Table Grid"/>
    <w:basedOn w:val="a1"/>
    <w:rsid w:val="00124E37"/>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24E37"/>
  </w:style>
  <w:style w:type="character" w:customStyle="1" w:styleId="TimesNewRomanTimesNewRoman">
    <w:name w:val="סגנון (לטיני) Times New Roman (עברית ושפות אחרות) Times New Roman..."/>
    <w:rsid w:val="00124E3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24E37"/>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124E37"/>
    <w:pPr>
      <w:spacing w:line="360" w:lineRule="auto"/>
      <w:jc w:val="both"/>
    </w:pPr>
    <w:rPr>
      <w:rFonts w:ascii="Times New Roman" w:eastAsia="Times New Roman" w:hAnsi="Times New Roman"/>
    </w:rPr>
  </w:style>
  <w:style w:type="character" w:styleId="a9">
    <w:name w:val="line number"/>
    <w:rsid w:val="00124E37"/>
  </w:style>
  <w:style w:type="character" w:styleId="Hyperlink">
    <w:name w:val="Hyperlink"/>
    <w:rsid w:val="00B80891"/>
    <w:rPr>
      <w:color w:val="0563C1"/>
      <w:u w:val="single"/>
    </w:rPr>
  </w:style>
  <w:style w:type="character" w:styleId="aa">
    <w:name w:val="Unresolved Mention"/>
    <w:rsid w:val="00B808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3435</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2025-04-22T22:35:00Z</dcterms:created>
  <dcterms:modified xsi:type="dcterms:W3CDTF">2025-04-22T22:35:00Z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37411;25823</vt:lpwstr>
  </property>
  <property fmtid="{D5CDD505-2E9C-101B-9397-08002B2CF9AE}" pid="6" name="NEWPARTB">
    <vt:lpwstr>02;07</vt:lpwstr>
  </property>
  <property fmtid="{D5CDD505-2E9C-101B-9397-08002B2CF9AE}" pid="7" name="NEWPARTC">
    <vt:lpwstr>15;15</vt:lpwstr>
  </property>
  <property fmtid="{D5CDD505-2E9C-101B-9397-08002B2CF9AE}" pid="8" name="APPELLANT">
    <vt:lpwstr>מדינת ישראל</vt:lpwstr>
  </property>
  <property fmtid="{D5CDD505-2E9C-101B-9397-08002B2CF9AE}" pid="9" name="APPELLEE">
    <vt:lpwstr>מאיר בואהרון </vt:lpwstr>
  </property>
  <property fmtid="{D5CDD505-2E9C-101B-9397-08002B2CF9AE}" pid="10" name="LAWYER">
    <vt:lpwstr>רוני אלסטר;סגרון</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20170720</vt:lpwstr>
  </property>
  <property fmtid="{D5CDD505-2E9C-101B-9397-08002B2CF9AE}" pid="14" name="TYPE_N_DATE">
    <vt:lpwstr>38020170720</vt:lpwstr>
  </property>
  <property fmtid="{D5CDD505-2E9C-101B-9397-08002B2CF9AE}" pid="15" name="LAWLISTTMP1">
    <vt:lpwstr>4216:2</vt:lpwstr>
  </property>
  <property fmtid="{D5CDD505-2E9C-101B-9397-08002B2CF9AE}" pid="16" name="WORDNUMPAGES">
    <vt:lpwstr>3</vt:lpwstr>
  </property>
  <property fmtid="{D5CDD505-2E9C-101B-9397-08002B2CF9AE}" pid="17" name="TYPE_ABS_DATE">
    <vt:lpwstr>380020170720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ies>
</file>