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8C1BAA" w:rsidRPr="00683B61" w14:paraId="2BF0F91B" w14:textId="77777777" w:rsidTr="000E1712">
        <w:trPr>
          <w:trHeight w:hRule="exact" w:val="418"/>
          <w:jc w:val="center"/>
        </w:trPr>
        <w:tc>
          <w:tcPr>
            <w:tcW w:w="8721" w:type="dxa"/>
            <w:gridSpan w:val="2"/>
          </w:tcPr>
          <w:p w14:paraId="546B1AD3" w14:textId="77777777" w:rsidR="008C1BAA" w:rsidRPr="00683B61" w:rsidRDefault="008C1BAA" w:rsidP="000E1712">
            <w:pPr>
              <w:pStyle w:val="a3"/>
              <w:jc w:val="center"/>
              <w:rPr>
                <w:rFonts w:ascii="Tahoma" w:hAnsi="Tahoma" w:cs="Tahoma"/>
                <w:noProof w:val="0"/>
                <w:color w:val="000080"/>
                <w:rtl/>
              </w:rPr>
            </w:pPr>
            <w:bookmarkStart w:id="0" w:name="LastJudge"/>
            <w:r w:rsidRPr="00683B61">
              <w:rPr>
                <w:rFonts w:ascii="Tahoma" w:hAnsi="Tahoma" w:cs="Tahoma"/>
                <w:b/>
                <w:bCs/>
                <w:noProof w:val="0"/>
                <w:color w:val="000080"/>
                <w:rtl/>
              </w:rPr>
              <w:t>בית משפט השלום בקריית גת</w:t>
            </w:r>
          </w:p>
        </w:tc>
      </w:tr>
      <w:tr w:rsidR="008C1BAA" w:rsidRPr="00683B61" w14:paraId="1A0F579A" w14:textId="77777777" w:rsidTr="000E1712">
        <w:trPr>
          <w:trHeight w:val="337"/>
          <w:jc w:val="center"/>
        </w:trPr>
        <w:tc>
          <w:tcPr>
            <w:tcW w:w="5047" w:type="dxa"/>
          </w:tcPr>
          <w:p w14:paraId="56913C3A" w14:textId="77777777" w:rsidR="008C1BAA" w:rsidRPr="00683B61" w:rsidRDefault="008C1BAA" w:rsidP="000E1712">
            <w:pPr>
              <w:rPr>
                <w:b/>
                <w:bCs/>
                <w:noProof w:val="0"/>
                <w:sz w:val="26"/>
                <w:szCs w:val="26"/>
                <w:rtl/>
              </w:rPr>
            </w:pPr>
          </w:p>
        </w:tc>
        <w:tc>
          <w:tcPr>
            <w:tcW w:w="3674" w:type="dxa"/>
          </w:tcPr>
          <w:p w14:paraId="1CC0587C" w14:textId="77777777" w:rsidR="008C1BAA" w:rsidRPr="00683B61" w:rsidRDefault="008C1BAA" w:rsidP="000E1712">
            <w:pPr>
              <w:pStyle w:val="a3"/>
              <w:jc w:val="right"/>
              <w:rPr>
                <w:b/>
                <w:bCs/>
                <w:noProof w:val="0"/>
                <w:sz w:val="26"/>
                <w:szCs w:val="26"/>
                <w:rtl/>
              </w:rPr>
            </w:pPr>
            <w:r w:rsidRPr="00683B61">
              <w:rPr>
                <w:b/>
                <w:bCs/>
                <w:noProof w:val="0"/>
                <w:sz w:val="26"/>
                <w:szCs w:val="26"/>
                <w:rtl/>
              </w:rPr>
              <w:t>28 דצמבר 2017</w:t>
            </w:r>
          </w:p>
        </w:tc>
      </w:tr>
      <w:tr w:rsidR="008C1BAA" w:rsidRPr="00683B61" w14:paraId="3124ACAC" w14:textId="77777777" w:rsidTr="000E1712">
        <w:trPr>
          <w:trHeight w:val="337"/>
          <w:jc w:val="center"/>
        </w:trPr>
        <w:tc>
          <w:tcPr>
            <w:tcW w:w="8721" w:type="dxa"/>
            <w:gridSpan w:val="2"/>
          </w:tcPr>
          <w:p w14:paraId="59A07E85" w14:textId="77777777" w:rsidR="008C1BAA" w:rsidRPr="00683B61" w:rsidRDefault="008C1BAA" w:rsidP="000E1712">
            <w:pPr>
              <w:rPr>
                <w:b/>
                <w:bCs/>
                <w:noProof w:val="0"/>
                <w:sz w:val="26"/>
                <w:szCs w:val="26"/>
                <w:rtl/>
              </w:rPr>
            </w:pPr>
            <w:r w:rsidRPr="00683B61">
              <w:rPr>
                <w:b/>
                <w:bCs/>
                <w:noProof w:val="0"/>
                <w:sz w:val="26"/>
                <w:szCs w:val="26"/>
                <w:rtl/>
              </w:rPr>
              <w:t>ת"פ 43397-02-15 מדינת ישראל נ' בראבי(עציר)</w:t>
            </w:r>
          </w:p>
          <w:p w14:paraId="7D228A68" w14:textId="77777777" w:rsidR="008C1BAA" w:rsidRPr="00683B61" w:rsidRDefault="008C1BAA" w:rsidP="000E1712">
            <w:pPr>
              <w:rPr>
                <w:rtl/>
              </w:rPr>
            </w:pPr>
          </w:p>
        </w:tc>
      </w:tr>
    </w:tbl>
    <w:p w14:paraId="670103BF" w14:textId="77777777" w:rsidR="008C1BAA" w:rsidRPr="00683B61" w:rsidRDefault="008C1BAA" w:rsidP="008C1BAA"/>
    <w:tbl>
      <w:tblPr>
        <w:bidiVisual/>
        <w:tblW w:w="0" w:type="auto"/>
        <w:jc w:val="center"/>
        <w:tblLook w:val="0000" w:firstRow="0" w:lastRow="0" w:firstColumn="0" w:lastColumn="0" w:noHBand="0" w:noVBand="0"/>
      </w:tblPr>
      <w:tblGrid>
        <w:gridCol w:w="873"/>
        <w:gridCol w:w="7848"/>
      </w:tblGrid>
      <w:tr w:rsidR="008C1BAA" w:rsidRPr="00683B61" w14:paraId="286DE26E" w14:textId="77777777" w:rsidTr="000E1712">
        <w:trPr>
          <w:trHeight w:val="337"/>
          <w:jc w:val="center"/>
        </w:trPr>
        <w:tc>
          <w:tcPr>
            <w:tcW w:w="873" w:type="dxa"/>
          </w:tcPr>
          <w:p w14:paraId="2CF9983F" w14:textId="77777777" w:rsidR="008C1BAA" w:rsidRPr="00683B61" w:rsidRDefault="008C1BAA" w:rsidP="000E1712">
            <w:pPr>
              <w:tabs>
                <w:tab w:val="left" w:pos="1710"/>
              </w:tabs>
              <w:rPr>
                <w:b/>
                <w:bCs/>
                <w:sz w:val="28"/>
                <w:szCs w:val="28"/>
                <w:rtl/>
              </w:rPr>
            </w:pPr>
            <w:r w:rsidRPr="00683B61">
              <w:rPr>
                <w:rFonts w:hint="cs"/>
                <w:b/>
                <w:bCs/>
                <w:sz w:val="28"/>
                <w:szCs w:val="28"/>
                <w:rtl/>
              </w:rPr>
              <w:t>בפני</w:t>
            </w:r>
          </w:p>
        </w:tc>
        <w:tc>
          <w:tcPr>
            <w:tcW w:w="7848" w:type="dxa"/>
          </w:tcPr>
          <w:p w14:paraId="7E5264E7" w14:textId="77777777" w:rsidR="008C1BAA" w:rsidRPr="00683B61" w:rsidRDefault="008C1BAA" w:rsidP="000E1712">
            <w:pPr>
              <w:rPr>
                <w:rFonts w:ascii="Arial" w:hAnsi="Arial"/>
                <w:b/>
                <w:bCs/>
                <w:sz w:val="28"/>
                <w:szCs w:val="28"/>
                <w:rtl/>
              </w:rPr>
            </w:pPr>
            <w:r w:rsidRPr="00683B61">
              <w:rPr>
                <w:rFonts w:ascii="Arial" w:hAnsi="Arial" w:hint="cs"/>
                <w:b/>
                <w:bCs/>
                <w:sz w:val="28"/>
                <w:szCs w:val="28"/>
                <w:rtl/>
              </w:rPr>
              <w:t>כב' ה</w:t>
            </w:r>
            <w:r w:rsidRPr="00683B61">
              <w:rPr>
                <w:rFonts w:ascii="Arial" w:hAnsi="Arial"/>
                <w:b/>
                <w:bCs/>
                <w:sz w:val="28"/>
                <w:szCs w:val="28"/>
                <w:rtl/>
              </w:rPr>
              <w:t>סגנית נשיאה</w:t>
            </w:r>
            <w:r w:rsidRPr="00683B61">
              <w:rPr>
                <w:rFonts w:ascii="Arial" w:hAnsi="Arial" w:hint="cs"/>
                <w:b/>
                <w:bCs/>
                <w:sz w:val="28"/>
                <w:szCs w:val="28"/>
                <w:rtl/>
              </w:rPr>
              <w:t xml:space="preserve">  </w:t>
            </w:r>
            <w:r w:rsidRPr="00683B61">
              <w:rPr>
                <w:rFonts w:ascii="Arial" w:hAnsi="Arial"/>
                <w:b/>
                <w:bCs/>
                <w:sz w:val="28"/>
                <w:szCs w:val="28"/>
                <w:rtl/>
              </w:rPr>
              <w:t>נגה שמואלי-מאייר</w:t>
            </w:r>
          </w:p>
          <w:p w14:paraId="39F5DEB7" w14:textId="77777777" w:rsidR="008C1BAA" w:rsidRPr="00683B61" w:rsidRDefault="008C1BAA" w:rsidP="000E1712">
            <w:pPr>
              <w:tabs>
                <w:tab w:val="left" w:pos="1710"/>
              </w:tabs>
              <w:rPr>
                <w:rtl/>
              </w:rPr>
            </w:pPr>
          </w:p>
        </w:tc>
      </w:tr>
    </w:tbl>
    <w:p w14:paraId="1A946889" w14:textId="77777777" w:rsidR="008C1BAA" w:rsidRPr="00683B61" w:rsidRDefault="008C1BAA" w:rsidP="008C1BAA">
      <w:pPr>
        <w:pStyle w:val="a3"/>
        <w:rPr>
          <w:noProof w:val="0"/>
          <w:rtl/>
        </w:rPr>
      </w:pPr>
      <w:r w:rsidRPr="00683B61">
        <w:rPr>
          <w:noProof w:val="0"/>
          <w:rtl/>
        </w:rPr>
        <w:t xml:space="preserve"> </w:t>
      </w:r>
    </w:p>
    <w:p w14:paraId="4A7B09B0" w14:textId="77777777" w:rsidR="008C1BAA" w:rsidRPr="00683B61" w:rsidRDefault="008C1BAA" w:rsidP="008C1BAA">
      <w:pPr>
        <w:spacing w:line="360" w:lineRule="auto"/>
        <w:rPr>
          <w:rtl/>
        </w:rPr>
      </w:pPr>
    </w:p>
    <w:tbl>
      <w:tblPr>
        <w:bidiVisual/>
        <w:tblW w:w="8820" w:type="dxa"/>
        <w:jc w:val="center"/>
        <w:tblLook w:val="01E0" w:firstRow="1" w:lastRow="1" w:firstColumn="1" w:lastColumn="1" w:noHBand="0" w:noVBand="0"/>
      </w:tblPr>
      <w:tblGrid>
        <w:gridCol w:w="5603"/>
        <w:gridCol w:w="3217"/>
      </w:tblGrid>
      <w:tr w:rsidR="008C1BAA" w:rsidRPr="00683B61" w14:paraId="1C131E2D" w14:textId="77777777" w:rsidTr="008C1BAA">
        <w:trPr>
          <w:jc w:val="center"/>
        </w:trPr>
        <w:tc>
          <w:tcPr>
            <w:tcW w:w="5603" w:type="dxa"/>
            <w:shd w:val="clear" w:color="auto" w:fill="auto"/>
          </w:tcPr>
          <w:p w14:paraId="6D2F8E6F" w14:textId="77777777" w:rsidR="008C1BAA" w:rsidRPr="00683B61" w:rsidRDefault="008C1BAA" w:rsidP="008C1BAA">
            <w:pPr>
              <w:spacing w:line="360" w:lineRule="auto"/>
              <w:rPr>
                <w:b/>
                <w:bCs/>
                <w:noProof w:val="0"/>
                <w:sz w:val="28"/>
                <w:szCs w:val="28"/>
                <w:rtl/>
              </w:rPr>
            </w:pPr>
            <w:bookmarkStart w:id="1" w:name="FirstAppellant"/>
            <w:bookmarkStart w:id="2" w:name="FirstLawyer"/>
            <w:r w:rsidRPr="00683B61">
              <w:rPr>
                <w:rFonts w:ascii="Arial" w:hAnsi="Arial" w:hint="cs"/>
                <w:b/>
                <w:bCs/>
                <w:noProof w:val="0"/>
                <w:sz w:val="28"/>
                <w:szCs w:val="28"/>
                <w:rtl/>
              </w:rPr>
              <w:t>מדינת ישראל</w:t>
            </w:r>
          </w:p>
          <w:p w14:paraId="54782EEF" w14:textId="77777777" w:rsidR="008C1BAA" w:rsidRPr="00683B61" w:rsidRDefault="008C1BAA" w:rsidP="008C1BAA">
            <w:pPr>
              <w:spacing w:line="360" w:lineRule="auto"/>
              <w:rPr>
                <w:b/>
                <w:bCs/>
                <w:sz w:val="28"/>
                <w:szCs w:val="28"/>
                <w:rtl/>
              </w:rPr>
            </w:pPr>
            <w:r w:rsidRPr="00683B61">
              <w:rPr>
                <w:rFonts w:hint="cs"/>
                <w:b/>
                <w:bCs/>
                <w:sz w:val="28"/>
                <w:szCs w:val="28"/>
                <w:rtl/>
              </w:rPr>
              <w:t xml:space="preserve">ע"י ב"כ עו"ד אבי דהן </w:t>
            </w:r>
            <w:r w:rsidRPr="00683B61">
              <w:rPr>
                <w:b/>
                <w:bCs/>
                <w:sz w:val="28"/>
                <w:szCs w:val="28"/>
                <w:rtl/>
              </w:rPr>
              <w:t>–</w:t>
            </w:r>
            <w:r w:rsidRPr="00683B61">
              <w:rPr>
                <w:rFonts w:hint="cs"/>
                <w:b/>
                <w:bCs/>
                <w:sz w:val="28"/>
                <w:szCs w:val="28"/>
                <w:rtl/>
              </w:rPr>
              <w:t xml:space="preserve"> נוכח</w:t>
            </w:r>
          </w:p>
        </w:tc>
        <w:tc>
          <w:tcPr>
            <w:tcW w:w="3217" w:type="dxa"/>
            <w:shd w:val="clear" w:color="auto" w:fill="auto"/>
          </w:tcPr>
          <w:p w14:paraId="21AD7558" w14:textId="77777777" w:rsidR="008C1BAA" w:rsidRPr="00683B61" w:rsidRDefault="008C1BAA" w:rsidP="008C1BAA">
            <w:pPr>
              <w:bidi w:val="0"/>
              <w:spacing w:line="360" w:lineRule="auto"/>
              <w:jc w:val="right"/>
              <w:rPr>
                <w:rFonts w:ascii="Arial" w:hAnsi="Arial"/>
                <w:b/>
                <w:bCs/>
                <w:noProof w:val="0"/>
                <w:sz w:val="28"/>
                <w:szCs w:val="28"/>
                <w:rtl/>
              </w:rPr>
            </w:pPr>
            <w:r w:rsidRPr="00683B61">
              <w:rPr>
                <w:rFonts w:ascii="Arial" w:hAnsi="Arial" w:hint="cs"/>
                <w:b/>
                <w:bCs/>
                <w:noProof w:val="0"/>
                <w:sz w:val="28"/>
                <w:szCs w:val="28"/>
                <w:rtl/>
              </w:rPr>
              <w:t>ה</w:t>
            </w:r>
            <w:r w:rsidRPr="00683B61">
              <w:rPr>
                <w:rFonts w:ascii="Arial" w:hAnsi="Arial"/>
                <w:b/>
                <w:bCs/>
                <w:noProof w:val="0"/>
                <w:sz w:val="28"/>
                <w:szCs w:val="28"/>
                <w:rtl/>
              </w:rPr>
              <w:t>מאשימה</w:t>
            </w:r>
          </w:p>
          <w:p w14:paraId="167B87BD" w14:textId="77777777" w:rsidR="008C1BAA" w:rsidRPr="00683B61" w:rsidRDefault="008C1BAA" w:rsidP="008C1BAA">
            <w:pPr>
              <w:spacing w:line="360" w:lineRule="auto"/>
              <w:rPr>
                <w:b/>
                <w:bCs/>
                <w:noProof w:val="0"/>
                <w:sz w:val="26"/>
                <w:szCs w:val="26"/>
                <w:rtl/>
              </w:rPr>
            </w:pPr>
          </w:p>
        </w:tc>
      </w:tr>
      <w:bookmarkEnd w:id="1"/>
      <w:bookmarkEnd w:id="2"/>
      <w:tr w:rsidR="008C1BAA" w:rsidRPr="00683B61" w14:paraId="606CD154" w14:textId="77777777" w:rsidTr="008C1BAA">
        <w:trPr>
          <w:jc w:val="center"/>
        </w:trPr>
        <w:tc>
          <w:tcPr>
            <w:tcW w:w="8820" w:type="dxa"/>
            <w:gridSpan w:val="2"/>
            <w:shd w:val="clear" w:color="auto" w:fill="auto"/>
          </w:tcPr>
          <w:p w14:paraId="247966E3" w14:textId="77777777" w:rsidR="008C1BAA" w:rsidRPr="00683B61" w:rsidRDefault="008C1BAA" w:rsidP="008C1BAA">
            <w:pPr>
              <w:spacing w:line="360" w:lineRule="auto"/>
              <w:jc w:val="center"/>
              <w:rPr>
                <w:rFonts w:ascii="Arial" w:hAnsi="Arial"/>
                <w:b/>
                <w:bCs/>
                <w:noProof w:val="0"/>
                <w:sz w:val="28"/>
                <w:szCs w:val="28"/>
              </w:rPr>
            </w:pPr>
            <w:r w:rsidRPr="00683B61">
              <w:rPr>
                <w:rFonts w:ascii="Arial" w:hAnsi="Arial"/>
                <w:b/>
                <w:bCs/>
                <w:noProof w:val="0"/>
                <w:sz w:val="28"/>
                <w:szCs w:val="28"/>
                <w:rtl/>
              </w:rPr>
              <w:t>נ</w:t>
            </w:r>
            <w:r w:rsidRPr="00683B61">
              <w:rPr>
                <w:rFonts w:ascii="Arial" w:hAnsi="Arial" w:hint="cs"/>
                <w:b/>
                <w:bCs/>
                <w:noProof w:val="0"/>
                <w:sz w:val="28"/>
                <w:szCs w:val="28"/>
                <w:rtl/>
              </w:rPr>
              <w:t xml:space="preserve"> </w:t>
            </w:r>
            <w:r w:rsidRPr="00683B61">
              <w:rPr>
                <w:rFonts w:ascii="Arial" w:hAnsi="Arial"/>
                <w:b/>
                <w:bCs/>
                <w:noProof w:val="0"/>
                <w:sz w:val="28"/>
                <w:szCs w:val="28"/>
                <w:rtl/>
              </w:rPr>
              <w:t>ג</w:t>
            </w:r>
            <w:r w:rsidRPr="00683B61">
              <w:rPr>
                <w:rFonts w:ascii="Arial" w:hAnsi="Arial" w:hint="cs"/>
                <w:b/>
                <w:bCs/>
                <w:noProof w:val="0"/>
                <w:sz w:val="28"/>
                <w:szCs w:val="28"/>
                <w:rtl/>
              </w:rPr>
              <w:t xml:space="preserve"> </w:t>
            </w:r>
            <w:r w:rsidRPr="00683B61">
              <w:rPr>
                <w:rFonts w:ascii="Arial" w:hAnsi="Arial"/>
                <w:b/>
                <w:bCs/>
                <w:noProof w:val="0"/>
                <w:sz w:val="28"/>
                <w:szCs w:val="28"/>
                <w:rtl/>
              </w:rPr>
              <w:t>ד</w:t>
            </w:r>
          </w:p>
        </w:tc>
      </w:tr>
      <w:tr w:rsidR="008C1BAA" w:rsidRPr="00683B61" w14:paraId="5AE5BF8A" w14:textId="77777777" w:rsidTr="008C1BAA">
        <w:trPr>
          <w:jc w:val="center"/>
        </w:trPr>
        <w:tc>
          <w:tcPr>
            <w:tcW w:w="5603" w:type="dxa"/>
            <w:shd w:val="clear" w:color="auto" w:fill="auto"/>
          </w:tcPr>
          <w:p w14:paraId="49A76C91" w14:textId="77777777" w:rsidR="008C1BAA" w:rsidRPr="00683B61" w:rsidRDefault="008C1BAA" w:rsidP="008C1BAA">
            <w:pPr>
              <w:spacing w:line="360" w:lineRule="auto"/>
            </w:pPr>
            <w:r w:rsidRPr="00683B61">
              <w:rPr>
                <w:rFonts w:ascii="Arial" w:hAnsi="Arial"/>
                <w:b/>
                <w:bCs/>
                <w:noProof w:val="0"/>
                <w:sz w:val="28"/>
                <w:szCs w:val="28"/>
                <w:rtl/>
              </w:rPr>
              <w:t>רועי בראבי – נוכח</w:t>
            </w:r>
            <w:r w:rsidRPr="00683B61">
              <w:rPr>
                <w:rFonts w:ascii="Arial" w:hAnsi="Arial" w:hint="cs"/>
                <w:b/>
                <w:bCs/>
                <w:noProof w:val="0"/>
                <w:sz w:val="28"/>
                <w:szCs w:val="28"/>
                <w:rtl/>
              </w:rPr>
              <w:t xml:space="preserve"> [הובא ממעצר ע"י יח' נחשון]</w:t>
            </w:r>
          </w:p>
          <w:p w14:paraId="36FCC37A" w14:textId="77777777" w:rsidR="008C1BAA" w:rsidRPr="00683B61" w:rsidRDefault="008C1BAA" w:rsidP="008C1BAA">
            <w:pPr>
              <w:spacing w:line="360" w:lineRule="auto"/>
              <w:rPr>
                <w:b/>
                <w:bCs/>
                <w:noProof w:val="0"/>
                <w:sz w:val="28"/>
                <w:szCs w:val="28"/>
                <w:rtl/>
              </w:rPr>
            </w:pPr>
            <w:r w:rsidRPr="00683B61">
              <w:rPr>
                <w:rFonts w:hint="cs"/>
                <w:b/>
                <w:bCs/>
                <w:sz w:val="28"/>
                <w:szCs w:val="28"/>
                <w:rtl/>
              </w:rPr>
              <w:t xml:space="preserve">ע"י ב"כ עו"ד מיכאל בוסקילה </w:t>
            </w:r>
            <w:r w:rsidRPr="00683B61">
              <w:rPr>
                <w:b/>
                <w:bCs/>
                <w:sz w:val="28"/>
                <w:szCs w:val="28"/>
                <w:rtl/>
              </w:rPr>
              <w:t>–</w:t>
            </w:r>
            <w:r w:rsidRPr="00683B61">
              <w:rPr>
                <w:rFonts w:hint="cs"/>
                <w:b/>
                <w:bCs/>
                <w:sz w:val="28"/>
                <w:szCs w:val="28"/>
                <w:rtl/>
              </w:rPr>
              <w:t xml:space="preserve"> נוכח</w:t>
            </w:r>
          </w:p>
        </w:tc>
        <w:tc>
          <w:tcPr>
            <w:tcW w:w="3217" w:type="dxa"/>
            <w:shd w:val="clear" w:color="auto" w:fill="auto"/>
          </w:tcPr>
          <w:p w14:paraId="19E40021" w14:textId="77777777" w:rsidR="008C1BAA" w:rsidRPr="00683B61" w:rsidRDefault="008C1BAA" w:rsidP="008C1BAA">
            <w:pPr>
              <w:spacing w:line="360" w:lineRule="auto"/>
              <w:rPr>
                <w:b/>
                <w:bCs/>
                <w:noProof w:val="0"/>
                <w:sz w:val="28"/>
                <w:szCs w:val="28"/>
                <w:rtl/>
              </w:rPr>
            </w:pPr>
            <w:r w:rsidRPr="00683B61">
              <w:rPr>
                <w:rFonts w:ascii="Arial" w:hAnsi="Arial" w:hint="cs"/>
                <w:b/>
                <w:bCs/>
                <w:noProof w:val="0"/>
                <w:sz w:val="28"/>
                <w:szCs w:val="28"/>
                <w:rtl/>
              </w:rPr>
              <w:t>ה</w:t>
            </w:r>
            <w:r w:rsidRPr="00683B61">
              <w:rPr>
                <w:rFonts w:ascii="Arial" w:hAnsi="Arial"/>
                <w:b/>
                <w:bCs/>
                <w:noProof w:val="0"/>
                <w:sz w:val="28"/>
                <w:szCs w:val="28"/>
                <w:rtl/>
              </w:rPr>
              <w:t>נאשם</w:t>
            </w:r>
          </w:p>
        </w:tc>
      </w:tr>
    </w:tbl>
    <w:p w14:paraId="3AF1EAE6" w14:textId="77777777" w:rsidR="00102D59" w:rsidRDefault="00102D59" w:rsidP="00150335">
      <w:pPr>
        <w:pStyle w:val="1"/>
        <w:spacing w:line="360" w:lineRule="auto"/>
        <w:ind w:left="360"/>
        <w:jc w:val="both"/>
        <w:rPr>
          <w:rFonts w:cs="David"/>
          <w:color w:val="auto"/>
          <w:sz w:val="28"/>
          <w:szCs w:val="24"/>
          <w:rtl/>
        </w:rPr>
      </w:pPr>
      <w:bookmarkStart w:id="3" w:name="LawTable"/>
      <w:bookmarkEnd w:id="3"/>
    </w:p>
    <w:p w14:paraId="6DCD4441" w14:textId="77777777" w:rsidR="00102D59" w:rsidRPr="00102D59" w:rsidRDefault="00102D59" w:rsidP="00102D59">
      <w:pPr>
        <w:pStyle w:val="1"/>
        <w:spacing w:after="120" w:line="240" w:lineRule="exact"/>
        <w:ind w:left="283" w:hanging="283"/>
        <w:jc w:val="both"/>
        <w:rPr>
          <w:rFonts w:ascii="FrankRuehl" w:hAnsi="FrankRuehl" w:cs="FrankRuehl"/>
          <w:color w:val="auto"/>
          <w:sz w:val="24"/>
          <w:szCs w:val="24"/>
          <w:rtl/>
        </w:rPr>
      </w:pPr>
    </w:p>
    <w:p w14:paraId="76C0757C" w14:textId="77777777" w:rsidR="00102D59" w:rsidRPr="00102D59" w:rsidRDefault="00102D59" w:rsidP="00102D59">
      <w:pPr>
        <w:pStyle w:val="1"/>
        <w:spacing w:after="120" w:line="240" w:lineRule="exact"/>
        <w:ind w:left="283" w:hanging="283"/>
        <w:jc w:val="both"/>
        <w:rPr>
          <w:rFonts w:ascii="FrankRuehl" w:hAnsi="FrankRuehl" w:cs="FrankRuehl"/>
          <w:color w:val="auto"/>
          <w:sz w:val="24"/>
          <w:szCs w:val="24"/>
          <w:rtl/>
        </w:rPr>
      </w:pPr>
      <w:r w:rsidRPr="00102D59">
        <w:rPr>
          <w:rFonts w:ascii="FrankRuehl" w:hAnsi="FrankRuehl" w:cs="FrankRuehl" w:hint="eastAsia"/>
          <w:color w:val="auto"/>
          <w:sz w:val="24"/>
          <w:szCs w:val="24"/>
          <w:rtl/>
        </w:rPr>
        <w:t>חקיקה</w:t>
      </w:r>
      <w:r w:rsidRPr="00102D59">
        <w:rPr>
          <w:rFonts w:ascii="FrankRuehl" w:hAnsi="FrankRuehl" w:cs="FrankRuehl"/>
          <w:color w:val="auto"/>
          <w:sz w:val="24"/>
          <w:szCs w:val="24"/>
          <w:rtl/>
        </w:rPr>
        <w:t xml:space="preserve"> </w:t>
      </w:r>
      <w:r w:rsidRPr="00102D59">
        <w:rPr>
          <w:rFonts w:ascii="FrankRuehl" w:hAnsi="FrankRuehl" w:cs="FrankRuehl" w:hint="eastAsia"/>
          <w:color w:val="auto"/>
          <w:sz w:val="24"/>
          <w:szCs w:val="24"/>
          <w:rtl/>
        </w:rPr>
        <w:t>שאוזכרה</w:t>
      </w:r>
      <w:r w:rsidRPr="00102D59">
        <w:rPr>
          <w:rFonts w:ascii="FrankRuehl" w:hAnsi="FrankRuehl" w:cs="FrankRuehl"/>
          <w:color w:val="auto"/>
          <w:sz w:val="24"/>
          <w:szCs w:val="24"/>
          <w:rtl/>
        </w:rPr>
        <w:t xml:space="preserve">: </w:t>
      </w:r>
    </w:p>
    <w:p w14:paraId="50680A43" w14:textId="77777777" w:rsidR="00102D59" w:rsidRPr="00102D59" w:rsidRDefault="00102D59" w:rsidP="00102D59">
      <w:pPr>
        <w:pStyle w:val="1"/>
        <w:spacing w:after="120" w:line="240" w:lineRule="exact"/>
        <w:ind w:left="283" w:hanging="283"/>
        <w:jc w:val="both"/>
        <w:rPr>
          <w:rFonts w:ascii="FrankRuehl" w:hAnsi="FrankRuehl" w:cs="FrankRuehl"/>
          <w:color w:val="auto"/>
          <w:sz w:val="24"/>
          <w:szCs w:val="24"/>
          <w:rtl/>
        </w:rPr>
      </w:pPr>
      <w:hyperlink r:id="rId7" w:history="1">
        <w:r w:rsidRPr="00102D59">
          <w:rPr>
            <w:rFonts w:ascii="FrankRuehl" w:hAnsi="FrankRuehl" w:cs="FrankRuehl" w:hint="eastAsia"/>
            <w:color w:val="0000FF"/>
            <w:sz w:val="24"/>
            <w:szCs w:val="24"/>
            <w:u w:val="single"/>
            <w:rtl/>
          </w:rPr>
          <w:t>חוק</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התקשורת</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בזק</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ושידורים</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תשמ</w:t>
        </w:r>
        <w:r w:rsidRPr="00102D59">
          <w:rPr>
            <w:rFonts w:ascii="FrankRuehl" w:hAnsi="FrankRuehl" w:cs="FrankRuehl"/>
            <w:color w:val="0000FF"/>
            <w:sz w:val="24"/>
            <w:szCs w:val="24"/>
            <w:u w:val="single"/>
            <w:rtl/>
          </w:rPr>
          <w:t>"</w:t>
        </w:r>
        <w:r w:rsidRPr="00102D59">
          <w:rPr>
            <w:rFonts w:ascii="FrankRuehl" w:hAnsi="FrankRuehl" w:cs="FrankRuehl" w:hint="eastAsia"/>
            <w:color w:val="0000FF"/>
            <w:sz w:val="24"/>
            <w:szCs w:val="24"/>
            <w:u w:val="single"/>
            <w:rtl/>
          </w:rPr>
          <w:t>ב</w:t>
        </w:r>
        <w:r w:rsidRPr="00102D59">
          <w:rPr>
            <w:rFonts w:ascii="FrankRuehl" w:hAnsi="FrankRuehl" w:cs="FrankRuehl"/>
            <w:color w:val="0000FF"/>
            <w:sz w:val="24"/>
            <w:szCs w:val="24"/>
            <w:u w:val="single"/>
            <w:rtl/>
          </w:rPr>
          <w:t>-1982</w:t>
        </w:r>
      </w:hyperlink>
      <w:r w:rsidRPr="00102D59">
        <w:rPr>
          <w:rFonts w:ascii="FrankRuehl" w:hAnsi="FrankRuehl" w:cs="FrankRuehl"/>
          <w:color w:val="auto"/>
          <w:sz w:val="24"/>
          <w:szCs w:val="24"/>
          <w:rtl/>
        </w:rPr>
        <w:t xml:space="preserve">: </w:t>
      </w:r>
      <w:r w:rsidRPr="00102D59">
        <w:rPr>
          <w:rFonts w:ascii="FrankRuehl" w:hAnsi="FrankRuehl" w:cs="FrankRuehl" w:hint="eastAsia"/>
          <w:color w:val="auto"/>
          <w:sz w:val="24"/>
          <w:szCs w:val="24"/>
          <w:rtl/>
        </w:rPr>
        <w:t>סע</w:t>
      </w:r>
      <w:r w:rsidRPr="00102D59">
        <w:rPr>
          <w:rFonts w:ascii="FrankRuehl" w:hAnsi="FrankRuehl" w:cs="FrankRuehl"/>
          <w:color w:val="auto"/>
          <w:sz w:val="24"/>
          <w:szCs w:val="24"/>
          <w:rtl/>
        </w:rPr>
        <w:t xml:space="preserve">'  </w:t>
      </w:r>
      <w:hyperlink r:id="rId8" w:history="1">
        <w:r w:rsidRPr="00102D59">
          <w:rPr>
            <w:rFonts w:ascii="FrankRuehl" w:hAnsi="FrankRuehl" w:cs="FrankRuehl"/>
            <w:color w:val="0000FF"/>
            <w:sz w:val="24"/>
            <w:szCs w:val="24"/>
            <w:u w:val="single"/>
            <w:rtl/>
          </w:rPr>
          <w:t>30</w:t>
        </w:r>
      </w:hyperlink>
    </w:p>
    <w:p w14:paraId="425E7BB0" w14:textId="77777777" w:rsidR="00102D59" w:rsidRPr="00102D59" w:rsidRDefault="00102D59" w:rsidP="00102D59">
      <w:pPr>
        <w:pStyle w:val="1"/>
        <w:spacing w:after="120" w:line="240" w:lineRule="exact"/>
        <w:ind w:left="283" w:hanging="283"/>
        <w:jc w:val="both"/>
        <w:rPr>
          <w:rFonts w:ascii="FrankRuehl" w:hAnsi="FrankRuehl" w:cs="FrankRuehl"/>
          <w:color w:val="auto"/>
          <w:sz w:val="24"/>
          <w:szCs w:val="24"/>
          <w:rtl/>
        </w:rPr>
      </w:pPr>
      <w:hyperlink r:id="rId9" w:history="1">
        <w:r w:rsidRPr="00102D59">
          <w:rPr>
            <w:rFonts w:ascii="FrankRuehl" w:hAnsi="FrankRuehl" w:cs="FrankRuehl" w:hint="eastAsia"/>
            <w:color w:val="0000FF"/>
            <w:sz w:val="24"/>
            <w:szCs w:val="24"/>
            <w:u w:val="single"/>
            <w:rtl/>
          </w:rPr>
          <w:t>חוק</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העונשין</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תשל</w:t>
        </w:r>
        <w:r w:rsidRPr="00102D59">
          <w:rPr>
            <w:rFonts w:ascii="FrankRuehl" w:hAnsi="FrankRuehl" w:cs="FrankRuehl"/>
            <w:color w:val="0000FF"/>
            <w:sz w:val="24"/>
            <w:szCs w:val="24"/>
            <w:u w:val="single"/>
            <w:rtl/>
          </w:rPr>
          <w:t>"</w:t>
        </w:r>
        <w:r w:rsidRPr="00102D59">
          <w:rPr>
            <w:rFonts w:ascii="FrankRuehl" w:hAnsi="FrankRuehl" w:cs="FrankRuehl" w:hint="eastAsia"/>
            <w:color w:val="0000FF"/>
            <w:sz w:val="24"/>
            <w:szCs w:val="24"/>
            <w:u w:val="single"/>
            <w:rtl/>
          </w:rPr>
          <w:t>ז</w:t>
        </w:r>
        <w:r w:rsidRPr="00102D59">
          <w:rPr>
            <w:rFonts w:ascii="FrankRuehl" w:hAnsi="FrankRuehl" w:cs="FrankRuehl"/>
            <w:color w:val="0000FF"/>
            <w:sz w:val="24"/>
            <w:szCs w:val="24"/>
            <w:u w:val="single"/>
            <w:rtl/>
          </w:rPr>
          <w:t>-1977</w:t>
        </w:r>
      </w:hyperlink>
      <w:r w:rsidRPr="00102D59">
        <w:rPr>
          <w:rFonts w:ascii="FrankRuehl" w:hAnsi="FrankRuehl" w:cs="FrankRuehl"/>
          <w:color w:val="auto"/>
          <w:sz w:val="24"/>
          <w:szCs w:val="24"/>
          <w:rtl/>
        </w:rPr>
        <w:t xml:space="preserve">: </w:t>
      </w:r>
      <w:r w:rsidRPr="00102D59">
        <w:rPr>
          <w:rFonts w:ascii="FrankRuehl" w:hAnsi="FrankRuehl" w:cs="FrankRuehl" w:hint="eastAsia"/>
          <w:color w:val="auto"/>
          <w:sz w:val="24"/>
          <w:szCs w:val="24"/>
          <w:rtl/>
        </w:rPr>
        <w:t>סע</w:t>
      </w:r>
      <w:r w:rsidRPr="00102D59">
        <w:rPr>
          <w:rFonts w:ascii="FrankRuehl" w:hAnsi="FrankRuehl" w:cs="FrankRuehl"/>
          <w:color w:val="auto"/>
          <w:sz w:val="24"/>
          <w:szCs w:val="24"/>
          <w:rtl/>
        </w:rPr>
        <w:t xml:space="preserve">'  </w:t>
      </w:r>
      <w:hyperlink r:id="rId10" w:history="1">
        <w:r w:rsidRPr="00102D59">
          <w:rPr>
            <w:rFonts w:ascii="FrankRuehl" w:hAnsi="FrankRuehl" w:cs="FrankRuehl"/>
            <w:color w:val="0000FF"/>
            <w:sz w:val="24"/>
            <w:szCs w:val="24"/>
            <w:u w:val="single"/>
            <w:rtl/>
          </w:rPr>
          <w:t>40</w:t>
        </w:r>
        <w:r w:rsidRPr="00102D59">
          <w:rPr>
            <w:rFonts w:ascii="FrankRuehl" w:hAnsi="FrankRuehl" w:cs="FrankRuehl" w:hint="eastAsia"/>
            <w:color w:val="0000FF"/>
            <w:sz w:val="24"/>
            <w:szCs w:val="24"/>
            <w:u w:val="single"/>
            <w:rtl/>
          </w:rPr>
          <w:t>ג</w:t>
        </w:r>
        <w:r w:rsidRPr="00102D59">
          <w:rPr>
            <w:rFonts w:ascii="FrankRuehl" w:hAnsi="FrankRuehl" w:cs="FrankRuehl"/>
            <w:color w:val="0000FF"/>
            <w:sz w:val="24"/>
            <w:szCs w:val="24"/>
            <w:u w:val="single"/>
            <w:rtl/>
          </w:rPr>
          <w:t>(</w:t>
        </w:r>
        <w:r w:rsidRPr="00102D59">
          <w:rPr>
            <w:rFonts w:ascii="FrankRuehl" w:hAnsi="FrankRuehl" w:cs="FrankRuehl" w:hint="eastAsia"/>
            <w:color w:val="0000FF"/>
            <w:sz w:val="24"/>
            <w:szCs w:val="24"/>
            <w:u w:val="single"/>
            <w:rtl/>
          </w:rPr>
          <w:t>א</w:t>
        </w:r>
        <w:r w:rsidRPr="00102D59">
          <w:rPr>
            <w:rFonts w:ascii="FrankRuehl" w:hAnsi="FrankRuehl" w:cs="FrankRuehl"/>
            <w:color w:val="0000FF"/>
            <w:sz w:val="24"/>
            <w:szCs w:val="24"/>
            <w:u w:val="single"/>
            <w:rtl/>
          </w:rPr>
          <w:t>)</w:t>
        </w:r>
      </w:hyperlink>
      <w:r w:rsidRPr="00102D59">
        <w:rPr>
          <w:rFonts w:ascii="FrankRuehl" w:hAnsi="FrankRuehl" w:cs="FrankRuehl"/>
          <w:color w:val="auto"/>
          <w:sz w:val="24"/>
          <w:szCs w:val="24"/>
          <w:rtl/>
        </w:rPr>
        <w:t xml:space="preserve">, </w:t>
      </w:r>
      <w:hyperlink r:id="rId11" w:history="1">
        <w:r w:rsidRPr="00102D59">
          <w:rPr>
            <w:rFonts w:ascii="FrankRuehl" w:hAnsi="FrankRuehl" w:cs="FrankRuehl"/>
            <w:color w:val="0000FF"/>
            <w:sz w:val="24"/>
            <w:szCs w:val="24"/>
            <w:u w:val="single"/>
            <w:rtl/>
          </w:rPr>
          <w:t>40</w:t>
        </w:r>
        <w:r w:rsidRPr="00102D59">
          <w:rPr>
            <w:rFonts w:ascii="FrankRuehl" w:hAnsi="FrankRuehl" w:cs="FrankRuehl" w:hint="eastAsia"/>
            <w:color w:val="0000FF"/>
            <w:sz w:val="24"/>
            <w:szCs w:val="24"/>
            <w:u w:val="single"/>
            <w:rtl/>
          </w:rPr>
          <w:t>ג</w:t>
        </w:r>
        <w:r w:rsidRPr="00102D59">
          <w:rPr>
            <w:rFonts w:ascii="FrankRuehl" w:hAnsi="FrankRuehl" w:cs="FrankRuehl"/>
            <w:color w:val="0000FF"/>
            <w:sz w:val="24"/>
            <w:szCs w:val="24"/>
            <w:u w:val="single"/>
            <w:rtl/>
          </w:rPr>
          <w:t>(</w:t>
        </w:r>
        <w:r w:rsidRPr="00102D59">
          <w:rPr>
            <w:rFonts w:ascii="FrankRuehl" w:hAnsi="FrankRuehl" w:cs="FrankRuehl" w:hint="eastAsia"/>
            <w:color w:val="0000FF"/>
            <w:sz w:val="24"/>
            <w:szCs w:val="24"/>
            <w:u w:val="single"/>
            <w:rtl/>
          </w:rPr>
          <w:t>ב</w:t>
        </w:r>
        <w:r w:rsidRPr="00102D59">
          <w:rPr>
            <w:rFonts w:ascii="FrankRuehl" w:hAnsi="FrankRuehl" w:cs="FrankRuehl"/>
            <w:color w:val="0000FF"/>
            <w:sz w:val="24"/>
            <w:szCs w:val="24"/>
            <w:u w:val="single"/>
            <w:rtl/>
          </w:rPr>
          <w:t>)</w:t>
        </w:r>
      </w:hyperlink>
      <w:r w:rsidRPr="00102D59">
        <w:rPr>
          <w:rFonts w:ascii="FrankRuehl" w:hAnsi="FrankRuehl" w:cs="FrankRuehl"/>
          <w:color w:val="auto"/>
          <w:sz w:val="24"/>
          <w:szCs w:val="24"/>
          <w:rtl/>
        </w:rPr>
        <w:t xml:space="preserve">, </w:t>
      </w:r>
      <w:hyperlink r:id="rId12" w:history="1">
        <w:r w:rsidRPr="00102D59">
          <w:rPr>
            <w:rFonts w:ascii="FrankRuehl" w:hAnsi="FrankRuehl" w:cs="FrankRuehl"/>
            <w:color w:val="0000FF"/>
            <w:sz w:val="24"/>
            <w:szCs w:val="24"/>
            <w:u w:val="single"/>
            <w:rtl/>
          </w:rPr>
          <w:t>45(</w:t>
        </w:r>
        <w:r w:rsidRPr="00102D59">
          <w:rPr>
            <w:rFonts w:ascii="FrankRuehl" w:hAnsi="FrankRuehl" w:cs="FrankRuehl" w:hint="eastAsia"/>
            <w:color w:val="0000FF"/>
            <w:sz w:val="24"/>
            <w:szCs w:val="24"/>
            <w:u w:val="single"/>
            <w:rtl/>
          </w:rPr>
          <w:t>ב</w:t>
        </w:r>
        <w:r w:rsidRPr="00102D59">
          <w:rPr>
            <w:rFonts w:ascii="FrankRuehl" w:hAnsi="FrankRuehl" w:cs="FrankRuehl"/>
            <w:color w:val="0000FF"/>
            <w:sz w:val="24"/>
            <w:szCs w:val="24"/>
            <w:u w:val="single"/>
            <w:rtl/>
          </w:rPr>
          <w:t>)</w:t>
        </w:r>
      </w:hyperlink>
      <w:r w:rsidRPr="00102D59">
        <w:rPr>
          <w:rFonts w:ascii="FrankRuehl" w:hAnsi="FrankRuehl" w:cs="FrankRuehl"/>
          <w:color w:val="auto"/>
          <w:sz w:val="24"/>
          <w:szCs w:val="24"/>
          <w:rtl/>
        </w:rPr>
        <w:t xml:space="preserve">, </w:t>
      </w:r>
      <w:hyperlink r:id="rId13" w:history="1">
        <w:r w:rsidRPr="00102D59">
          <w:rPr>
            <w:rFonts w:ascii="FrankRuehl" w:hAnsi="FrankRuehl" w:cs="FrankRuehl"/>
            <w:color w:val="0000FF"/>
            <w:sz w:val="24"/>
            <w:szCs w:val="24"/>
            <w:u w:val="single"/>
            <w:rtl/>
          </w:rPr>
          <w:t>404</w:t>
        </w:r>
      </w:hyperlink>
      <w:r w:rsidRPr="00102D59">
        <w:rPr>
          <w:rFonts w:ascii="FrankRuehl" w:hAnsi="FrankRuehl" w:cs="FrankRuehl"/>
          <w:color w:val="auto"/>
          <w:sz w:val="24"/>
          <w:szCs w:val="24"/>
          <w:rtl/>
        </w:rPr>
        <w:t xml:space="preserve">, </w:t>
      </w:r>
      <w:hyperlink r:id="rId14" w:history="1">
        <w:r w:rsidRPr="00102D59">
          <w:rPr>
            <w:rFonts w:ascii="FrankRuehl" w:hAnsi="FrankRuehl" w:cs="FrankRuehl"/>
            <w:color w:val="0000FF"/>
            <w:sz w:val="24"/>
            <w:szCs w:val="24"/>
            <w:u w:val="single"/>
            <w:rtl/>
          </w:rPr>
          <w:t>40</w:t>
        </w:r>
        <w:r w:rsidRPr="00102D59">
          <w:rPr>
            <w:rFonts w:ascii="FrankRuehl" w:hAnsi="FrankRuehl" w:cs="FrankRuehl" w:hint="eastAsia"/>
            <w:color w:val="0000FF"/>
            <w:sz w:val="24"/>
            <w:szCs w:val="24"/>
            <w:u w:val="single"/>
            <w:rtl/>
          </w:rPr>
          <w:t>יא</w:t>
        </w:r>
      </w:hyperlink>
      <w:r w:rsidRPr="00102D59">
        <w:rPr>
          <w:rFonts w:ascii="FrankRuehl" w:hAnsi="FrankRuehl" w:cs="FrankRuehl"/>
          <w:color w:val="auto"/>
          <w:sz w:val="24"/>
          <w:szCs w:val="24"/>
          <w:rtl/>
        </w:rPr>
        <w:t xml:space="preserve">, </w:t>
      </w:r>
      <w:hyperlink r:id="rId15" w:history="1">
        <w:r w:rsidRPr="00102D59">
          <w:rPr>
            <w:rFonts w:ascii="FrankRuehl" w:hAnsi="FrankRuehl" w:cs="FrankRuehl"/>
            <w:color w:val="0000FF"/>
            <w:sz w:val="24"/>
            <w:szCs w:val="24"/>
            <w:u w:val="single"/>
            <w:rtl/>
          </w:rPr>
          <w:t>40</w:t>
        </w:r>
        <w:r w:rsidRPr="00102D59">
          <w:rPr>
            <w:rFonts w:ascii="FrankRuehl" w:hAnsi="FrankRuehl" w:cs="FrankRuehl" w:hint="eastAsia"/>
            <w:color w:val="0000FF"/>
            <w:sz w:val="24"/>
            <w:szCs w:val="24"/>
            <w:u w:val="single"/>
            <w:rtl/>
          </w:rPr>
          <w:t>יא</w:t>
        </w:r>
        <w:r w:rsidRPr="00102D59">
          <w:rPr>
            <w:rFonts w:ascii="FrankRuehl" w:hAnsi="FrankRuehl" w:cs="FrankRuehl"/>
            <w:color w:val="0000FF"/>
            <w:sz w:val="24"/>
            <w:szCs w:val="24"/>
            <w:u w:val="single"/>
            <w:rtl/>
          </w:rPr>
          <w:t>(3)</w:t>
        </w:r>
      </w:hyperlink>
    </w:p>
    <w:p w14:paraId="3DBBF67D" w14:textId="77777777" w:rsidR="00102D59" w:rsidRPr="00102D59" w:rsidRDefault="00102D59" w:rsidP="00102D59">
      <w:pPr>
        <w:pStyle w:val="1"/>
        <w:spacing w:after="120" w:line="240" w:lineRule="exact"/>
        <w:ind w:left="283" w:hanging="283"/>
        <w:jc w:val="both"/>
        <w:rPr>
          <w:rFonts w:ascii="FrankRuehl" w:hAnsi="FrankRuehl" w:cs="FrankRuehl"/>
          <w:color w:val="auto"/>
          <w:sz w:val="24"/>
          <w:szCs w:val="24"/>
          <w:rtl/>
        </w:rPr>
      </w:pPr>
      <w:hyperlink r:id="rId16" w:history="1">
        <w:r w:rsidRPr="00102D59">
          <w:rPr>
            <w:rFonts w:ascii="FrankRuehl" w:hAnsi="FrankRuehl" w:cs="FrankRuehl" w:hint="eastAsia"/>
            <w:color w:val="0000FF"/>
            <w:sz w:val="24"/>
            <w:szCs w:val="24"/>
            <w:u w:val="single"/>
            <w:rtl/>
          </w:rPr>
          <w:t>פקודת</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הסמים</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המסוכנים</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נוסח</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חדש</w:t>
        </w:r>
        <w:r w:rsidRPr="00102D59">
          <w:rPr>
            <w:rFonts w:ascii="FrankRuehl" w:hAnsi="FrankRuehl" w:cs="FrankRuehl"/>
            <w:color w:val="0000FF"/>
            <w:sz w:val="24"/>
            <w:szCs w:val="24"/>
            <w:u w:val="single"/>
            <w:rtl/>
          </w:rPr>
          <w:t xml:space="preserve">], </w:t>
        </w:r>
        <w:r w:rsidRPr="00102D59">
          <w:rPr>
            <w:rFonts w:ascii="FrankRuehl" w:hAnsi="FrankRuehl" w:cs="FrankRuehl" w:hint="eastAsia"/>
            <w:color w:val="0000FF"/>
            <w:sz w:val="24"/>
            <w:szCs w:val="24"/>
            <w:u w:val="single"/>
            <w:rtl/>
          </w:rPr>
          <w:t>תשל</w:t>
        </w:r>
        <w:r w:rsidRPr="00102D59">
          <w:rPr>
            <w:rFonts w:ascii="FrankRuehl" w:hAnsi="FrankRuehl" w:cs="FrankRuehl"/>
            <w:color w:val="0000FF"/>
            <w:sz w:val="24"/>
            <w:szCs w:val="24"/>
            <w:u w:val="single"/>
            <w:rtl/>
          </w:rPr>
          <w:t>"</w:t>
        </w:r>
        <w:r w:rsidRPr="00102D59">
          <w:rPr>
            <w:rFonts w:ascii="FrankRuehl" w:hAnsi="FrankRuehl" w:cs="FrankRuehl" w:hint="eastAsia"/>
            <w:color w:val="0000FF"/>
            <w:sz w:val="24"/>
            <w:szCs w:val="24"/>
            <w:u w:val="single"/>
            <w:rtl/>
          </w:rPr>
          <w:t>ג</w:t>
        </w:r>
        <w:r w:rsidRPr="00102D59">
          <w:rPr>
            <w:rFonts w:ascii="FrankRuehl" w:hAnsi="FrankRuehl" w:cs="FrankRuehl"/>
            <w:color w:val="0000FF"/>
            <w:sz w:val="24"/>
            <w:szCs w:val="24"/>
            <w:u w:val="single"/>
            <w:rtl/>
          </w:rPr>
          <w:t>-1973</w:t>
        </w:r>
      </w:hyperlink>
    </w:p>
    <w:p w14:paraId="6EEBF44C" w14:textId="77777777" w:rsidR="00102D59" w:rsidRPr="00102D59" w:rsidRDefault="00102D59" w:rsidP="00102D59">
      <w:pPr>
        <w:pStyle w:val="1"/>
        <w:spacing w:after="120" w:line="240" w:lineRule="exact"/>
        <w:ind w:left="283" w:hanging="283"/>
        <w:jc w:val="both"/>
        <w:rPr>
          <w:rFonts w:ascii="FrankRuehl" w:hAnsi="FrankRuehl" w:cs="FrankRuehl"/>
          <w:color w:val="auto"/>
          <w:sz w:val="24"/>
          <w:szCs w:val="24"/>
          <w:rtl/>
        </w:rPr>
      </w:pPr>
    </w:p>
    <w:p w14:paraId="6D07EE1C" w14:textId="77777777" w:rsidR="00102D59" w:rsidRPr="00102D59" w:rsidRDefault="00102D59" w:rsidP="00150335">
      <w:pPr>
        <w:pStyle w:val="1"/>
        <w:spacing w:line="360" w:lineRule="auto"/>
        <w:ind w:left="360"/>
        <w:jc w:val="both"/>
        <w:rPr>
          <w:rFonts w:cs="David"/>
          <w:color w:val="auto"/>
          <w:sz w:val="28"/>
          <w:szCs w:val="24"/>
          <w:rtl/>
        </w:rPr>
      </w:pPr>
      <w:bookmarkStart w:id="4" w:name="LawTable_End"/>
      <w:bookmarkEnd w:id="4"/>
    </w:p>
    <w:p w14:paraId="64469497" w14:textId="77777777" w:rsidR="00683B61" w:rsidRPr="00683B61" w:rsidRDefault="00683B61" w:rsidP="00150335">
      <w:pPr>
        <w:pStyle w:val="1"/>
        <w:spacing w:line="360" w:lineRule="auto"/>
        <w:ind w:left="360"/>
        <w:jc w:val="both"/>
        <w:rPr>
          <w:rFonts w:cs="David"/>
          <w:b/>
          <w:bCs/>
          <w:color w:val="auto"/>
          <w:sz w:val="28"/>
          <w:szCs w:val="24"/>
          <w:rtl/>
        </w:rPr>
      </w:pPr>
    </w:p>
    <w:tbl>
      <w:tblPr>
        <w:bidiVisual/>
        <w:tblW w:w="8820" w:type="dxa"/>
        <w:jc w:val="center"/>
        <w:tblLook w:val="01E0" w:firstRow="1" w:lastRow="1" w:firstColumn="1" w:lastColumn="1" w:noHBand="0" w:noVBand="0"/>
      </w:tblPr>
      <w:tblGrid>
        <w:gridCol w:w="8820"/>
      </w:tblGrid>
      <w:tr w:rsidR="008C1BAA" w:rsidRPr="00C3753F" w14:paraId="4DCD39D6" w14:textId="77777777" w:rsidTr="008C1BAA">
        <w:trPr>
          <w:jc w:val="center"/>
        </w:trPr>
        <w:tc>
          <w:tcPr>
            <w:tcW w:w="8820" w:type="dxa"/>
            <w:shd w:val="clear" w:color="auto" w:fill="auto"/>
          </w:tcPr>
          <w:p w14:paraId="02BF5EC5" w14:textId="77777777" w:rsidR="00683B61" w:rsidRPr="00683B61" w:rsidRDefault="00683B61" w:rsidP="00683B61">
            <w:pPr>
              <w:bidi w:val="0"/>
              <w:spacing w:line="360" w:lineRule="auto"/>
              <w:jc w:val="center"/>
              <w:rPr>
                <w:rFonts w:ascii="Arial" w:hAnsi="Arial"/>
                <w:b/>
                <w:bCs/>
                <w:noProof w:val="0"/>
                <w:sz w:val="32"/>
                <w:szCs w:val="32"/>
                <w:u w:val="single"/>
                <w:rtl/>
              </w:rPr>
            </w:pPr>
            <w:bookmarkStart w:id="5" w:name="PsakDin" w:colFirst="0" w:colLast="0"/>
            <w:bookmarkEnd w:id="0"/>
            <w:r w:rsidRPr="00683B61">
              <w:rPr>
                <w:rFonts w:ascii="Arial" w:hAnsi="Arial"/>
                <w:b/>
                <w:bCs/>
                <w:noProof w:val="0"/>
                <w:sz w:val="32"/>
                <w:szCs w:val="32"/>
                <w:u w:val="single"/>
                <w:rtl/>
              </w:rPr>
              <w:t>גזר דין</w:t>
            </w:r>
          </w:p>
          <w:p w14:paraId="02A34CFD" w14:textId="77777777" w:rsidR="008C1BAA" w:rsidRPr="00683B61" w:rsidRDefault="008C1BAA" w:rsidP="00683B61">
            <w:pPr>
              <w:bidi w:val="0"/>
              <w:spacing w:line="360" w:lineRule="auto"/>
              <w:jc w:val="center"/>
              <w:rPr>
                <w:rFonts w:ascii="Arial" w:hAnsi="Arial"/>
                <w:b/>
                <w:bCs/>
                <w:noProof w:val="0"/>
                <w:sz w:val="32"/>
                <w:szCs w:val="32"/>
                <w:u w:val="single"/>
              </w:rPr>
            </w:pPr>
          </w:p>
        </w:tc>
      </w:tr>
    </w:tbl>
    <w:bookmarkEnd w:id="5"/>
    <w:p w14:paraId="5530B2DC" w14:textId="77777777" w:rsidR="008C1BAA" w:rsidRPr="00C3753F" w:rsidRDefault="008C1BAA" w:rsidP="008C1BAA">
      <w:pPr>
        <w:pStyle w:val="1"/>
        <w:numPr>
          <w:ilvl w:val="0"/>
          <w:numId w:val="1"/>
        </w:numPr>
        <w:spacing w:line="360" w:lineRule="auto"/>
        <w:ind w:left="360"/>
        <w:jc w:val="both"/>
        <w:rPr>
          <w:rFonts w:cs="David"/>
          <w:b/>
          <w:bCs/>
          <w:color w:val="auto"/>
          <w:sz w:val="28"/>
          <w:szCs w:val="24"/>
          <w:u w:val="single"/>
          <w:rtl/>
        </w:rPr>
      </w:pPr>
      <w:r w:rsidRPr="00C3753F">
        <w:rPr>
          <w:rFonts w:cs="David" w:hint="cs"/>
          <w:b/>
          <w:bCs/>
          <w:color w:val="auto"/>
          <w:sz w:val="28"/>
          <w:szCs w:val="28"/>
          <w:rtl/>
        </w:rPr>
        <w:t>רקע עובדתי</w:t>
      </w:r>
    </w:p>
    <w:p w14:paraId="484A783D" w14:textId="77777777" w:rsidR="008C1BAA" w:rsidRPr="00C3753F" w:rsidRDefault="008C1BAA" w:rsidP="008C1BAA">
      <w:pPr>
        <w:pStyle w:val="ListParagraph"/>
        <w:numPr>
          <w:ilvl w:val="0"/>
          <w:numId w:val="2"/>
        </w:numPr>
        <w:ind w:left="-58"/>
        <w:rPr>
          <w:rtl/>
        </w:rPr>
      </w:pPr>
      <w:bookmarkStart w:id="6" w:name="ABSTRACT_START"/>
      <w:bookmarkEnd w:id="6"/>
      <w:r w:rsidRPr="00C3753F">
        <w:rPr>
          <w:rFonts w:hint="cs"/>
          <w:rtl/>
        </w:rPr>
        <w:t>נגד הנאשם הוגש כתב אישום מתוקן הכולל שלושה אישומים, כדלקמן:</w:t>
      </w:r>
    </w:p>
    <w:p w14:paraId="6BF39F96" w14:textId="77777777" w:rsidR="008C1BAA" w:rsidRPr="00C3753F" w:rsidRDefault="008C1BAA" w:rsidP="008C1BAA">
      <w:pPr>
        <w:pStyle w:val="ListParagraph"/>
        <w:numPr>
          <w:ilvl w:val="0"/>
          <w:numId w:val="3"/>
        </w:numPr>
        <w:ind w:left="302"/>
      </w:pPr>
      <w:r w:rsidRPr="00C3753F">
        <w:rPr>
          <w:rFonts w:hint="cs"/>
          <w:rtl/>
        </w:rPr>
        <w:t xml:space="preserve">ברקע לכתב האישום המתוקן, מסופר כי רחמים אביטן (להלן: </w:t>
      </w:r>
      <w:r w:rsidRPr="00C3753F">
        <w:rPr>
          <w:rFonts w:hint="cs"/>
          <w:b/>
          <w:bCs/>
          <w:rtl/>
        </w:rPr>
        <w:t>"רחמים"</w:t>
      </w:r>
      <w:r w:rsidRPr="00C3753F">
        <w:rPr>
          <w:rFonts w:hint="cs"/>
          <w:rtl/>
        </w:rPr>
        <w:t xml:space="preserve">) הינו מנהל עבודה במלון באשקלון; כי יונתן חטואל (להלן: </w:t>
      </w:r>
      <w:r w:rsidRPr="00C3753F">
        <w:rPr>
          <w:rFonts w:hint="cs"/>
          <w:b/>
          <w:bCs/>
          <w:rtl/>
        </w:rPr>
        <w:t>"יונתן"</w:t>
      </w:r>
      <w:r w:rsidRPr="00C3753F">
        <w:rPr>
          <w:rFonts w:hint="cs"/>
          <w:rtl/>
        </w:rPr>
        <w:t xml:space="preserve">) הינו מנהל האירועים במלון; וכי רכבו של בעל המלון הוצת על ידי אנשים שזהותם אינה ידועה. עוד ברקע לכתב האישום המתוקן, מונה המאשימה בשמם את אמו, אחיותיו ואחיו של רחמים (ובשמו של בנו של אחד האחים). בייחוד, מצוין כי חיים אביטן (להלן: </w:t>
      </w:r>
      <w:r w:rsidRPr="00C3753F">
        <w:rPr>
          <w:rFonts w:hint="cs"/>
          <w:b/>
          <w:bCs/>
          <w:rtl/>
        </w:rPr>
        <w:t>"חיים"</w:t>
      </w:r>
      <w:r w:rsidRPr="00C3753F">
        <w:rPr>
          <w:rFonts w:hint="cs"/>
          <w:rtl/>
        </w:rPr>
        <w:t xml:space="preserve">) הינו אחיו של רחמים, וכי במועדים הרלוונטיים לכתב האישום המתוקן הוא ריצה עונש מאסר ולא היה בינו לבין רחמים כל קשר. כמו כן, מסופר כי </w:t>
      </w:r>
      <w:r w:rsidRPr="00C3753F">
        <w:rPr>
          <w:rFonts w:hint="cs"/>
          <w:rtl/>
        </w:rPr>
        <w:lastRenderedPageBreak/>
        <w:t xml:space="preserve">במועד שאינו ידוע במדויק אולם עובר לאירועים שבמוקד כתב האישום המתוקן ועל רקע חוב כספי של חיים לנאשם, התגלע בינם סכסוך. </w:t>
      </w:r>
    </w:p>
    <w:p w14:paraId="7C3E3F1D" w14:textId="77777777" w:rsidR="008C1BAA" w:rsidRPr="00C3753F" w:rsidRDefault="008C1BAA" w:rsidP="008C1BAA">
      <w:pPr>
        <w:pStyle w:val="ListParagraph"/>
        <w:numPr>
          <w:ilvl w:val="0"/>
          <w:numId w:val="3"/>
        </w:numPr>
        <w:ind w:left="302"/>
      </w:pPr>
      <w:bookmarkStart w:id="7" w:name="ABSTRACT_END"/>
      <w:bookmarkEnd w:id="7"/>
      <w:r w:rsidRPr="00C3753F">
        <w:rPr>
          <w:rFonts w:hint="cs"/>
          <w:rtl/>
        </w:rPr>
        <w:t>על רקע המתואר, נטען באישום הראשון, כי במועד אשר אינו ידוע למאשימה החליט הנאשם לגבות מרחמים את החוב הכספי שחיים חב לו. וכך, ביום 16.01.2015 (יום שישי) בשעה 16:24 או בסמוך לכך, התקשר הנאשם אל יונתן וביקש לדבר עם רחמים, אך נמסר לו כי ההודעה תועבר אל האחרון. דא עקא, הנאשם סבר כי מכשיר הטלפון הנייד של יונתן שייך לרחמים, וכעבור שתי דקות התקשר שוב פעם אל יונתן, אך האחרון לא ענה ובהמשך, עם כניסת השבת, ניתק את מכשיר הטלפון הנייד.</w:t>
      </w:r>
    </w:p>
    <w:p w14:paraId="7B084506" w14:textId="77777777" w:rsidR="008C1BAA" w:rsidRPr="00C3753F" w:rsidRDefault="008C1BAA" w:rsidP="008C1BAA">
      <w:pPr>
        <w:pStyle w:val="ListParagraph"/>
        <w:ind w:left="302" w:firstLine="0"/>
        <w:rPr>
          <w:rFonts w:hint="cs"/>
          <w:rtl/>
        </w:rPr>
      </w:pPr>
      <w:r w:rsidRPr="00C3753F">
        <w:rPr>
          <w:rFonts w:hint="cs"/>
          <w:rtl/>
        </w:rPr>
        <w:t xml:space="preserve">מנקודה זו ועד לצאת השבת, התקשר הנאשם אל יונתן כ- 25 פעמים ושלח לו מספר רב של הודעות, כאשר לשונן של חמש עשרה הודעות מובא בכתב האישום המתוקן. המדובר בהודעות שכוללות קללות בוטות, מיניות וגסות ביותר, איחולים למחלות, וכיוצא באלה, וכשכל אלה מופנים כלפי אימו של רחמים וכלפי יתר בני משפחתו. ודוק, מפאת קוצר היריעה לא אצטט עלי גזר הדין את כל ההודעות ששלח הנאשם, ולהלן רק כמה בודדות מהן, כדי להבהיר את רוח הדברים: </w:t>
      </w:r>
      <w:r w:rsidRPr="00C3753F">
        <w:rPr>
          <w:rFonts w:hint="cs"/>
          <w:b/>
          <w:bCs/>
          <w:rtl/>
        </w:rPr>
        <w:t>"תגיד לרחמים הבן שרמוטה שאמא שלו רחל בדיוק מוצצת לי ואחותו אסתר וסילבי זונות בכביש משפחה של זונות"</w:t>
      </w:r>
      <w:r w:rsidRPr="00C3753F">
        <w:rPr>
          <w:rFonts w:hint="cs"/>
          <w:rtl/>
        </w:rPr>
        <w:t xml:space="preserve">; </w:t>
      </w:r>
      <w:r w:rsidRPr="00C3753F">
        <w:rPr>
          <w:rFonts w:hint="cs"/>
          <w:b/>
          <w:bCs/>
          <w:rtl/>
        </w:rPr>
        <w:t>"ושאול מוצץ לאנשים בשביל שיעשו אצלו אירוע, אני בא בעזרת השם עם כמה חברים שיכין לי חדר במלון המסריח שלו"</w:t>
      </w:r>
      <w:r w:rsidRPr="00C3753F">
        <w:rPr>
          <w:rFonts w:hint="cs"/>
          <w:rtl/>
        </w:rPr>
        <w:t xml:space="preserve">; </w:t>
      </w:r>
      <w:r w:rsidRPr="00C3753F">
        <w:rPr>
          <w:rFonts w:hint="cs"/>
          <w:b/>
          <w:bCs/>
          <w:rtl/>
        </w:rPr>
        <w:t>"יום ראשון אני בא שיכין 4 חדרים בסוויטות הוודקה אנחנו נביא, רחל אמא שלו זונה מוצצת לבדואים"</w:t>
      </w:r>
      <w:r w:rsidRPr="00C3753F">
        <w:rPr>
          <w:rFonts w:hint="cs"/>
          <w:rtl/>
        </w:rPr>
        <w:t xml:space="preserve">; </w:t>
      </w:r>
      <w:r w:rsidRPr="00C3753F">
        <w:rPr>
          <w:rFonts w:hint="cs"/>
          <w:b/>
          <w:bCs/>
          <w:rtl/>
        </w:rPr>
        <w:t>"שאול בן זונה שאול בן זונה שאול בן זונה זה הבן הבכור מכת בכורות שאלוהים יעשה לו ולבן שלו שלומי השרמוטה העורך דין הבן זונה הזה"</w:t>
      </w:r>
      <w:r w:rsidRPr="00C3753F">
        <w:rPr>
          <w:rFonts w:hint="cs"/>
          <w:rtl/>
        </w:rPr>
        <w:t xml:space="preserve">; וכיוצא באלה. </w:t>
      </w:r>
    </w:p>
    <w:p w14:paraId="074D0360" w14:textId="77777777" w:rsidR="008C1BAA" w:rsidRPr="00C3753F" w:rsidRDefault="008C1BAA" w:rsidP="008C1BAA">
      <w:pPr>
        <w:pStyle w:val="ListParagraph"/>
        <w:numPr>
          <w:ilvl w:val="0"/>
          <w:numId w:val="3"/>
        </w:numPr>
        <w:ind w:left="302"/>
        <w:rPr>
          <w:rtl/>
        </w:rPr>
      </w:pPr>
      <w:r w:rsidRPr="00C3753F">
        <w:rPr>
          <w:rFonts w:hint="cs"/>
          <w:rtl/>
        </w:rPr>
        <w:t xml:space="preserve">באישום השני, נטען כי ביום 20.01.2015 בשעה 15:51 או בסמוך לכך, שלח הנאשם הודעת טקסט למכשיר הטלפון של יונתן, שזו לשונה: </w:t>
      </w:r>
      <w:r w:rsidRPr="00C3753F">
        <w:rPr>
          <w:rFonts w:hint="cs"/>
          <w:b/>
          <w:bCs/>
          <w:rtl/>
        </w:rPr>
        <w:t>"השריפת רכב הייתה פרומו למה שהולך להיות, בן שרמוטה כל ה- 12 אחים ימותו אחד אחד ואני נודר נדר לזה ורחל היא הראשונה, הבית שלה ישרף עוד השבוע, מילה שלי המשחקים נגמרו, שלב המעשים"</w:t>
      </w:r>
      <w:r w:rsidRPr="00C3753F">
        <w:rPr>
          <w:rFonts w:hint="cs"/>
          <w:rtl/>
        </w:rPr>
        <w:t>.</w:t>
      </w:r>
    </w:p>
    <w:p w14:paraId="308727A8" w14:textId="77777777" w:rsidR="008C1BAA" w:rsidRPr="00C3753F" w:rsidRDefault="008C1BAA" w:rsidP="008C1BAA">
      <w:pPr>
        <w:pStyle w:val="ListParagraph"/>
        <w:numPr>
          <w:ilvl w:val="0"/>
          <w:numId w:val="3"/>
        </w:numPr>
        <w:ind w:left="302"/>
      </w:pPr>
      <w:r w:rsidRPr="00C3753F">
        <w:rPr>
          <w:rFonts w:hint="cs"/>
          <w:rtl/>
        </w:rPr>
        <w:t xml:space="preserve">באישום השלישי, נטען כי ביום 29.01.2015 היו צפויים בני משפחת אביטן להיפגש באירוע משפחתי באולם "ביאנקה" בבאר שבע. וכך, ביום 28.01.2018 בשעה 22:32 או בסמוך לכך, שלח הנאשם הודעת טקסט אל מכשיר הטלפון של יונתן, שזו לשונה: </w:t>
      </w:r>
      <w:r w:rsidRPr="00C3753F">
        <w:rPr>
          <w:rFonts w:hint="cs"/>
          <w:b/>
          <w:bCs/>
          <w:rtl/>
        </w:rPr>
        <w:t>"שאול ז"ל הבן שלו יניב ז"ל רחמים ז"ל אני מבטיח לך מילה שלי יבן שרמוטה שיזרק לך רימון רסס לתוך הלובי במלון בביאנקה בזמן האירוע יזרק רימון רסס ושלומי הבן של שאול הקוקסינל הזה אני יאנוס את העורך דין הזין הזה אני יאנוס לך את האחיות וישתין לרחל בפה יבן שרמוטה"</w:t>
      </w:r>
      <w:r w:rsidRPr="00C3753F">
        <w:rPr>
          <w:rFonts w:hint="cs"/>
          <w:rtl/>
        </w:rPr>
        <w:t>.</w:t>
      </w:r>
    </w:p>
    <w:p w14:paraId="4C093132" w14:textId="77777777" w:rsidR="008C1BAA" w:rsidRPr="00C3753F" w:rsidRDefault="008C1BAA" w:rsidP="008C1BAA">
      <w:pPr>
        <w:pStyle w:val="ListParagraph"/>
        <w:numPr>
          <w:ilvl w:val="0"/>
          <w:numId w:val="2"/>
        </w:numPr>
        <w:ind w:left="-58"/>
      </w:pPr>
      <w:r w:rsidRPr="00C3753F">
        <w:rPr>
          <w:rFonts w:hint="cs"/>
          <w:rtl/>
        </w:rPr>
        <w:t xml:space="preserve">הנאשם הודה במסכת המיוחסת לו לעיל, ועל יסוד הודאתו זו, הורשע </w:t>
      </w:r>
      <w:r w:rsidRPr="00C3753F">
        <w:rPr>
          <w:rFonts w:hint="cs"/>
          <w:b/>
          <w:bCs/>
          <w:rtl/>
        </w:rPr>
        <w:t xml:space="preserve">בשלוש </w:t>
      </w:r>
      <w:r w:rsidRPr="00C3753F">
        <w:rPr>
          <w:rFonts w:hint="cs"/>
          <w:rtl/>
        </w:rPr>
        <w:t>עבירות של</w:t>
      </w:r>
      <w:r w:rsidRPr="00C3753F">
        <w:rPr>
          <w:rFonts w:hint="cs"/>
          <w:b/>
          <w:bCs/>
          <w:rtl/>
        </w:rPr>
        <w:t xml:space="preserve"> הטרדה באמצעות מתקן בזק</w:t>
      </w:r>
      <w:r w:rsidRPr="00C3753F">
        <w:rPr>
          <w:rFonts w:hint="cs"/>
          <w:rtl/>
        </w:rPr>
        <w:t xml:space="preserve">, לפי </w:t>
      </w:r>
      <w:hyperlink r:id="rId17" w:history="1">
        <w:r w:rsidR="00150335" w:rsidRPr="00150335">
          <w:rPr>
            <w:rStyle w:val="Hyperlink"/>
            <w:rFonts w:hint="cs"/>
            <w:color w:val="0000FF"/>
            <w:rtl/>
          </w:rPr>
          <w:t>סעיף</w:t>
        </w:r>
        <w:r w:rsidR="00150335" w:rsidRPr="00150335">
          <w:rPr>
            <w:rStyle w:val="Hyperlink"/>
            <w:color w:val="0000FF"/>
            <w:rtl/>
          </w:rPr>
          <w:t xml:space="preserve"> 30</w:t>
        </w:r>
      </w:hyperlink>
      <w:r w:rsidRPr="00C3753F">
        <w:rPr>
          <w:rFonts w:hint="cs"/>
          <w:rtl/>
        </w:rPr>
        <w:t xml:space="preserve"> ל</w:t>
      </w:r>
      <w:hyperlink r:id="rId18"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התקשורת</w:t>
        </w:r>
        <w:r w:rsidR="00683B61" w:rsidRPr="00683B61">
          <w:rPr>
            <w:color w:val="0000FF"/>
            <w:u w:val="single"/>
            <w:rtl/>
          </w:rPr>
          <w:t xml:space="preserve"> (</w:t>
        </w:r>
        <w:r w:rsidR="00683B61" w:rsidRPr="00683B61">
          <w:rPr>
            <w:rFonts w:hint="cs"/>
            <w:color w:val="0000FF"/>
            <w:u w:val="single"/>
            <w:rtl/>
          </w:rPr>
          <w:t>בזק</w:t>
        </w:r>
        <w:r w:rsidR="00683B61" w:rsidRPr="00683B61">
          <w:rPr>
            <w:color w:val="0000FF"/>
            <w:u w:val="single"/>
            <w:rtl/>
          </w:rPr>
          <w:t xml:space="preserve"> </w:t>
        </w:r>
        <w:r w:rsidR="00683B61" w:rsidRPr="00683B61">
          <w:rPr>
            <w:rFonts w:hint="cs"/>
            <w:color w:val="0000FF"/>
            <w:u w:val="single"/>
            <w:rtl/>
          </w:rPr>
          <w:t>ושידורים</w:t>
        </w:r>
        <w:r w:rsidR="00683B61" w:rsidRPr="00683B61">
          <w:rPr>
            <w:color w:val="0000FF"/>
            <w:u w:val="single"/>
            <w:rtl/>
          </w:rPr>
          <w:t>)</w:t>
        </w:r>
      </w:hyperlink>
      <w:r w:rsidRPr="00C3753F">
        <w:rPr>
          <w:rFonts w:hint="cs"/>
          <w:rtl/>
        </w:rPr>
        <w:t xml:space="preserve">, התשמ"ב-1982; </w:t>
      </w:r>
      <w:r w:rsidRPr="00C3753F">
        <w:rPr>
          <w:rFonts w:hint="cs"/>
          <w:b/>
          <w:bCs/>
          <w:rtl/>
        </w:rPr>
        <w:t>ובשתי</w:t>
      </w:r>
      <w:r w:rsidRPr="00C3753F">
        <w:rPr>
          <w:rFonts w:hint="cs"/>
          <w:rtl/>
        </w:rPr>
        <w:t xml:space="preserve"> עבירות של </w:t>
      </w:r>
      <w:r w:rsidRPr="00C3753F">
        <w:rPr>
          <w:rFonts w:hint="cs"/>
          <w:b/>
          <w:bCs/>
          <w:rtl/>
        </w:rPr>
        <w:t>דרישת נכס באיומים</w:t>
      </w:r>
      <w:r w:rsidRPr="00C3753F">
        <w:rPr>
          <w:rFonts w:hint="cs"/>
          <w:rtl/>
        </w:rPr>
        <w:t xml:space="preserve">, לפי </w:t>
      </w:r>
      <w:hyperlink r:id="rId19" w:history="1">
        <w:r w:rsidR="00150335" w:rsidRPr="00150335">
          <w:rPr>
            <w:rStyle w:val="Hyperlink"/>
            <w:rFonts w:hint="cs"/>
            <w:color w:val="0000FF"/>
            <w:rtl/>
          </w:rPr>
          <w:t>סעיף</w:t>
        </w:r>
        <w:r w:rsidR="00150335" w:rsidRPr="00150335">
          <w:rPr>
            <w:rStyle w:val="Hyperlink"/>
            <w:color w:val="0000FF"/>
            <w:rtl/>
          </w:rPr>
          <w:t xml:space="preserve"> 404</w:t>
        </w:r>
      </w:hyperlink>
      <w:r w:rsidRPr="00C3753F">
        <w:rPr>
          <w:rFonts w:hint="cs"/>
          <w:rtl/>
        </w:rPr>
        <w:t xml:space="preserve"> ל</w:t>
      </w:r>
      <w:hyperlink r:id="rId20"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xml:space="preserve">, התשל"ז-1977 (להלן: </w:t>
      </w:r>
      <w:r w:rsidRPr="00C3753F">
        <w:rPr>
          <w:rFonts w:hint="cs"/>
          <w:b/>
          <w:bCs/>
          <w:rtl/>
        </w:rPr>
        <w:t>"חוק העונשין"</w:t>
      </w:r>
      <w:r w:rsidRPr="00C3753F">
        <w:rPr>
          <w:rFonts w:hint="cs"/>
          <w:rtl/>
        </w:rPr>
        <w:t>).</w:t>
      </w:r>
    </w:p>
    <w:p w14:paraId="17B12ADA" w14:textId="77777777" w:rsidR="008C1BAA" w:rsidRPr="00C3753F" w:rsidRDefault="008C1BAA" w:rsidP="008C1BAA">
      <w:pPr>
        <w:pStyle w:val="ListParagraph"/>
        <w:ind w:left="-58" w:firstLine="0"/>
      </w:pPr>
      <w:r w:rsidRPr="00C3753F">
        <w:rPr>
          <w:rFonts w:hint="cs"/>
          <w:rtl/>
        </w:rPr>
        <w:t xml:space="preserve">ויוער, אמנם לא צוין בכתב האישום המתוקן אם הנאשם מואשם בעבירות של דרישת נכס באיומים לפי הרישא של </w:t>
      </w:r>
      <w:hyperlink r:id="rId21" w:history="1">
        <w:r w:rsidR="00150335" w:rsidRPr="00150335">
          <w:rPr>
            <w:rStyle w:val="Hyperlink"/>
            <w:rFonts w:hint="cs"/>
            <w:color w:val="0000FF"/>
            <w:rtl/>
          </w:rPr>
          <w:t>סעיף</w:t>
        </w:r>
        <w:r w:rsidR="00150335" w:rsidRPr="00150335">
          <w:rPr>
            <w:rStyle w:val="Hyperlink"/>
            <w:color w:val="0000FF"/>
            <w:rtl/>
          </w:rPr>
          <w:t xml:space="preserve"> 404</w:t>
        </w:r>
      </w:hyperlink>
      <w:r w:rsidRPr="00C3753F">
        <w:rPr>
          <w:rFonts w:hint="cs"/>
          <w:rtl/>
        </w:rPr>
        <w:t xml:space="preserve"> ל</w:t>
      </w:r>
      <w:hyperlink r:id="rId22"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xml:space="preserve"> או שמא לפי הסיפא של הסעיף. אולם, אין חולק שהנאשם לא הצטייד בנשק חם או קר לשם ביצוע העבירות, ומכאן שברי כי יש להתייחס לדברים כאילו הנאשם מואשם בחלופה הקלה יותר, דהיינו </w:t>
      </w:r>
      <w:hyperlink r:id="rId23" w:history="1">
        <w:r w:rsidR="00150335" w:rsidRPr="00150335">
          <w:rPr>
            <w:rStyle w:val="Hyperlink"/>
            <w:rFonts w:hint="cs"/>
            <w:color w:val="0000FF"/>
            <w:rtl/>
          </w:rPr>
          <w:t>סעיף</w:t>
        </w:r>
        <w:r w:rsidR="00150335" w:rsidRPr="00150335">
          <w:rPr>
            <w:rStyle w:val="Hyperlink"/>
            <w:color w:val="0000FF"/>
            <w:rtl/>
          </w:rPr>
          <w:t xml:space="preserve"> 404</w:t>
        </w:r>
      </w:hyperlink>
      <w:r w:rsidRPr="00C3753F">
        <w:rPr>
          <w:rFonts w:hint="cs"/>
          <w:rtl/>
        </w:rPr>
        <w:t xml:space="preserve"> </w:t>
      </w:r>
      <w:r w:rsidRPr="00C3753F">
        <w:rPr>
          <w:rFonts w:hint="cs"/>
          <w:b/>
          <w:bCs/>
          <w:rtl/>
        </w:rPr>
        <w:t>רישא</w:t>
      </w:r>
      <w:r w:rsidRPr="00C3753F">
        <w:rPr>
          <w:rFonts w:hint="cs"/>
          <w:rtl/>
        </w:rPr>
        <w:t xml:space="preserve"> ל</w:t>
      </w:r>
      <w:hyperlink r:id="rId24"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w:t>
      </w:r>
    </w:p>
    <w:p w14:paraId="02C59EF4" w14:textId="77777777" w:rsidR="008C1BAA" w:rsidRPr="00C3753F" w:rsidRDefault="008C1BAA" w:rsidP="008C1BAA">
      <w:pPr>
        <w:pStyle w:val="ListParagraph"/>
        <w:numPr>
          <w:ilvl w:val="0"/>
          <w:numId w:val="2"/>
        </w:numPr>
        <w:ind w:left="-58"/>
      </w:pPr>
      <w:r w:rsidRPr="00C3753F">
        <w:rPr>
          <w:rFonts w:hint="cs"/>
          <w:rtl/>
        </w:rPr>
        <w:lastRenderedPageBreak/>
        <w:t>הצדדים לא הגיעו להסדר לעניין העונש, אך הוסכם כי הנאשם יופנה לשירות המבחן, תוך שהמאשימה הצהירה כי תגביל את עמדתה העונשית ל- 8 חודשי מאסר, לצד מאסר מותנה וקנס; ואילו ההגנה תעתור להשתת מאסר לריצוי בעבודות שירות, מאסר מותנה וקנס.</w:t>
      </w:r>
    </w:p>
    <w:p w14:paraId="726F9B21" w14:textId="77777777" w:rsidR="008C1BAA" w:rsidRPr="00C3753F" w:rsidRDefault="008C1BAA" w:rsidP="008C1BAA">
      <w:pPr>
        <w:pStyle w:val="ListParagraph"/>
        <w:numPr>
          <w:ilvl w:val="0"/>
          <w:numId w:val="2"/>
        </w:numPr>
        <w:ind w:left="-58"/>
      </w:pPr>
      <w:r w:rsidRPr="00C3753F">
        <w:rPr>
          <w:rFonts w:hint="cs"/>
          <w:rtl/>
        </w:rPr>
        <w:t>התסקיר אשר התקבל בעניינו של הנאשם נושא אופי שלילי, ובסופו נמנע שירות המבחן מלבוא בהמלצה שיהיה בה כדי להפחית את הסיכון הנשקף מהנאשם להישנות עבירות. בגוף התסקיר, עומד שירות המבחן על קורות חייו של הנאשם, ההיסטוריה העבריינית שלו, יחסו לעבירות, דפוסי השימוש שלו בסמים, ועוד. אולם, מטעמים של צנעת הפרט, לא אעלה עלי גזר הדין את כל המפורט בתסקיר האמור, מלבד אותם נתונים הרלוונטיים לשאלת העונש, שאליהם אתייחס בהמשך.</w:t>
      </w:r>
    </w:p>
    <w:p w14:paraId="3E9F2C70" w14:textId="77777777" w:rsidR="008C1BAA" w:rsidRPr="00C3753F" w:rsidRDefault="008C1BAA" w:rsidP="008C1BAA">
      <w:pPr>
        <w:pStyle w:val="ListParagraph"/>
        <w:numPr>
          <w:ilvl w:val="0"/>
          <w:numId w:val="2"/>
        </w:numPr>
        <w:ind w:left="-58"/>
      </w:pPr>
      <w:r w:rsidRPr="00C3753F">
        <w:rPr>
          <w:rFonts w:hint="cs"/>
          <w:rtl/>
        </w:rPr>
        <w:t xml:space="preserve">למען שלמות התמונה יצוין, כי לאחר הגשת כתב האישום, בספטמבר 2017, הנאשם הורשע בתיק אחר בגין ביצוע עבירות סמים שונות ודינו נגזר, בין היתר, למאסר בפועל למשך 7 חודשים. נכון למועד כתיבת שורות אלה, כפי מיטב הבנתו של בית המשפט, הנאשם עודנו מרצה מאסר זה. </w:t>
      </w:r>
    </w:p>
    <w:p w14:paraId="7B78A15F" w14:textId="77777777" w:rsidR="008C1BAA" w:rsidRPr="00C3753F" w:rsidRDefault="008C1BAA" w:rsidP="008C1BAA">
      <w:pPr>
        <w:pStyle w:val="1"/>
        <w:numPr>
          <w:ilvl w:val="0"/>
          <w:numId w:val="1"/>
        </w:numPr>
        <w:spacing w:line="360" w:lineRule="auto"/>
        <w:ind w:left="360"/>
        <w:jc w:val="both"/>
        <w:rPr>
          <w:rFonts w:cs="David"/>
          <w:b/>
          <w:bCs/>
          <w:color w:val="auto"/>
          <w:sz w:val="28"/>
          <w:szCs w:val="28"/>
        </w:rPr>
      </w:pPr>
      <w:r w:rsidRPr="00C3753F">
        <w:rPr>
          <w:rFonts w:cs="David" w:hint="cs"/>
          <w:b/>
          <w:bCs/>
          <w:color w:val="auto"/>
          <w:sz w:val="28"/>
          <w:szCs w:val="28"/>
          <w:rtl/>
        </w:rPr>
        <w:t>טיעוני הצדדים (עיקרי הדברים)</w:t>
      </w:r>
    </w:p>
    <w:p w14:paraId="5DD3ADCD" w14:textId="77777777" w:rsidR="008C1BAA" w:rsidRPr="00C3753F" w:rsidRDefault="008C1BAA" w:rsidP="008C1BAA">
      <w:pPr>
        <w:pStyle w:val="ListParagraph"/>
        <w:numPr>
          <w:ilvl w:val="0"/>
          <w:numId w:val="2"/>
        </w:numPr>
        <w:ind w:left="-58"/>
      </w:pPr>
      <w:r w:rsidRPr="00C3753F">
        <w:rPr>
          <w:rFonts w:hint="cs"/>
          <w:rtl/>
        </w:rPr>
        <w:t>באת כוח המאשימה פירטה את חומרת מעשיו של הנאשם, עמדה על הנסיבות לחומרה שנלוו אליהם ועל הערכים המוגנים שנפגעו. בהמשך, התובעת הזכירה כי המאשימה הגבילה את עתירתה העונשית לשמונה חודשי מאסר, ובשים לב למתחם העונש ההולם שראוי לקבוע – בין 12 ל- 30 חודשים מאסר – טענה כי יש לקבל עמדה זו במלואה. כתמיכה לטענה זו, הפנתה התובעת, בין היתר, לתסקיר שירות המבחן שממנו עולה כי הנאשם אינו מקבל אחריות על מעשיו ולעברו הפלילי.</w:t>
      </w:r>
    </w:p>
    <w:p w14:paraId="1CBF67B8" w14:textId="77777777" w:rsidR="008C1BAA" w:rsidRPr="00C3753F" w:rsidRDefault="008C1BAA" w:rsidP="008C1BAA">
      <w:pPr>
        <w:pStyle w:val="ListParagraph"/>
        <w:numPr>
          <w:ilvl w:val="0"/>
          <w:numId w:val="2"/>
        </w:numPr>
        <w:ind w:left="-58"/>
      </w:pPr>
      <w:r w:rsidRPr="00C3753F">
        <w:rPr>
          <w:rFonts w:hint="cs"/>
          <w:rtl/>
        </w:rPr>
        <w:t xml:space="preserve">מנגד, בא כוח הנאשם הפנה לעובדה כי הנאשם הודה במעשים כבר בהזדמנות הראשונה, לכך שחיים גנב ממנו הרבה כסף ולחלוף הזמן. כמו כן, נטען כי העבירות של דרישת נכס באיומים המיוחסות לנאשם מצויות ברף חומרה נמוך; כי הנאשם עובר הליך טיפולי במסגרת המאסר שאותו הוא מרצה וכי הוא יכול היה לצרף תיק זה לתיק הסמים שבגינו הוא נדון זה מכבר. לאור אלה, עתר בא כוח הנאשם להסתפק בהשתת מאסר מותנה או לחילופין, במאסר שתקופתו אינה עולה על תקופת מעצרו בתיק זה או לתקופה חופפת למאסר שאותו הוא מרצה כעת. </w:t>
      </w:r>
    </w:p>
    <w:p w14:paraId="75FAB3F0" w14:textId="77777777" w:rsidR="008C1BAA" w:rsidRPr="00C3753F" w:rsidRDefault="008C1BAA" w:rsidP="008C1BAA">
      <w:pPr>
        <w:pStyle w:val="ListParagraph"/>
        <w:numPr>
          <w:ilvl w:val="0"/>
          <w:numId w:val="2"/>
        </w:numPr>
        <w:ind w:left="-58"/>
      </w:pPr>
      <w:r w:rsidRPr="00C3753F">
        <w:rPr>
          <w:rFonts w:hint="cs"/>
          <w:rtl/>
        </w:rPr>
        <w:t>הנאשם טען כי הוא שוהה כיום באגף טיפולי בכלא "עתלית" ומנסה לשקם את עצמו. כמו כן, הלה מסר כי חיים חייב לו 750 אלף שקלים, כי הוא מצוי כיום בחובות כלכליים כבדים בגין כך, וכי בסך הכול ניסה לקבל את שמגיע לו. לצד אלה, הנאשם טען כי הוא מקבל אחריות על מעשיו ומבין כי טעה; וביקש מבית המשפט להתחשב בו.</w:t>
      </w:r>
    </w:p>
    <w:p w14:paraId="2DD603F0" w14:textId="77777777" w:rsidR="008C1BAA" w:rsidRPr="00C3753F" w:rsidRDefault="008C1BAA" w:rsidP="008C1BAA">
      <w:pPr>
        <w:pStyle w:val="1"/>
        <w:spacing w:line="360" w:lineRule="auto"/>
        <w:rPr>
          <w:rFonts w:cs="David"/>
          <w:b/>
          <w:bCs/>
          <w:color w:val="auto"/>
          <w:u w:val="single"/>
        </w:rPr>
      </w:pPr>
      <w:r w:rsidRPr="00C3753F">
        <w:rPr>
          <w:rFonts w:cs="David" w:hint="cs"/>
          <w:b/>
          <w:bCs/>
          <w:color w:val="auto"/>
          <w:u w:val="single"/>
          <w:rtl/>
        </w:rPr>
        <w:t>דיון והכרעה</w:t>
      </w:r>
    </w:p>
    <w:p w14:paraId="0661CA82" w14:textId="77777777" w:rsidR="008C1BAA" w:rsidRPr="00C3753F" w:rsidRDefault="008C1BAA" w:rsidP="008C1BAA">
      <w:pPr>
        <w:pStyle w:val="ListParagraph"/>
        <w:numPr>
          <w:ilvl w:val="0"/>
          <w:numId w:val="2"/>
        </w:numPr>
        <w:ind w:left="-58"/>
        <w:rPr>
          <w:rtl/>
        </w:rPr>
      </w:pPr>
      <w:r w:rsidRPr="00C3753F">
        <w:rPr>
          <w:rFonts w:hint="cs"/>
          <w:rtl/>
        </w:rPr>
        <w:t xml:space="preserve">ראשית חוכמה יצוין, כי המאשימה לא טענה שיש לקבוע מתחם עונש נפרד בגין כל אישום, ובשים לב ל"מבחן הקשר ההדוק" וליתר מבחני העזר אשר נקבעו לעניין זה בפסיקתו של בית המשפט העליון (ראו למשל, דעת הרוב </w:t>
      </w:r>
      <w:r w:rsidRPr="00C3753F">
        <w:rPr>
          <w:rFonts w:hint="cs"/>
          <w:u w:val="single"/>
          <w:rtl/>
        </w:rPr>
        <w:t>ב</w:t>
      </w:r>
      <w:hyperlink r:id="rId25"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4910/13</w:t>
        </w:r>
      </w:hyperlink>
      <w:r w:rsidRPr="00C3753F">
        <w:rPr>
          <w:rFonts w:hint="cs"/>
          <w:rtl/>
        </w:rPr>
        <w:t xml:space="preserve"> ‏</w:t>
      </w:r>
      <w:r w:rsidRPr="00C3753F">
        <w:rPr>
          <w:rFonts w:hint="cs"/>
          <w:b/>
          <w:bCs/>
          <w:rtl/>
        </w:rPr>
        <w:t>אחמד בני ג'אבר נ' מדינת ישראל</w:t>
      </w:r>
      <w:r w:rsidRPr="00C3753F">
        <w:rPr>
          <w:rFonts w:hint="cs"/>
          <w:rtl/>
        </w:rPr>
        <w:t xml:space="preserve">, (29.10.2014); </w:t>
      </w:r>
      <w:hyperlink r:id="rId26"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1261/15</w:t>
        </w:r>
      </w:hyperlink>
      <w:r w:rsidRPr="00C3753F">
        <w:rPr>
          <w:rFonts w:hint="cs"/>
          <w:rtl/>
        </w:rPr>
        <w:t xml:space="preserve"> </w:t>
      </w:r>
      <w:r w:rsidRPr="00C3753F">
        <w:rPr>
          <w:rFonts w:hint="cs"/>
          <w:b/>
          <w:bCs/>
          <w:rtl/>
        </w:rPr>
        <w:t>יוסף דלאל נ' מדינת ישראל</w:t>
      </w:r>
      <w:r w:rsidRPr="00C3753F">
        <w:rPr>
          <w:rFonts w:hint="cs"/>
          <w:rtl/>
        </w:rPr>
        <w:t xml:space="preserve">, (03.09.2015); </w:t>
      </w:r>
      <w:hyperlink r:id="rId27"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3164/14</w:t>
        </w:r>
      </w:hyperlink>
      <w:r w:rsidRPr="00C3753F">
        <w:rPr>
          <w:rFonts w:hint="cs"/>
          <w:rtl/>
        </w:rPr>
        <w:t xml:space="preserve"> </w:t>
      </w:r>
      <w:r w:rsidRPr="00C3753F">
        <w:rPr>
          <w:rFonts w:hint="cs"/>
          <w:b/>
          <w:bCs/>
          <w:rtl/>
        </w:rPr>
        <w:t>גיא פן נ' מדינת ישראל</w:t>
      </w:r>
      <w:r w:rsidRPr="00C3753F">
        <w:rPr>
          <w:rFonts w:hint="cs"/>
          <w:rtl/>
        </w:rPr>
        <w:t xml:space="preserve">, (29.06.2015)) – נדמה כי בדין נמנעה מלעשות כן. שכן, מאחורי מכלול המעשים עומד אותו הרקע והמניע, ההודעות שנשלחו דומות אלו לאלו באופיין, וכאשר נהיר כי יש לראות במכלול המעשים כמסכת עבריינית אחת נמשכת, כך שמתקיים קשר הדוק ביותר בין האישומים השונים. לצד אלה, בית המשפט יזהיר עצמו שמא מעשה עבירה זה או אחר "ייבלע" באירוע בכללותו, כך שהנאשם לא ייענש בגינו, וכל מעשה יזכה להתייחסות ראויה בעת הליך גזירת העונש (ראו והשוו דבריו של בית המשפט המחוזי </w:t>
      </w:r>
      <w:r w:rsidRPr="00C3753F">
        <w:rPr>
          <w:rFonts w:hint="cs"/>
          <w:u w:val="single"/>
          <w:rtl/>
        </w:rPr>
        <w:t>ב</w:t>
      </w:r>
      <w:hyperlink r:id="rId28" w:history="1">
        <w:r w:rsidR="00683B61" w:rsidRPr="00683B61">
          <w:rPr>
            <w:rFonts w:hint="cs"/>
            <w:color w:val="0000FF"/>
            <w:u w:val="single"/>
            <w:rtl/>
          </w:rPr>
          <w:t>עפ</w:t>
        </w:r>
        <w:r w:rsidR="00683B61" w:rsidRPr="00683B61">
          <w:rPr>
            <w:color w:val="0000FF"/>
            <w:u w:val="single"/>
            <w:rtl/>
          </w:rPr>
          <w:t>"</w:t>
        </w:r>
        <w:r w:rsidR="00683B61" w:rsidRPr="00683B61">
          <w:rPr>
            <w:rFonts w:hint="cs"/>
            <w:color w:val="0000FF"/>
            <w:u w:val="single"/>
            <w:rtl/>
          </w:rPr>
          <w:t>ג</w:t>
        </w:r>
        <w:r w:rsidR="00683B61" w:rsidRPr="00683B61">
          <w:rPr>
            <w:color w:val="0000FF"/>
            <w:u w:val="single"/>
            <w:rtl/>
          </w:rPr>
          <w:t xml:space="preserve"> (</w:t>
        </w:r>
        <w:r w:rsidR="00683B61" w:rsidRPr="00683B61">
          <w:rPr>
            <w:rFonts w:hint="cs"/>
            <w:color w:val="0000FF"/>
            <w:u w:val="single"/>
            <w:rtl/>
          </w:rPr>
          <w:t>מחוזי</w:t>
        </w:r>
        <w:r w:rsidR="00683B61" w:rsidRPr="00683B61">
          <w:rPr>
            <w:color w:val="0000FF"/>
            <w:u w:val="single"/>
            <w:rtl/>
          </w:rPr>
          <w:t xml:space="preserve"> </w:t>
        </w:r>
        <w:r w:rsidR="00683B61" w:rsidRPr="00683B61">
          <w:rPr>
            <w:rFonts w:hint="cs"/>
            <w:color w:val="0000FF"/>
            <w:u w:val="single"/>
            <w:rtl/>
          </w:rPr>
          <w:t>באר</w:t>
        </w:r>
        <w:r w:rsidR="00683B61" w:rsidRPr="00683B61">
          <w:rPr>
            <w:color w:val="0000FF"/>
            <w:u w:val="single"/>
            <w:rtl/>
          </w:rPr>
          <w:t xml:space="preserve"> </w:t>
        </w:r>
        <w:r w:rsidR="00683B61" w:rsidRPr="00683B61">
          <w:rPr>
            <w:rFonts w:hint="cs"/>
            <w:color w:val="0000FF"/>
            <w:u w:val="single"/>
            <w:rtl/>
          </w:rPr>
          <w:t>שבע</w:t>
        </w:r>
        <w:r w:rsidR="00683B61" w:rsidRPr="00683B61">
          <w:rPr>
            <w:color w:val="0000FF"/>
            <w:u w:val="single"/>
            <w:rtl/>
          </w:rPr>
          <w:t>) 39844-08-13</w:t>
        </w:r>
      </w:hyperlink>
      <w:r w:rsidRPr="00C3753F">
        <w:rPr>
          <w:rFonts w:hint="cs"/>
          <w:rtl/>
        </w:rPr>
        <w:t xml:space="preserve"> </w:t>
      </w:r>
      <w:r w:rsidRPr="00C3753F">
        <w:rPr>
          <w:rFonts w:hint="cs"/>
          <w:b/>
          <w:bCs/>
          <w:rtl/>
        </w:rPr>
        <w:t>מדינת ישראל נ' פאיז אבו רקייק</w:t>
      </w:r>
      <w:r w:rsidRPr="00C3753F">
        <w:rPr>
          <w:rFonts w:hint="cs"/>
          <w:rtl/>
        </w:rPr>
        <w:t>, (26.12.2013)).</w:t>
      </w:r>
    </w:p>
    <w:p w14:paraId="70A2992B" w14:textId="77777777" w:rsidR="008C1BAA" w:rsidRPr="00C3753F" w:rsidRDefault="008C1BAA" w:rsidP="008C1BAA">
      <w:pPr>
        <w:pStyle w:val="ListParagraph"/>
        <w:ind w:left="-58" w:firstLine="0"/>
      </w:pPr>
      <w:r w:rsidRPr="00C3753F">
        <w:rPr>
          <w:rFonts w:hint="cs"/>
          <w:rtl/>
        </w:rPr>
        <w:t>בהינתן האמור, ובהתאם למתווה שקבע המחוקק בתיקון 113 ל</w:t>
      </w:r>
      <w:hyperlink r:id="rId29"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xml:space="preserve"> (ופורש לאחר מכן בפסיקתו של בית המשפט העליון), בשלב הראשון בית המשפט יקבע את מתחם העונש ההולם; ולאחר מכן יגזור בגדרי המתחם את העונש המתאים לנאשם (אודות המתווה לגזירת העונש, ראו למשל: </w:t>
      </w:r>
      <w:hyperlink r:id="rId30"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8641/12</w:t>
        </w:r>
      </w:hyperlink>
      <w:r w:rsidRPr="00C3753F">
        <w:rPr>
          <w:rFonts w:hint="cs"/>
          <w:rtl/>
        </w:rPr>
        <w:t xml:space="preserve"> </w:t>
      </w:r>
      <w:r w:rsidRPr="00C3753F">
        <w:rPr>
          <w:rFonts w:hint="cs"/>
          <w:b/>
          <w:bCs/>
          <w:rtl/>
        </w:rPr>
        <w:t>מוחמד סעד נ' מדינת ישראל</w:t>
      </w:r>
      <w:r w:rsidRPr="00C3753F">
        <w:rPr>
          <w:rFonts w:hint="cs"/>
          <w:rtl/>
        </w:rPr>
        <w:t>, (05.08.2013)).</w:t>
      </w:r>
    </w:p>
    <w:p w14:paraId="28DAEC73" w14:textId="77777777" w:rsidR="008C1BAA" w:rsidRPr="00C3753F" w:rsidRDefault="008C1BAA" w:rsidP="008C1BAA">
      <w:pPr>
        <w:pStyle w:val="1"/>
        <w:numPr>
          <w:ilvl w:val="0"/>
          <w:numId w:val="1"/>
        </w:numPr>
        <w:spacing w:line="360" w:lineRule="auto"/>
        <w:ind w:left="360"/>
        <w:jc w:val="both"/>
        <w:rPr>
          <w:rFonts w:cs="David"/>
          <w:b/>
          <w:bCs/>
          <w:color w:val="auto"/>
          <w:sz w:val="28"/>
          <w:szCs w:val="28"/>
          <w:rtl/>
        </w:rPr>
      </w:pPr>
      <w:r w:rsidRPr="00C3753F">
        <w:rPr>
          <w:rFonts w:cs="David" w:hint="cs"/>
          <w:b/>
          <w:bCs/>
          <w:color w:val="auto"/>
          <w:sz w:val="28"/>
          <w:szCs w:val="28"/>
          <w:rtl/>
        </w:rPr>
        <w:t>קביעת מתחם העונש ההולם</w:t>
      </w:r>
    </w:p>
    <w:p w14:paraId="71ADCBEB" w14:textId="77777777" w:rsidR="008C1BAA" w:rsidRPr="00C3753F" w:rsidRDefault="008C1BAA" w:rsidP="008C1BAA">
      <w:pPr>
        <w:pStyle w:val="ListParagraph"/>
        <w:numPr>
          <w:ilvl w:val="0"/>
          <w:numId w:val="2"/>
        </w:numPr>
        <w:ind w:left="-58"/>
        <w:rPr>
          <w:rtl/>
        </w:rPr>
      </w:pPr>
      <w:r w:rsidRPr="00C3753F">
        <w:rPr>
          <w:rFonts w:hint="cs"/>
          <w:rtl/>
        </w:rPr>
        <w:t xml:space="preserve">כאמור </w:t>
      </w:r>
      <w:hyperlink r:id="rId31" w:history="1">
        <w:r w:rsidR="00150335" w:rsidRPr="00150335">
          <w:rPr>
            <w:rStyle w:val="Hyperlink"/>
            <w:rFonts w:hint="cs"/>
            <w:color w:val="0000FF"/>
            <w:rtl/>
          </w:rPr>
          <w:t>בסעיף</w:t>
        </w:r>
        <w:r w:rsidR="00150335" w:rsidRPr="00150335">
          <w:rPr>
            <w:rStyle w:val="Hyperlink"/>
            <w:color w:val="0000FF"/>
            <w:rtl/>
          </w:rPr>
          <w:t xml:space="preserve"> 40</w:t>
        </w:r>
        <w:r w:rsidR="00150335" w:rsidRPr="00150335">
          <w:rPr>
            <w:rStyle w:val="Hyperlink"/>
            <w:rFonts w:hint="cs"/>
            <w:color w:val="0000FF"/>
            <w:rtl/>
          </w:rPr>
          <w:t>ג</w:t>
        </w:r>
        <w:r w:rsidR="00150335" w:rsidRPr="00150335">
          <w:rPr>
            <w:rStyle w:val="Hyperlink"/>
            <w:color w:val="0000FF"/>
            <w:rtl/>
          </w:rPr>
          <w:t>(</w:t>
        </w:r>
        <w:r w:rsidR="00150335" w:rsidRPr="00150335">
          <w:rPr>
            <w:rStyle w:val="Hyperlink"/>
            <w:rFonts w:hint="cs"/>
            <w:color w:val="0000FF"/>
            <w:rtl/>
          </w:rPr>
          <w:t>א</w:t>
        </w:r>
        <w:r w:rsidR="00150335" w:rsidRPr="00150335">
          <w:rPr>
            <w:rStyle w:val="Hyperlink"/>
            <w:color w:val="0000FF"/>
            <w:rtl/>
          </w:rPr>
          <w:t>)</w:t>
        </w:r>
      </w:hyperlink>
      <w:r w:rsidRPr="00C3753F">
        <w:rPr>
          <w:rFonts w:hint="cs"/>
          <w:rtl/>
        </w:rPr>
        <w:t xml:space="preserve"> ל</w:t>
      </w:r>
      <w:hyperlink r:id="rId32"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3374F5E6" w14:textId="77777777" w:rsidR="008C1BAA" w:rsidRPr="00C3753F" w:rsidRDefault="008C1BAA" w:rsidP="008C1BAA">
      <w:pPr>
        <w:pStyle w:val="ListParagraph"/>
        <w:numPr>
          <w:ilvl w:val="0"/>
          <w:numId w:val="2"/>
        </w:numPr>
        <w:ind w:left="-58"/>
      </w:pPr>
      <w:r w:rsidRPr="00C3753F">
        <w:rPr>
          <w:rFonts w:hint="cs"/>
          <w:rtl/>
        </w:rPr>
        <w:t xml:space="preserve">בעצם ביצוע העבירות של דרישת נכס באיומים, פגע הנאשם בתחושת הביטחון של הפרט ובסדר החברתי התקין, באינטרס של הפרט להגנה על קניינו, בשלוות נפשו ובכבודו (ראו והשוו דבריו של בית המשפט המחוזי </w:t>
      </w:r>
      <w:r w:rsidRPr="00C3753F">
        <w:rPr>
          <w:rFonts w:hint="cs"/>
          <w:u w:val="single"/>
          <w:rtl/>
        </w:rPr>
        <w:t>ב</w:t>
      </w:r>
      <w:hyperlink r:id="rId33" w:history="1">
        <w:r w:rsidR="00683B61" w:rsidRPr="00683B61">
          <w:rPr>
            <w:rFonts w:hint="cs"/>
            <w:color w:val="0000FF"/>
            <w:u w:val="single"/>
            <w:rtl/>
          </w:rPr>
          <w:t>ת</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w:t>
        </w:r>
        <w:r w:rsidR="00683B61" w:rsidRPr="00683B61">
          <w:rPr>
            <w:rFonts w:hint="cs"/>
            <w:color w:val="0000FF"/>
            <w:u w:val="single"/>
            <w:rtl/>
          </w:rPr>
          <w:t>מחוזי</w:t>
        </w:r>
        <w:r w:rsidR="00683B61" w:rsidRPr="00683B61">
          <w:rPr>
            <w:color w:val="0000FF"/>
            <w:u w:val="single"/>
            <w:rtl/>
          </w:rPr>
          <w:t xml:space="preserve"> </w:t>
        </w:r>
        <w:r w:rsidR="00683B61" w:rsidRPr="00683B61">
          <w:rPr>
            <w:rFonts w:hint="cs"/>
            <w:color w:val="0000FF"/>
            <w:u w:val="single"/>
            <w:rtl/>
          </w:rPr>
          <w:t>נצרת</w:t>
        </w:r>
        <w:r w:rsidR="00683B61" w:rsidRPr="00683B61">
          <w:rPr>
            <w:color w:val="0000FF"/>
            <w:u w:val="single"/>
            <w:rtl/>
          </w:rPr>
          <w:t>) 1013/12</w:t>
        </w:r>
      </w:hyperlink>
      <w:r w:rsidRPr="00C3753F">
        <w:rPr>
          <w:rFonts w:hint="cs"/>
          <w:rtl/>
        </w:rPr>
        <w:t xml:space="preserve"> </w:t>
      </w:r>
      <w:r w:rsidRPr="00C3753F">
        <w:rPr>
          <w:rFonts w:hint="cs"/>
          <w:b/>
          <w:bCs/>
          <w:rtl/>
        </w:rPr>
        <w:t>מדינת ישראל נ' יהודה ישראלוב</w:t>
      </w:r>
      <w:r w:rsidRPr="00C3753F">
        <w:rPr>
          <w:rFonts w:hint="cs"/>
          <w:rtl/>
        </w:rPr>
        <w:t>, (30.09.2013)).</w:t>
      </w:r>
    </w:p>
    <w:p w14:paraId="290A5864" w14:textId="77777777" w:rsidR="008C1BAA" w:rsidRPr="00C3753F" w:rsidRDefault="008C1BAA" w:rsidP="008C1BAA">
      <w:pPr>
        <w:pStyle w:val="ListParagraph"/>
        <w:ind w:left="-58" w:firstLine="0"/>
      </w:pPr>
      <w:r w:rsidRPr="00C3753F">
        <w:rPr>
          <w:rFonts w:hint="cs"/>
          <w:rtl/>
        </w:rPr>
        <w:t xml:space="preserve">אשר לעבירת ההטרדה באמצעות מתקן בזק, בעצם ביצועה חדר הנאשם למרחב הנפשי-פרטי של הפרט, ופגע בזכותו לשלוות נפש ולפרטיות. כן ראו בעניין זה </w:t>
      </w:r>
      <w:r w:rsidRPr="00C3753F">
        <w:rPr>
          <w:rFonts w:eastAsia="Times New Roman" w:hint="cs"/>
          <w:rtl/>
        </w:rPr>
        <w:t xml:space="preserve">כב' השופט (כתוארו אז) א' רובינשטיין </w:t>
      </w:r>
      <w:r w:rsidRPr="00C3753F">
        <w:rPr>
          <w:rFonts w:eastAsia="Times New Roman" w:hint="cs"/>
          <w:u w:val="single"/>
          <w:rtl/>
        </w:rPr>
        <w:t>ב</w:t>
      </w:r>
      <w:hyperlink r:id="rId34" w:history="1">
        <w:r w:rsidR="00683B61" w:rsidRPr="00683B61">
          <w:rPr>
            <w:rFonts w:eastAsia="Times New Roman" w:hint="eastAsia"/>
            <w:color w:val="0000FF"/>
            <w:u w:val="single"/>
            <w:rtl/>
          </w:rPr>
          <w:t>רע</w:t>
        </w:r>
        <w:r w:rsidR="00683B61" w:rsidRPr="00683B61">
          <w:rPr>
            <w:rFonts w:eastAsia="Times New Roman"/>
            <w:color w:val="0000FF"/>
            <w:u w:val="single"/>
            <w:rtl/>
          </w:rPr>
          <w:t>"</w:t>
        </w:r>
        <w:r w:rsidR="00683B61" w:rsidRPr="00683B61">
          <w:rPr>
            <w:rFonts w:eastAsia="Times New Roman" w:hint="eastAsia"/>
            <w:color w:val="0000FF"/>
            <w:u w:val="single"/>
            <w:rtl/>
          </w:rPr>
          <w:t>פ</w:t>
        </w:r>
        <w:r w:rsidR="00683B61" w:rsidRPr="00683B61">
          <w:rPr>
            <w:rFonts w:eastAsia="Times New Roman"/>
            <w:color w:val="0000FF"/>
            <w:u w:val="single"/>
            <w:rtl/>
          </w:rPr>
          <w:t xml:space="preserve"> 10462/03 </w:t>
        </w:r>
        <w:r w:rsidR="00683B61" w:rsidRPr="00683B61">
          <w:rPr>
            <w:rFonts w:eastAsia="Times New Roman" w:hint="eastAsia"/>
            <w:color w:val="0000FF"/>
            <w:u w:val="single"/>
            <w:rtl/>
          </w:rPr>
          <w:t>הלינור</w:t>
        </w:r>
        <w:r w:rsidR="00683B61" w:rsidRPr="00683B61">
          <w:rPr>
            <w:rFonts w:eastAsia="Times New Roman"/>
            <w:color w:val="0000FF"/>
            <w:u w:val="single"/>
            <w:rtl/>
          </w:rPr>
          <w:t xml:space="preserve"> </w:t>
        </w:r>
        <w:r w:rsidR="00683B61" w:rsidRPr="00683B61">
          <w:rPr>
            <w:rFonts w:eastAsia="Times New Roman" w:hint="eastAsia"/>
            <w:color w:val="0000FF"/>
            <w:u w:val="single"/>
            <w:rtl/>
          </w:rPr>
          <w:t>הראר</w:t>
        </w:r>
        <w:r w:rsidR="00683B61" w:rsidRPr="00683B61">
          <w:rPr>
            <w:rFonts w:eastAsia="Times New Roman"/>
            <w:color w:val="0000FF"/>
            <w:u w:val="single"/>
            <w:rtl/>
          </w:rPr>
          <w:t xml:space="preserve"> </w:t>
        </w:r>
        <w:r w:rsidR="00683B61" w:rsidRPr="00683B61">
          <w:rPr>
            <w:rFonts w:eastAsia="Times New Roman" w:hint="eastAsia"/>
            <w:color w:val="0000FF"/>
            <w:u w:val="single"/>
            <w:rtl/>
          </w:rPr>
          <w:t>נ</w:t>
        </w:r>
        <w:r w:rsidR="00683B61" w:rsidRPr="00683B61">
          <w:rPr>
            <w:rFonts w:eastAsia="Times New Roman"/>
            <w:color w:val="0000FF"/>
            <w:u w:val="single"/>
            <w:rtl/>
          </w:rPr>
          <w:t xml:space="preserve">' </w:t>
        </w:r>
        <w:r w:rsidR="00683B61" w:rsidRPr="00683B61">
          <w:rPr>
            <w:rFonts w:eastAsia="Times New Roman" w:hint="eastAsia"/>
            <w:color w:val="0000FF"/>
            <w:u w:val="single"/>
            <w:rtl/>
          </w:rPr>
          <w:t>מדינת</w:t>
        </w:r>
        <w:r w:rsidR="00683B61" w:rsidRPr="00683B61">
          <w:rPr>
            <w:rFonts w:eastAsia="Times New Roman"/>
            <w:color w:val="0000FF"/>
            <w:u w:val="single"/>
            <w:rtl/>
          </w:rPr>
          <w:t xml:space="preserve"> </w:t>
        </w:r>
        <w:r w:rsidR="00683B61" w:rsidRPr="00683B61">
          <w:rPr>
            <w:rFonts w:eastAsia="Times New Roman" w:hint="eastAsia"/>
            <w:color w:val="0000FF"/>
            <w:u w:val="single"/>
            <w:rtl/>
          </w:rPr>
          <w:t>ישראל</w:t>
        </w:r>
        <w:r w:rsidR="00683B61" w:rsidRPr="00683B61">
          <w:rPr>
            <w:rFonts w:eastAsia="Times New Roman"/>
            <w:color w:val="0000FF"/>
            <w:u w:val="single"/>
            <w:rtl/>
          </w:rPr>
          <w:t xml:space="preserve"> , </w:t>
        </w:r>
        <w:r w:rsidR="00683B61" w:rsidRPr="00683B61">
          <w:rPr>
            <w:rFonts w:eastAsia="Times New Roman" w:hint="eastAsia"/>
            <w:color w:val="0000FF"/>
            <w:u w:val="single"/>
            <w:rtl/>
          </w:rPr>
          <w:t>פ</w:t>
        </w:r>
        <w:r w:rsidR="00683B61" w:rsidRPr="00683B61">
          <w:rPr>
            <w:rFonts w:eastAsia="Times New Roman"/>
            <w:color w:val="0000FF"/>
            <w:u w:val="single"/>
            <w:rtl/>
          </w:rPr>
          <w:t>"</w:t>
        </w:r>
        <w:r w:rsidR="00683B61" w:rsidRPr="00683B61">
          <w:rPr>
            <w:rFonts w:eastAsia="Times New Roman" w:hint="eastAsia"/>
            <w:color w:val="0000FF"/>
            <w:u w:val="single"/>
            <w:rtl/>
          </w:rPr>
          <w:t>ד</w:t>
        </w:r>
        <w:r w:rsidR="00683B61" w:rsidRPr="00683B61">
          <w:rPr>
            <w:rFonts w:eastAsia="Times New Roman"/>
            <w:color w:val="0000FF"/>
            <w:u w:val="single"/>
            <w:rtl/>
          </w:rPr>
          <w:t xml:space="preserve"> </w:t>
        </w:r>
        <w:r w:rsidR="00683B61" w:rsidRPr="00683B61">
          <w:rPr>
            <w:rFonts w:eastAsia="Times New Roman" w:hint="eastAsia"/>
            <w:color w:val="0000FF"/>
            <w:u w:val="single"/>
            <w:rtl/>
          </w:rPr>
          <w:t>ס</w:t>
        </w:r>
      </w:hyperlink>
      <w:r w:rsidRPr="00C3753F">
        <w:rPr>
          <w:rFonts w:eastAsia="Times New Roman" w:hint="cs"/>
          <w:rtl/>
        </w:rPr>
        <w:t>(2) 70, 92 (2005)</w:t>
      </w:r>
      <w:r w:rsidRPr="00C3753F">
        <w:rPr>
          <w:rFonts w:hint="cs"/>
          <w:rtl/>
        </w:rPr>
        <w:t>:</w:t>
      </w:r>
    </w:p>
    <w:p w14:paraId="0CEDB405" w14:textId="77777777" w:rsidR="008C1BAA" w:rsidRPr="00C3753F" w:rsidRDefault="008C1BAA" w:rsidP="008C1BAA">
      <w:pPr>
        <w:pStyle w:val="ListParagraph"/>
        <w:ind w:left="-58" w:firstLine="0"/>
        <w:rPr>
          <w:b/>
          <w:bCs/>
          <w:rtl/>
        </w:rPr>
      </w:pPr>
      <w:r w:rsidRPr="00C3753F">
        <w:rPr>
          <w:rFonts w:hint="cs"/>
          <w:b/>
          <w:bCs/>
          <w:rtl/>
        </w:rPr>
        <w:t>"</w:t>
      </w:r>
      <w:r w:rsidRPr="00C3753F">
        <w:rPr>
          <w:rFonts w:eastAsia="Times New Roman" w:hint="cs"/>
          <w:b/>
          <w:bCs/>
          <w:rtl/>
        </w:rPr>
        <w:t>בלשון פשוטה, דומה כי הטרדה היא יצירת אי-נוחות המסיחה את דעתו של אדם מענייניו וגורמת לו מבוכה, דאגה, בלבול והתעסקות במושא ההטרדה</w:t>
      </w:r>
      <w:r w:rsidRPr="00C3753F">
        <w:rPr>
          <w:rFonts w:hint="cs"/>
          <w:b/>
          <w:bCs/>
          <w:rtl/>
        </w:rPr>
        <w:t>".</w:t>
      </w:r>
    </w:p>
    <w:p w14:paraId="161FE66E" w14:textId="77777777" w:rsidR="008C1BAA" w:rsidRPr="00C3753F" w:rsidRDefault="008C1BAA" w:rsidP="008C1BAA">
      <w:pPr>
        <w:pStyle w:val="ListParagraph"/>
        <w:numPr>
          <w:ilvl w:val="0"/>
          <w:numId w:val="2"/>
        </w:numPr>
        <w:ind w:left="-58"/>
        <w:rPr>
          <w:rtl/>
        </w:rPr>
      </w:pPr>
      <w:r w:rsidRPr="00C3753F">
        <w:rPr>
          <w:rFonts w:hint="cs"/>
          <w:rtl/>
        </w:rPr>
        <w:t>לאור הנסיבות הקשורות בביצוע העבירה, כפי שיפורט להלן, ובייחוד לנוכח כמות ההודעות שנשלחה על ידי הנאשם ותוכנן, מצד אחד; והעובדה שלמעשה דרישת הנכס באיומים לא נלווה שימוש בכוח, מצד שני – סבורתני כי מידת הפגיעה בערכים המוגנים מצויה במקרה הנדון ברף הבינוני.</w:t>
      </w:r>
    </w:p>
    <w:p w14:paraId="60D7CFCB" w14:textId="77777777" w:rsidR="008C1BAA" w:rsidRPr="00C3753F" w:rsidRDefault="008C1BAA" w:rsidP="008C1BAA">
      <w:pPr>
        <w:pStyle w:val="ListParagraph"/>
        <w:numPr>
          <w:ilvl w:val="0"/>
          <w:numId w:val="2"/>
        </w:numPr>
        <w:ind w:left="-58"/>
      </w:pPr>
      <w:r w:rsidRPr="00C3753F">
        <w:rPr>
          <w:rFonts w:hint="cs"/>
          <w:rtl/>
        </w:rPr>
        <w:t xml:space="preserve">באשר לנסיבות שנלוו לביצוע העבירות, ראשית חוכמה יצוין כי העבירה של דרישת נכס באיומים, הקבועה </w:t>
      </w:r>
      <w:hyperlink r:id="rId35" w:history="1">
        <w:r w:rsidR="00150335" w:rsidRPr="00150335">
          <w:rPr>
            <w:rStyle w:val="Hyperlink"/>
            <w:rFonts w:hint="cs"/>
            <w:color w:val="0000FF"/>
            <w:rtl/>
          </w:rPr>
          <w:t>בסעיף</w:t>
        </w:r>
        <w:r w:rsidR="00150335" w:rsidRPr="00150335">
          <w:rPr>
            <w:rStyle w:val="Hyperlink"/>
            <w:color w:val="0000FF"/>
            <w:rtl/>
          </w:rPr>
          <w:t xml:space="preserve"> 404</w:t>
        </w:r>
      </w:hyperlink>
      <w:r w:rsidRPr="00C3753F">
        <w:rPr>
          <w:rFonts w:hint="cs"/>
          <w:rtl/>
        </w:rPr>
        <w:t xml:space="preserve"> רישא ל</w:t>
      </w:r>
      <w:hyperlink r:id="rId36"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xml:space="preserve">, יכולה להכיל בתוכה מגוון רחב של מעשים והתנהגויות בדרגות חומרה שונות, והרי ברי, למשל, שאין דין ניסיון לגבות חוב תוך שימוש באיומים שאינם לגיטימיים כדין התנהגות שלמעשה יכולה הייתה להקים גם את עבירת השוד, כגון כניסה לבנק ודרישה מאחד הפקידים שם לקבל את הכסף שבקופה באמצעות איום שכתוב על גבי פתק או על ידי שימוש בכוח (וראו בעניין זה, למשל, את המקרה שנדון </w:t>
      </w:r>
      <w:r w:rsidRPr="00C3753F">
        <w:rPr>
          <w:rFonts w:hint="cs"/>
          <w:u w:val="single"/>
          <w:rtl/>
        </w:rPr>
        <w:t>ב</w:t>
      </w:r>
      <w:hyperlink r:id="rId37" w:history="1">
        <w:r w:rsidR="00683B61" w:rsidRPr="00683B61">
          <w:rPr>
            <w:rFonts w:hint="cs"/>
            <w:color w:val="0000FF"/>
            <w:u w:val="single"/>
            <w:rtl/>
          </w:rPr>
          <w:t>ת</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w:t>
        </w:r>
        <w:r w:rsidR="00683B61" w:rsidRPr="00683B61">
          <w:rPr>
            <w:rFonts w:hint="cs"/>
            <w:color w:val="0000FF"/>
            <w:u w:val="single"/>
            <w:rtl/>
          </w:rPr>
          <w:t>שלום</w:t>
        </w:r>
        <w:r w:rsidR="00683B61" w:rsidRPr="00683B61">
          <w:rPr>
            <w:color w:val="0000FF"/>
            <w:u w:val="single"/>
            <w:rtl/>
          </w:rPr>
          <w:t xml:space="preserve"> </w:t>
        </w:r>
        <w:r w:rsidR="00683B61" w:rsidRPr="00683B61">
          <w:rPr>
            <w:rFonts w:hint="cs"/>
            <w:color w:val="0000FF"/>
            <w:u w:val="single"/>
            <w:rtl/>
          </w:rPr>
          <w:t>ראשון</w:t>
        </w:r>
        <w:r w:rsidR="00683B61" w:rsidRPr="00683B61">
          <w:rPr>
            <w:color w:val="0000FF"/>
            <w:u w:val="single"/>
            <w:rtl/>
          </w:rPr>
          <w:t xml:space="preserve"> </w:t>
        </w:r>
        <w:r w:rsidR="00683B61" w:rsidRPr="00683B61">
          <w:rPr>
            <w:rFonts w:hint="cs"/>
            <w:color w:val="0000FF"/>
            <w:u w:val="single"/>
            <w:rtl/>
          </w:rPr>
          <w:t>לציון</w:t>
        </w:r>
        <w:r w:rsidR="00683B61" w:rsidRPr="00683B61">
          <w:rPr>
            <w:color w:val="0000FF"/>
            <w:u w:val="single"/>
            <w:rtl/>
          </w:rPr>
          <w:t>) 45350-07-14</w:t>
        </w:r>
      </w:hyperlink>
      <w:r w:rsidRPr="00C3753F">
        <w:rPr>
          <w:rFonts w:hint="cs"/>
          <w:u w:val="single"/>
          <w:rtl/>
        </w:rPr>
        <w:t>‏</w:t>
      </w:r>
      <w:r w:rsidRPr="00C3753F">
        <w:rPr>
          <w:rFonts w:hint="cs"/>
          <w:rtl/>
        </w:rPr>
        <w:t xml:space="preserve"> </w:t>
      </w:r>
      <w:r w:rsidRPr="00C3753F">
        <w:rPr>
          <w:rFonts w:hint="cs"/>
          <w:b/>
          <w:bCs/>
          <w:rtl/>
        </w:rPr>
        <w:t>מדינת ישראל נ' יוסף אלימלך</w:t>
      </w:r>
      <w:r w:rsidRPr="00C3753F">
        <w:rPr>
          <w:rFonts w:hint="cs"/>
          <w:rtl/>
        </w:rPr>
        <w:t>, (20.11.2014)). במנעד ההתנהגויות שיכולות להקים את העבירה של דרישת נכס באיומים, מצאתי כי מעשיו של הנאשם אינם נמצאים ברף הגבוה, שכן אלו נעשו אמנם תוך הטרדה באמצעות מתקן בזק ובאיומים, אולם הדברים בוצעו "מרחוק" וללא כל שימוש בכוח. אם כי, לא אוכל לקבל את טענת ההגנה לפיה האיומים כשלעצמם נמצאים ברף חומרה נמוך, ונדמה כי דווקא ההפך הוא הנכון. שכן, בשני האישומים הנאשם איים בצורה קונקרטית מאוד לפגוע בחייהם של בני משפחת אביטן ובקניינה של רחל (אימם של האחים), תוך שהוא נוקב בשמותיהם הפרטיים, במשלח היד של חלק מהם, ואף מעיד כי הוא יודע היכן הם אמורים להימצא למחרת (הכוונה לאישום השלישי), ובכך למעשה העצים את החשש ואת תחושת המאוימות של קולט דברי האיום.</w:t>
      </w:r>
    </w:p>
    <w:p w14:paraId="524B83AC" w14:textId="77777777" w:rsidR="008C1BAA" w:rsidRPr="00C3753F" w:rsidRDefault="008C1BAA" w:rsidP="008C1BAA">
      <w:pPr>
        <w:pStyle w:val="ListParagraph"/>
        <w:ind w:left="-58" w:firstLine="0"/>
      </w:pPr>
      <w:r w:rsidRPr="00C3753F">
        <w:rPr>
          <w:rFonts w:hint="cs"/>
          <w:rtl/>
        </w:rPr>
        <w:t xml:space="preserve">בנוסף, נתתי דעתי לכמות ולתוכן ההודעות שמבססות את עבירות ההטרדה באמצעות מתקן בזק. מעבר לאיומים בפגיעה בנפש, בשריפת הבית ובביצוע מעשה אונס בבנו של אחד מהאחים, המדובר במלל גס, מיני ובוטה ביותר. כן יש לראות בחומרה את העובדה שבמהלך כיממה אחת בלבד (והכוונה לאישום הראשון) שלח הנאשם, משל היה אחוז אמוק, מספר רב של הודעות למכשיר הטלפון הנייד של יונתן, שרובן ככולן מכילות קללות בעלות "גוון" מיני, מהסוג הנמוך והבזוי ביותר. ודוק, צודק בא כוח הנאשם בטענתו לפיה באישום הראשון, אין בהודעות ששלח הנאשם דברי איום. אולם, ממילא יש לזכור כי באישום זה לא יוחסה לנאשם כל עבירת איומים או דרישת נכס באיומים. </w:t>
      </w:r>
    </w:p>
    <w:p w14:paraId="36075106" w14:textId="77777777" w:rsidR="008C1BAA" w:rsidRPr="00C3753F" w:rsidRDefault="008C1BAA" w:rsidP="008C1BAA">
      <w:pPr>
        <w:pStyle w:val="ListParagraph"/>
        <w:ind w:left="-58" w:firstLine="0"/>
      </w:pPr>
      <w:r w:rsidRPr="00C3753F">
        <w:rPr>
          <w:rFonts w:hint="cs"/>
          <w:rtl/>
        </w:rPr>
        <w:t xml:space="preserve">עוד יצוין, כי הנאשם שלח את ההודעות למכשיר הטלפון הנייד של יונתן (שכן סבר כי הוא שייך לרחמים), כך שלא ברור באיזה שלב נודע עצם שליחתן ותוכנן לרחמים או למי מבני משפחת אביטן. כן נתתי דעתי לכך שהאיומים לא מומשו בסופו של דבר ולכך שבסופו של יום לא שולם לנאשם כל סכום שהוא בעקבות דרישתו, כך שנדמה כי לאיש מבני המשפחה לא נגרם נזק כלכלי. לצד זאת, ייאמר כי אם איומיו של הנאשם אכן היו ממומשים, כי אז ממילא, ככל הנראה, הוא היה עומד לדין בגין ביצוע עבירות אחרות וחמורות יותר. גם בכל הנוגע לעבירה של הטרדה באמצעות מתקן בזק, אין בכתב האישום אינדיקציה לנזק כלשהו שנגרם כתוצאה מביצוען. דא עקא, נחמה פורתא בלבד יש בכך, שהרי זהו טבען של עבירות אלה, שכן הן כמעט לעולם אינן גורמות לנזק הנראה לעין, כי אם לאותה פגיעה בשלוות הנפש ובשגרת היום יום, שעליה עמדתי קודם לכן. </w:t>
      </w:r>
    </w:p>
    <w:p w14:paraId="51BC3077" w14:textId="77777777" w:rsidR="008C1BAA" w:rsidRPr="00C3753F" w:rsidRDefault="008C1BAA" w:rsidP="008C1BAA">
      <w:pPr>
        <w:pStyle w:val="ListParagraph"/>
        <w:ind w:left="-58" w:firstLine="0"/>
        <w:rPr>
          <w:rtl/>
        </w:rPr>
      </w:pPr>
      <w:r w:rsidRPr="00C3753F">
        <w:rPr>
          <w:rFonts w:hint="cs"/>
          <w:rtl/>
        </w:rPr>
        <w:t>אשר לסיבה לביצוע העבירות, זו נעוצה באותו חוב כספי שחיים חב לנאשם, ושאותו האחרון ניסה לגבות באמצעות בני משפחתו (ושלטענתו מגיע לסכום של למעלה מ- 700 אלף שקלים). בעניין זה ייאמר, כי בית המשפט מתקשה לראות בכך הצדקה כלשהי למעשיו הבריוניים של הנאשם, שהרי גם בהינתן חוב כזה או אחר כלפיו, אל לו לעשות דין לעצמו והיה עליו לגבותו בדרכים הלגיטימיות והמקובלות, ולא באמצעות הטרדה כפייתית ואיומים שהופנו כלפי בני משפחתו של החייב. כן יצוין, כי ההתחקות אחר שמותיהם של בני המשפחה, משלח ידם ותכניותיהם (וכאן שוב הכוונה לאישום השלישי), אף יכולים ללמד כי למעשיו של הנאשם קדם תכנון מוקדם ברמה כזו או אחרת. אם כי, ברי כי אין עסקינן בעבירות מתוחכמות במיוחד ואף אם כאמור הנאשם כלכל את צעדיו מראש, הרי שעדיין אין המדובר בתכנון מוקדם ברמה ניכרת, ואף נדמה כי עסקינן בעבירות שבוצעו בשעת כעס ומתוך משבר.</w:t>
      </w:r>
    </w:p>
    <w:p w14:paraId="3B9C248A" w14:textId="77777777" w:rsidR="008C1BAA" w:rsidRPr="00C3753F" w:rsidRDefault="008C1BAA" w:rsidP="008C1BAA">
      <w:pPr>
        <w:pStyle w:val="ListParagraph"/>
        <w:numPr>
          <w:ilvl w:val="0"/>
          <w:numId w:val="2"/>
        </w:numPr>
        <w:ind w:left="-58"/>
      </w:pPr>
      <w:r w:rsidRPr="00C3753F">
        <w:rPr>
          <w:rFonts w:hint="cs"/>
          <w:rtl/>
        </w:rPr>
        <w:t xml:space="preserve">אשר </w:t>
      </w:r>
      <w:r w:rsidRPr="00C3753F">
        <w:rPr>
          <w:rFonts w:hint="cs"/>
          <w:b/>
          <w:bCs/>
          <w:rtl/>
        </w:rPr>
        <w:t>למדיניות הענישה הנוהגת</w:t>
      </w:r>
      <w:r w:rsidRPr="00C3753F">
        <w:rPr>
          <w:rFonts w:hint="cs"/>
          <w:rtl/>
        </w:rPr>
        <w:t xml:space="preserve">, ייאמר תחילה שלא בנקל ניתן למצוא בפסיקה מקרים שבהם נדונו נאשמים בגין ביצוע שילוב של עבירות דרישת נכס באיומים והטרדה באמצעות מתקן בזק. ועדיין, ולו כדי ללמוד על דרך ההיקש אודות מדיניות הענישה הנוהגת במקרים כגון זה שנדון בפניי, אציין כי בכל הנוגע לעבירה של דרישת נכס באיומים (לפי </w:t>
      </w:r>
      <w:hyperlink r:id="rId38" w:history="1">
        <w:r w:rsidR="00150335" w:rsidRPr="00150335">
          <w:rPr>
            <w:rStyle w:val="Hyperlink"/>
            <w:rFonts w:hint="cs"/>
            <w:color w:val="0000FF"/>
            <w:rtl/>
          </w:rPr>
          <w:t>סעיף</w:t>
        </w:r>
        <w:r w:rsidR="00150335" w:rsidRPr="00150335">
          <w:rPr>
            <w:rStyle w:val="Hyperlink"/>
            <w:color w:val="0000FF"/>
            <w:rtl/>
          </w:rPr>
          <w:t xml:space="preserve"> 404</w:t>
        </w:r>
      </w:hyperlink>
      <w:r w:rsidRPr="00C3753F">
        <w:rPr>
          <w:rFonts w:hint="cs"/>
          <w:rtl/>
        </w:rPr>
        <w:t xml:space="preserve"> </w:t>
      </w:r>
      <w:r w:rsidRPr="00C3753F">
        <w:rPr>
          <w:rFonts w:hint="cs"/>
          <w:b/>
          <w:bCs/>
          <w:rtl/>
        </w:rPr>
        <w:t>רישא</w:t>
      </w:r>
      <w:r w:rsidRPr="00C3753F">
        <w:rPr>
          <w:rFonts w:hint="cs"/>
          <w:rtl/>
        </w:rPr>
        <w:t xml:space="preserve"> ל</w:t>
      </w:r>
      <w:hyperlink r:id="rId39"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xml:space="preserve">), סקירת הפסיקה מעלה כי בעניינם של נאשמים שהורשעו בביצוע עבירה זו </w:t>
      </w:r>
      <w:r w:rsidRPr="00C3753F">
        <w:rPr>
          <w:rFonts w:hint="cs"/>
          <w:b/>
          <w:bCs/>
          <w:rtl/>
        </w:rPr>
        <w:t>בלבד</w:t>
      </w:r>
      <w:r w:rsidRPr="00C3753F">
        <w:rPr>
          <w:rFonts w:hint="cs"/>
          <w:rtl/>
        </w:rPr>
        <w:t xml:space="preserve">, נקבעו על דרך הכלל מתחמי ענישה הנעים בין מאסרים למשך מספר חודשים, שניתן לרצותם בעבודות שירות, לבין מאסרים ארוכים יותר, לתקופות הנעות סביב 18 חודשים מאסר (ראו למשל: </w:t>
      </w:r>
      <w:hyperlink r:id="rId40" w:history="1">
        <w:r w:rsidR="00683B61" w:rsidRPr="00683B61">
          <w:rPr>
            <w:rFonts w:hint="cs"/>
            <w:color w:val="0000FF"/>
            <w:u w:val="single"/>
            <w:rtl/>
          </w:rPr>
          <w:t>ת</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w:t>
        </w:r>
        <w:r w:rsidR="00683B61" w:rsidRPr="00683B61">
          <w:rPr>
            <w:rFonts w:hint="cs"/>
            <w:color w:val="0000FF"/>
            <w:u w:val="single"/>
            <w:rtl/>
          </w:rPr>
          <w:t>מחוזי</w:t>
        </w:r>
        <w:r w:rsidR="00683B61" w:rsidRPr="00683B61">
          <w:rPr>
            <w:color w:val="0000FF"/>
            <w:u w:val="single"/>
            <w:rtl/>
          </w:rPr>
          <w:t xml:space="preserve"> </w:t>
        </w:r>
        <w:r w:rsidR="00683B61" w:rsidRPr="00683B61">
          <w:rPr>
            <w:rFonts w:hint="cs"/>
            <w:color w:val="0000FF"/>
            <w:u w:val="single"/>
            <w:rtl/>
          </w:rPr>
          <w:t>באר</w:t>
        </w:r>
        <w:r w:rsidR="00683B61" w:rsidRPr="00683B61">
          <w:rPr>
            <w:color w:val="0000FF"/>
            <w:u w:val="single"/>
            <w:rtl/>
          </w:rPr>
          <w:t xml:space="preserve"> </w:t>
        </w:r>
        <w:r w:rsidR="00683B61" w:rsidRPr="00683B61">
          <w:rPr>
            <w:rFonts w:hint="cs"/>
            <w:color w:val="0000FF"/>
            <w:u w:val="single"/>
            <w:rtl/>
          </w:rPr>
          <w:t>שבע</w:t>
        </w:r>
        <w:r w:rsidR="00683B61" w:rsidRPr="00683B61">
          <w:rPr>
            <w:color w:val="0000FF"/>
            <w:u w:val="single"/>
            <w:rtl/>
          </w:rPr>
          <w:t>) 3966-04-15</w:t>
        </w:r>
      </w:hyperlink>
      <w:r w:rsidRPr="00C3753F">
        <w:rPr>
          <w:rFonts w:hint="cs"/>
          <w:rtl/>
        </w:rPr>
        <w:t xml:space="preserve"> </w:t>
      </w:r>
      <w:r w:rsidRPr="00C3753F">
        <w:rPr>
          <w:rFonts w:hint="cs"/>
          <w:b/>
          <w:bCs/>
          <w:rtl/>
        </w:rPr>
        <w:t>מדינת ישראל נ' עאמר אלאעסם</w:t>
      </w:r>
      <w:r w:rsidRPr="00C3753F">
        <w:rPr>
          <w:rFonts w:hint="cs"/>
          <w:rtl/>
        </w:rPr>
        <w:t xml:space="preserve">, (01.02.2016); </w:t>
      </w:r>
      <w:hyperlink r:id="rId41"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w:t>
        </w:r>
        <w:r w:rsidR="00683B61" w:rsidRPr="00683B61">
          <w:rPr>
            <w:rFonts w:hint="cs"/>
            <w:color w:val="0000FF"/>
            <w:u w:val="single"/>
            <w:rtl/>
          </w:rPr>
          <w:t>מחוזי</w:t>
        </w:r>
        <w:r w:rsidR="00683B61" w:rsidRPr="00683B61">
          <w:rPr>
            <w:color w:val="0000FF"/>
            <w:u w:val="single"/>
            <w:rtl/>
          </w:rPr>
          <w:t xml:space="preserve"> </w:t>
        </w:r>
        <w:r w:rsidR="00683B61" w:rsidRPr="00683B61">
          <w:rPr>
            <w:rFonts w:hint="cs"/>
            <w:color w:val="0000FF"/>
            <w:u w:val="single"/>
            <w:rtl/>
          </w:rPr>
          <w:t>חיפה</w:t>
        </w:r>
        <w:r w:rsidR="00683B61" w:rsidRPr="00683B61">
          <w:rPr>
            <w:color w:val="0000FF"/>
            <w:u w:val="single"/>
            <w:rtl/>
          </w:rPr>
          <w:t>) 23190-03-15</w:t>
        </w:r>
      </w:hyperlink>
      <w:r w:rsidRPr="00C3753F">
        <w:rPr>
          <w:rFonts w:hint="cs"/>
          <w:u w:val="single"/>
          <w:rtl/>
        </w:rPr>
        <w:t>‏</w:t>
      </w:r>
      <w:r w:rsidRPr="00C3753F">
        <w:rPr>
          <w:rFonts w:hint="cs"/>
          <w:rtl/>
        </w:rPr>
        <w:t xml:space="preserve"> </w:t>
      </w:r>
      <w:r w:rsidRPr="00C3753F">
        <w:rPr>
          <w:rFonts w:hint="cs"/>
          <w:b/>
          <w:bCs/>
          <w:rtl/>
        </w:rPr>
        <w:t>פרדו אברהם נ' מדינת ישראל</w:t>
      </w:r>
      <w:r w:rsidRPr="00C3753F">
        <w:rPr>
          <w:rFonts w:hint="cs"/>
          <w:rtl/>
        </w:rPr>
        <w:t xml:space="preserve">, (28.05.2015); </w:t>
      </w:r>
      <w:hyperlink r:id="rId42" w:history="1">
        <w:r w:rsidR="00683B61" w:rsidRPr="00683B61">
          <w:rPr>
            <w:rFonts w:hint="cs"/>
            <w:color w:val="0000FF"/>
            <w:u w:val="single"/>
            <w:rtl/>
          </w:rPr>
          <w:t>ת</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w:t>
        </w:r>
        <w:r w:rsidR="00683B61" w:rsidRPr="00683B61">
          <w:rPr>
            <w:rFonts w:hint="cs"/>
            <w:color w:val="0000FF"/>
            <w:u w:val="single"/>
            <w:rtl/>
          </w:rPr>
          <w:t>מחוזי</w:t>
        </w:r>
        <w:r w:rsidR="00683B61" w:rsidRPr="00683B61">
          <w:rPr>
            <w:color w:val="0000FF"/>
            <w:u w:val="single"/>
            <w:rtl/>
          </w:rPr>
          <w:t xml:space="preserve"> </w:t>
        </w:r>
        <w:r w:rsidR="00683B61" w:rsidRPr="00683B61">
          <w:rPr>
            <w:rFonts w:hint="cs"/>
            <w:color w:val="0000FF"/>
            <w:u w:val="single"/>
            <w:rtl/>
          </w:rPr>
          <w:t>נצרת</w:t>
        </w:r>
        <w:r w:rsidR="00683B61" w:rsidRPr="00683B61">
          <w:rPr>
            <w:color w:val="0000FF"/>
            <w:u w:val="single"/>
            <w:rtl/>
          </w:rPr>
          <w:t>) 1013/12</w:t>
        </w:r>
      </w:hyperlink>
      <w:r w:rsidRPr="00C3753F">
        <w:rPr>
          <w:rFonts w:hint="cs"/>
          <w:rtl/>
        </w:rPr>
        <w:t xml:space="preserve"> </w:t>
      </w:r>
      <w:r w:rsidRPr="00C3753F">
        <w:rPr>
          <w:rFonts w:hint="cs"/>
          <w:b/>
          <w:bCs/>
          <w:rtl/>
        </w:rPr>
        <w:t>מדינת ישראל נ' יהודה ישראלוב</w:t>
      </w:r>
      <w:r w:rsidRPr="00C3753F">
        <w:rPr>
          <w:rFonts w:hint="cs"/>
          <w:rtl/>
        </w:rPr>
        <w:t xml:space="preserve">, (30.09.2013); </w:t>
      </w:r>
      <w:hyperlink r:id="rId43" w:history="1">
        <w:r w:rsidR="00683B61" w:rsidRPr="00683B61">
          <w:rPr>
            <w:rFonts w:hint="cs"/>
            <w:color w:val="0000FF"/>
            <w:u w:val="single"/>
            <w:rtl/>
          </w:rPr>
          <w:t>ת</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w:t>
        </w:r>
        <w:r w:rsidR="00683B61" w:rsidRPr="00683B61">
          <w:rPr>
            <w:rFonts w:hint="cs"/>
            <w:color w:val="0000FF"/>
            <w:u w:val="single"/>
            <w:rtl/>
          </w:rPr>
          <w:t>מחוזי</w:t>
        </w:r>
        <w:r w:rsidR="00683B61" w:rsidRPr="00683B61">
          <w:rPr>
            <w:color w:val="0000FF"/>
            <w:u w:val="single"/>
            <w:rtl/>
          </w:rPr>
          <w:t xml:space="preserve"> </w:t>
        </w:r>
        <w:r w:rsidR="00683B61" w:rsidRPr="00683B61">
          <w:rPr>
            <w:rFonts w:hint="cs"/>
            <w:color w:val="0000FF"/>
            <w:u w:val="single"/>
            <w:rtl/>
          </w:rPr>
          <w:t>נצרת</w:t>
        </w:r>
        <w:r w:rsidR="00683B61" w:rsidRPr="00683B61">
          <w:rPr>
            <w:color w:val="0000FF"/>
            <w:u w:val="single"/>
            <w:rtl/>
          </w:rPr>
          <w:t>) 13846-08-12</w:t>
        </w:r>
      </w:hyperlink>
      <w:r w:rsidRPr="00C3753F">
        <w:rPr>
          <w:rFonts w:hint="cs"/>
          <w:rtl/>
        </w:rPr>
        <w:t xml:space="preserve">‏ </w:t>
      </w:r>
      <w:r w:rsidRPr="00C3753F">
        <w:rPr>
          <w:rFonts w:hint="cs"/>
          <w:b/>
          <w:bCs/>
          <w:rtl/>
        </w:rPr>
        <w:t>מדינת ישראל נ' נזאר בסול</w:t>
      </w:r>
      <w:r w:rsidRPr="00C3753F">
        <w:rPr>
          <w:rFonts w:hint="cs"/>
          <w:rtl/>
        </w:rPr>
        <w:t xml:space="preserve">, (17.02.2013); </w:t>
      </w:r>
      <w:hyperlink r:id="rId44" w:history="1">
        <w:r w:rsidR="00683B61" w:rsidRPr="00683B61">
          <w:rPr>
            <w:rFonts w:hint="cs"/>
            <w:color w:val="0000FF"/>
            <w:u w:val="single"/>
            <w:rtl/>
          </w:rPr>
          <w:t>ת</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w:t>
        </w:r>
        <w:r w:rsidR="00683B61" w:rsidRPr="00683B61">
          <w:rPr>
            <w:rFonts w:hint="cs"/>
            <w:color w:val="0000FF"/>
            <w:u w:val="single"/>
            <w:rtl/>
          </w:rPr>
          <w:t>שלום</w:t>
        </w:r>
        <w:r w:rsidR="00683B61" w:rsidRPr="00683B61">
          <w:rPr>
            <w:color w:val="0000FF"/>
            <w:u w:val="single"/>
            <w:rtl/>
          </w:rPr>
          <w:t xml:space="preserve"> </w:t>
        </w:r>
        <w:r w:rsidR="00683B61" w:rsidRPr="00683B61">
          <w:rPr>
            <w:rFonts w:hint="cs"/>
            <w:color w:val="0000FF"/>
            <w:u w:val="single"/>
            <w:rtl/>
          </w:rPr>
          <w:t>באר</w:t>
        </w:r>
        <w:r w:rsidR="00683B61" w:rsidRPr="00683B61">
          <w:rPr>
            <w:color w:val="0000FF"/>
            <w:u w:val="single"/>
            <w:rtl/>
          </w:rPr>
          <w:t xml:space="preserve"> </w:t>
        </w:r>
        <w:r w:rsidR="00683B61" w:rsidRPr="00683B61">
          <w:rPr>
            <w:rFonts w:hint="cs"/>
            <w:color w:val="0000FF"/>
            <w:u w:val="single"/>
            <w:rtl/>
          </w:rPr>
          <w:t>שבע</w:t>
        </w:r>
        <w:r w:rsidR="00683B61" w:rsidRPr="00683B61">
          <w:rPr>
            <w:color w:val="0000FF"/>
            <w:u w:val="single"/>
            <w:rtl/>
          </w:rPr>
          <w:t>) 35680-04-15</w:t>
        </w:r>
      </w:hyperlink>
      <w:r w:rsidRPr="00C3753F">
        <w:rPr>
          <w:rFonts w:hint="cs"/>
          <w:rtl/>
        </w:rPr>
        <w:t xml:space="preserve"> </w:t>
      </w:r>
      <w:r w:rsidRPr="00C3753F">
        <w:rPr>
          <w:rFonts w:hint="cs"/>
          <w:b/>
          <w:bCs/>
          <w:rtl/>
        </w:rPr>
        <w:t>מדינת ישראל נ' בילל אלעביד</w:t>
      </w:r>
      <w:r w:rsidRPr="00C3753F">
        <w:rPr>
          <w:rFonts w:hint="cs"/>
          <w:rtl/>
        </w:rPr>
        <w:t xml:space="preserve">, (09.10.2016); </w:t>
      </w:r>
      <w:r w:rsidRPr="00C3753F">
        <w:rPr>
          <w:rFonts w:hint="cs"/>
          <w:u w:val="single"/>
          <w:rtl/>
        </w:rPr>
        <w:t>ו</w:t>
      </w:r>
      <w:hyperlink r:id="rId45" w:history="1">
        <w:r w:rsidR="00683B61" w:rsidRPr="00683B61">
          <w:rPr>
            <w:rFonts w:hint="cs"/>
            <w:color w:val="0000FF"/>
            <w:u w:val="single"/>
            <w:rtl/>
          </w:rPr>
          <w:t>ת</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w:t>
        </w:r>
        <w:r w:rsidR="00683B61" w:rsidRPr="00683B61">
          <w:rPr>
            <w:rFonts w:hint="cs"/>
            <w:color w:val="0000FF"/>
            <w:u w:val="single"/>
            <w:rtl/>
          </w:rPr>
          <w:t>שלום</w:t>
        </w:r>
        <w:r w:rsidR="00683B61" w:rsidRPr="00683B61">
          <w:rPr>
            <w:color w:val="0000FF"/>
            <w:u w:val="single"/>
            <w:rtl/>
          </w:rPr>
          <w:t xml:space="preserve"> </w:t>
        </w:r>
        <w:r w:rsidR="00683B61" w:rsidRPr="00683B61">
          <w:rPr>
            <w:rFonts w:hint="cs"/>
            <w:color w:val="0000FF"/>
            <w:u w:val="single"/>
            <w:rtl/>
          </w:rPr>
          <w:t>תל</w:t>
        </w:r>
        <w:r w:rsidR="00683B61" w:rsidRPr="00683B61">
          <w:rPr>
            <w:color w:val="0000FF"/>
            <w:u w:val="single"/>
            <w:rtl/>
          </w:rPr>
          <w:t xml:space="preserve"> </w:t>
        </w:r>
        <w:r w:rsidR="00683B61" w:rsidRPr="00683B61">
          <w:rPr>
            <w:rFonts w:hint="cs"/>
            <w:color w:val="0000FF"/>
            <w:u w:val="single"/>
            <w:rtl/>
          </w:rPr>
          <w:t>אביב</w:t>
        </w:r>
        <w:r w:rsidR="00683B61" w:rsidRPr="00683B61">
          <w:rPr>
            <w:color w:val="0000FF"/>
            <w:u w:val="single"/>
            <w:rtl/>
          </w:rPr>
          <w:t xml:space="preserve"> </w:t>
        </w:r>
        <w:r w:rsidR="00683B61" w:rsidRPr="00683B61">
          <w:rPr>
            <w:rFonts w:hint="cs"/>
            <w:color w:val="0000FF"/>
            <w:u w:val="single"/>
            <w:rtl/>
          </w:rPr>
          <w:t>יפו</w:t>
        </w:r>
        <w:r w:rsidR="00683B61" w:rsidRPr="00683B61">
          <w:rPr>
            <w:color w:val="0000FF"/>
            <w:u w:val="single"/>
            <w:rtl/>
          </w:rPr>
          <w:t>) 1245-12-11</w:t>
        </w:r>
      </w:hyperlink>
      <w:r w:rsidRPr="00C3753F">
        <w:rPr>
          <w:rFonts w:hint="cs"/>
          <w:u w:val="single"/>
          <w:rtl/>
        </w:rPr>
        <w:t>‏‏</w:t>
      </w:r>
      <w:r w:rsidRPr="00C3753F">
        <w:rPr>
          <w:rFonts w:hint="cs"/>
          <w:rtl/>
        </w:rPr>
        <w:t xml:space="preserve"> </w:t>
      </w:r>
      <w:r w:rsidRPr="00C3753F">
        <w:rPr>
          <w:rFonts w:hint="cs"/>
          <w:b/>
          <w:bCs/>
          <w:rtl/>
        </w:rPr>
        <w:t>מדינת ישראל נ' ואסים מרעב</w:t>
      </w:r>
      <w:r w:rsidRPr="00C3753F">
        <w:rPr>
          <w:rFonts w:hint="cs"/>
          <w:rtl/>
        </w:rPr>
        <w:t>, (22.09.2014)).</w:t>
      </w:r>
    </w:p>
    <w:p w14:paraId="70329DC4" w14:textId="77777777" w:rsidR="008C1BAA" w:rsidRPr="00C3753F" w:rsidRDefault="008C1BAA" w:rsidP="008C1BAA">
      <w:pPr>
        <w:pStyle w:val="ListParagraph"/>
        <w:ind w:left="-58" w:firstLine="0"/>
      </w:pPr>
      <w:r w:rsidRPr="00C3753F">
        <w:rPr>
          <w:rFonts w:hint="cs"/>
          <w:rtl/>
        </w:rPr>
        <w:t xml:space="preserve">באשר לנאשמים שהורשעו בביצוע עבירות של הטרדה באמצעות מתקן בזק </w:t>
      </w:r>
      <w:r w:rsidRPr="00C3753F">
        <w:rPr>
          <w:rFonts w:hint="cs"/>
          <w:b/>
          <w:bCs/>
          <w:rtl/>
        </w:rPr>
        <w:t>ואיומים</w:t>
      </w:r>
      <w:r w:rsidRPr="00C3753F">
        <w:rPr>
          <w:rFonts w:hint="cs"/>
          <w:rtl/>
        </w:rPr>
        <w:t xml:space="preserve">, ברגיל, נקבעו בעניינם מתחמי ענישה שהרף התחתון שלהם הועמד על מאסר מותנה או לכל היותר מאסר קצר שניתן לרצותו בעבודות שירות, ואילו הרף העליון על מאסר לתקופות הנעות סביב 12 חודשים (ראו למשל: </w:t>
      </w:r>
      <w:hyperlink r:id="rId46" w:history="1">
        <w:r w:rsidR="00683B61" w:rsidRPr="00683B61">
          <w:rPr>
            <w:rFonts w:eastAsia="Times New Roman" w:hint="eastAsia"/>
            <w:color w:val="0000FF"/>
            <w:u w:val="single"/>
            <w:rtl/>
          </w:rPr>
          <w:t>רע</w:t>
        </w:r>
        <w:r w:rsidR="00683B61" w:rsidRPr="00683B61">
          <w:rPr>
            <w:rFonts w:eastAsia="Times New Roman"/>
            <w:color w:val="0000FF"/>
            <w:u w:val="single"/>
            <w:rtl/>
          </w:rPr>
          <w:t>"</w:t>
        </w:r>
        <w:r w:rsidR="00683B61" w:rsidRPr="00683B61">
          <w:rPr>
            <w:rFonts w:eastAsia="Times New Roman" w:hint="eastAsia"/>
            <w:color w:val="0000FF"/>
            <w:u w:val="single"/>
            <w:rtl/>
          </w:rPr>
          <w:t>פ</w:t>
        </w:r>
        <w:r w:rsidR="00683B61" w:rsidRPr="00683B61">
          <w:rPr>
            <w:rFonts w:eastAsia="Times New Roman"/>
            <w:color w:val="0000FF"/>
            <w:u w:val="single"/>
            <w:rtl/>
          </w:rPr>
          <w:t xml:space="preserve"> 1738/15</w:t>
        </w:r>
      </w:hyperlink>
      <w:r w:rsidRPr="00C3753F">
        <w:rPr>
          <w:rFonts w:eastAsia="Times New Roman" w:hint="cs"/>
          <w:rtl/>
        </w:rPr>
        <w:t xml:space="preserve"> </w:t>
      </w:r>
      <w:r w:rsidRPr="00C3753F">
        <w:rPr>
          <w:rFonts w:eastAsia="Times New Roman" w:hint="cs"/>
          <w:b/>
          <w:bCs/>
          <w:rtl/>
        </w:rPr>
        <w:t>ראמין שוקרי נ' מדינת ישראל</w:t>
      </w:r>
      <w:r w:rsidRPr="00C3753F">
        <w:rPr>
          <w:rFonts w:eastAsia="Times New Roman" w:hint="cs"/>
          <w:rtl/>
        </w:rPr>
        <w:t xml:space="preserve">, (11.03.2015); </w:t>
      </w:r>
      <w:hyperlink r:id="rId47" w:history="1">
        <w:r w:rsidR="00683B61" w:rsidRPr="00683B61">
          <w:rPr>
            <w:rFonts w:eastAsia="Times New Roman" w:hint="eastAsia"/>
            <w:color w:val="0000FF"/>
            <w:u w:val="single"/>
            <w:rtl/>
          </w:rPr>
          <w:t>רע</w:t>
        </w:r>
        <w:r w:rsidR="00683B61" w:rsidRPr="00683B61">
          <w:rPr>
            <w:rFonts w:eastAsia="Times New Roman"/>
            <w:color w:val="0000FF"/>
            <w:u w:val="single"/>
            <w:rtl/>
          </w:rPr>
          <w:t>"</w:t>
        </w:r>
        <w:r w:rsidR="00683B61" w:rsidRPr="00683B61">
          <w:rPr>
            <w:rFonts w:eastAsia="Times New Roman" w:hint="eastAsia"/>
            <w:color w:val="0000FF"/>
            <w:u w:val="single"/>
            <w:rtl/>
          </w:rPr>
          <w:t>פ</w:t>
        </w:r>
        <w:r w:rsidR="00683B61" w:rsidRPr="00683B61">
          <w:rPr>
            <w:rFonts w:eastAsia="Times New Roman"/>
            <w:color w:val="0000FF"/>
            <w:u w:val="single"/>
            <w:rtl/>
          </w:rPr>
          <w:t xml:space="preserve"> 7413/14</w:t>
        </w:r>
      </w:hyperlink>
      <w:r w:rsidRPr="00C3753F">
        <w:rPr>
          <w:rFonts w:eastAsia="Times New Roman" w:hint="cs"/>
          <w:b/>
          <w:bCs/>
          <w:rtl/>
        </w:rPr>
        <w:t xml:space="preserve"> אביהו דוד נ' מדינת ישראל,</w:t>
      </w:r>
      <w:r w:rsidRPr="00C3753F">
        <w:rPr>
          <w:rFonts w:eastAsia="Times New Roman" w:hint="cs"/>
          <w:rtl/>
        </w:rPr>
        <w:t xml:space="preserve"> (07.11.2014); </w:t>
      </w:r>
      <w:r w:rsidRPr="00C3753F">
        <w:rPr>
          <w:rFonts w:eastAsia="Times New Roman" w:hint="cs"/>
          <w:u w:val="single"/>
          <w:rtl/>
        </w:rPr>
        <w:t>ו</w:t>
      </w:r>
      <w:hyperlink r:id="rId48" w:history="1">
        <w:r w:rsidR="00683B61" w:rsidRPr="00683B61">
          <w:rPr>
            <w:rFonts w:eastAsia="Times New Roman" w:hint="eastAsia"/>
            <w:color w:val="0000FF"/>
            <w:u w:val="single"/>
            <w:rtl/>
          </w:rPr>
          <w:t>ע</w:t>
        </w:r>
        <w:r w:rsidR="00683B61" w:rsidRPr="00683B61">
          <w:rPr>
            <w:rFonts w:eastAsia="Times New Roman"/>
            <w:color w:val="0000FF"/>
            <w:u w:val="single"/>
            <w:rtl/>
          </w:rPr>
          <w:t>"</w:t>
        </w:r>
        <w:r w:rsidR="00683B61" w:rsidRPr="00683B61">
          <w:rPr>
            <w:rFonts w:eastAsia="Times New Roman" w:hint="eastAsia"/>
            <w:color w:val="0000FF"/>
            <w:u w:val="single"/>
            <w:rtl/>
          </w:rPr>
          <w:t>פ</w:t>
        </w:r>
        <w:r w:rsidR="00683B61" w:rsidRPr="00683B61">
          <w:rPr>
            <w:rFonts w:eastAsia="Times New Roman"/>
            <w:color w:val="0000FF"/>
            <w:u w:val="single"/>
            <w:rtl/>
          </w:rPr>
          <w:t xml:space="preserve"> (</w:t>
        </w:r>
        <w:r w:rsidR="00683B61" w:rsidRPr="00683B61">
          <w:rPr>
            <w:rFonts w:eastAsia="Times New Roman" w:hint="eastAsia"/>
            <w:color w:val="0000FF"/>
            <w:u w:val="single"/>
            <w:rtl/>
          </w:rPr>
          <w:t>מחוזי</w:t>
        </w:r>
        <w:r w:rsidR="00683B61" w:rsidRPr="00683B61">
          <w:rPr>
            <w:rFonts w:eastAsia="Times New Roman"/>
            <w:color w:val="0000FF"/>
            <w:u w:val="single"/>
            <w:rtl/>
          </w:rPr>
          <w:t xml:space="preserve"> </w:t>
        </w:r>
        <w:r w:rsidR="00683B61" w:rsidRPr="00683B61">
          <w:rPr>
            <w:rFonts w:eastAsia="Times New Roman" w:hint="eastAsia"/>
            <w:color w:val="0000FF"/>
            <w:u w:val="single"/>
            <w:rtl/>
          </w:rPr>
          <w:t>מרכז</w:t>
        </w:r>
        <w:r w:rsidR="00683B61" w:rsidRPr="00683B61">
          <w:rPr>
            <w:rFonts w:eastAsia="Times New Roman"/>
            <w:color w:val="0000FF"/>
            <w:u w:val="single"/>
            <w:rtl/>
          </w:rPr>
          <w:t>) 32320-09-12</w:t>
        </w:r>
      </w:hyperlink>
      <w:r w:rsidRPr="00C3753F">
        <w:rPr>
          <w:rFonts w:eastAsia="Times New Roman" w:hint="cs"/>
          <w:rtl/>
        </w:rPr>
        <w:t xml:space="preserve"> </w:t>
      </w:r>
      <w:r w:rsidRPr="00C3753F">
        <w:rPr>
          <w:rFonts w:eastAsia="Times New Roman" w:hint="cs"/>
          <w:b/>
          <w:bCs/>
          <w:rtl/>
        </w:rPr>
        <w:t>אספורמס נגד מדינת ישראל</w:t>
      </w:r>
      <w:r w:rsidRPr="00C3753F">
        <w:rPr>
          <w:rFonts w:eastAsia="Times New Roman" w:hint="cs"/>
          <w:rtl/>
        </w:rPr>
        <w:t>, (27.11.2012)</w:t>
      </w:r>
      <w:r w:rsidRPr="00C3753F">
        <w:rPr>
          <w:rFonts w:hint="cs"/>
          <w:rtl/>
        </w:rPr>
        <w:t xml:space="preserve">. כן ראו: </w:t>
      </w:r>
      <w:hyperlink r:id="rId49" w:history="1">
        <w:r w:rsidR="00683B61" w:rsidRPr="00683B61">
          <w:rPr>
            <w:rFonts w:eastAsia="Times New Roman" w:hint="eastAsia"/>
            <w:color w:val="0000FF"/>
            <w:u w:val="single"/>
            <w:rtl/>
          </w:rPr>
          <w:t>עפ</w:t>
        </w:r>
        <w:r w:rsidR="00683B61" w:rsidRPr="00683B61">
          <w:rPr>
            <w:rFonts w:eastAsia="Times New Roman"/>
            <w:color w:val="0000FF"/>
            <w:u w:val="single"/>
            <w:rtl/>
          </w:rPr>
          <w:t>"</w:t>
        </w:r>
        <w:r w:rsidR="00683B61" w:rsidRPr="00683B61">
          <w:rPr>
            <w:rFonts w:eastAsia="Times New Roman" w:hint="eastAsia"/>
            <w:color w:val="0000FF"/>
            <w:u w:val="single"/>
            <w:rtl/>
          </w:rPr>
          <w:t>ג</w:t>
        </w:r>
        <w:r w:rsidR="00683B61" w:rsidRPr="00683B61">
          <w:rPr>
            <w:rFonts w:eastAsia="Times New Roman"/>
            <w:color w:val="0000FF"/>
            <w:u w:val="single"/>
            <w:rtl/>
          </w:rPr>
          <w:t xml:space="preserve"> (</w:t>
        </w:r>
        <w:r w:rsidR="00683B61" w:rsidRPr="00683B61">
          <w:rPr>
            <w:rFonts w:eastAsia="Times New Roman" w:hint="eastAsia"/>
            <w:color w:val="0000FF"/>
            <w:u w:val="single"/>
            <w:rtl/>
          </w:rPr>
          <w:t>מחוזי</w:t>
        </w:r>
        <w:r w:rsidR="00683B61" w:rsidRPr="00683B61">
          <w:rPr>
            <w:rFonts w:eastAsia="Times New Roman"/>
            <w:color w:val="0000FF"/>
            <w:u w:val="single"/>
            <w:rtl/>
          </w:rPr>
          <w:t xml:space="preserve"> </w:t>
        </w:r>
        <w:r w:rsidR="00683B61" w:rsidRPr="00683B61">
          <w:rPr>
            <w:rFonts w:eastAsia="Times New Roman" w:hint="eastAsia"/>
            <w:color w:val="0000FF"/>
            <w:u w:val="single"/>
            <w:rtl/>
          </w:rPr>
          <w:t>תל</w:t>
        </w:r>
        <w:r w:rsidR="00683B61" w:rsidRPr="00683B61">
          <w:rPr>
            <w:rFonts w:eastAsia="Times New Roman"/>
            <w:color w:val="0000FF"/>
            <w:u w:val="single"/>
            <w:rtl/>
          </w:rPr>
          <w:t xml:space="preserve"> </w:t>
        </w:r>
        <w:r w:rsidR="00683B61" w:rsidRPr="00683B61">
          <w:rPr>
            <w:rFonts w:eastAsia="Times New Roman" w:hint="eastAsia"/>
            <w:color w:val="0000FF"/>
            <w:u w:val="single"/>
            <w:rtl/>
          </w:rPr>
          <w:t>אביב</w:t>
        </w:r>
        <w:r w:rsidR="00683B61" w:rsidRPr="00683B61">
          <w:rPr>
            <w:rFonts w:eastAsia="Times New Roman"/>
            <w:color w:val="0000FF"/>
            <w:u w:val="single"/>
            <w:rtl/>
          </w:rPr>
          <w:t xml:space="preserve"> </w:t>
        </w:r>
        <w:r w:rsidR="00683B61" w:rsidRPr="00683B61">
          <w:rPr>
            <w:rFonts w:eastAsia="Times New Roman" w:hint="eastAsia"/>
            <w:color w:val="0000FF"/>
            <w:u w:val="single"/>
            <w:rtl/>
          </w:rPr>
          <w:t>יפו</w:t>
        </w:r>
        <w:r w:rsidR="00683B61" w:rsidRPr="00683B61">
          <w:rPr>
            <w:rFonts w:eastAsia="Times New Roman"/>
            <w:color w:val="0000FF"/>
            <w:u w:val="single"/>
            <w:rtl/>
          </w:rPr>
          <w:t>) 50872-08-15</w:t>
        </w:r>
      </w:hyperlink>
      <w:r w:rsidRPr="00C3753F">
        <w:rPr>
          <w:rFonts w:eastAsia="Times New Roman" w:hint="cs"/>
          <w:rtl/>
        </w:rPr>
        <w:t xml:space="preserve">‏ </w:t>
      </w:r>
      <w:r w:rsidRPr="00C3753F">
        <w:rPr>
          <w:rFonts w:eastAsia="Times New Roman" w:hint="cs"/>
          <w:b/>
          <w:bCs/>
          <w:rtl/>
        </w:rPr>
        <w:t>‏איל לוי נ' מדינת ישראל</w:t>
      </w:r>
      <w:r w:rsidRPr="00C3753F">
        <w:rPr>
          <w:rFonts w:eastAsia="Times New Roman" w:hint="cs"/>
          <w:rtl/>
        </w:rPr>
        <w:t>, (11.11.2015)).</w:t>
      </w:r>
      <w:r w:rsidRPr="00C3753F">
        <w:rPr>
          <w:rFonts w:hint="cs"/>
          <w:rtl/>
        </w:rPr>
        <w:t xml:space="preserve"> </w:t>
      </w:r>
    </w:p>
    <w:p w14:paraId="60DB6E06" w14:textId="77777777" w:rsidR="008C1BAA" w:rsidRPr="00C3753F" w:rsidRDefault="008C1BAA" w:rsidP="008C1BAA">
      <w:pPr>
        <w:pStyle w:val="ListParagraph"/>
        <w:ind w:left="-58" w:firstLine="0"/>
        <w:rPr>
          <w:rtl/>
        </w:rPr>
      </w:pPr>
      <w:r w:rsidRPr="00C3753F">
        <w:rPr>
          <w:rFonts w:hint="cs"/>
          <w:rtl/>
        </w:rPr>
        <w:t>ודוק, בסקירת הפסיקה שלעיל עמדתי על מתחמי הענישה שנקבעו בפסקי הדין השונים, בעוד שברי כי העונשים שנגזרו בכל מקרה, בגדרי המתחמים או מחוצה להם, הושפעו ממאפייניו האישיים של כל נאשם ונאשם, ובייחוד תוך שימת דגש על פרמטרים כגון קיומו או היעדרו של עבר פלילי, הליכי שיקום, קבלת אחריות והכאה על חטא, וכיוצא באלה. גם בכל הנוגע למתחמי הענישה עצמם, הרי שאלה הושפעו, בין היתר, מהנסיבות שנלוו לביצוע העבירות, והרי שעמדתי זה מכבר על מנעד החומרה הרחב של המעשים השונים שיכולים לחסות תחת העבירה של דרישת נכס באיומים (וכמובן שהדברים נכונים גם בהתייחס לעבירה של הטרדה באמצעות מתקן בזק), מה שמשפיע בצורה ישירה על מתחמי הענישה שנקבעו בכל מקרה ומקרה.</w:t>
      </w:r>
    </w:p>
    <w:p w14:paraId="5D18C5E7" w14:textId="77777777" w:rsidR="008C1BAA" w:rsidRPr="00C3753F" w:rsidRDefault="008C1BAA" w:rsidP="008C1BAA">
      <w:pPr>
        <w:pStyle w:val="ListParagraph"/>
        <w:ind w:left="-58" w:firstLine="0"/>
        <w:rPr>
          <w:rtl/>
        </w:rPr>
      </w:pPr>
      <w:r w:rsidRPr="00C3753F">
        <w:rPr>
          <w:rFonts w:hint="cs"/>
          <w:rtl/>
        </w:rPr>
        <w:t xml:space="preserve">עוד ובהמשך לאמור זה עתה, יצוין כי עיינתי בפסיקה שאליה הפנו הצדדים. אולם, כאן ייאמר כי בפסיקה שאליה הפנתה המאשימה דובר בנאשמים אשר ביצעו מעשים חמורים בהרבה מזה שביצע הנאשם שבפניי, ועל כן הם נדונו בבית המשפט המחוזי והואשמו בעבירה לפי </w:t>
      </w:r>
      <w:hyperlink r:id="rId50" w:history="1">
        <w:r w:rsidR="00150335" w:rsidRPr="00150335">
          <w:rPr>
            <w:rStyle w:val="Hyperlink"/>
            <w:rFonts w:hint="cs"/>
            <w:color w:val="0000FF"/>
            <w:rtl/>
          </w:rPr>
          <w:t>סעיף</w:t>
        </w:r>
        <w:r w:rsidR="00150335" w:rsidRPr="00150335">
          <w:rPr>
            <w:rStyle w:val="Hyperlink"/>
            <w:color w:val="0000FF"/>
            <w:rtl/>
          </w:rPr>
          <w:t xml:space="preserve"> 404</w:t>
        </w:r>
      </w:hyperlink>
      <w:r w:rsidRPr="00C3753F">
        <w:rPr>
          <w:rFonts w:hint="cs"/>
          <w:rtl/>
        </w:rPr>
        <w:t xml:space="preserve"> </w:t>
      </w:r>
      <w:r w:rsidRPr="00C3753F">
        <w:rPr>
          <w:rFonts w:hint="cs"/>
          <w:b/>
          <w:bCs/>
          <w:rtl/>
        </w:rPr>
        <w:t>סיפא</w:t>
      </w:r>
      <w:r w:rsidRPr="00C3753F">
        <w:rPr>
          <w:rFonts w:hint="cs"/>
          <w:rtl/>
        </w:rPr>
        <w:t xml:space="preserve"> ל</w:t>
      </w:r>
      <w:hyperlink r:id="rId51"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xml:space="preserve">, שעונשה כפול מהעונש שבצדה של העבירה הקבועה </w:t>
      </w:r>
      <w:hyperlink r:id="rId52" w:history="1">
        <w:r w:rsidR="00150335" w:rsidRPr="00150335">
          <w:rPr>
            <w:rFonts w:hint="cs"/>
            <w:color w:val="0000FF"/>
            <w:u w:val="single"/>
            <w:rtl/>
          </w:rPr>
          <w:t>בסעיף</w:t>
        </w:r>
        <w:r w:rsidR="00150335" w:rsidRPr="00150335">
          <w:rPr>
            <w:color w:val="0000FF"/>
            <w:u w:val="single"/>
            <w:rtl/>
          </w:rPr>
          <w:t xml:space="preserve"> 404</w:t>
        </w:r>
      </w:hyperlink>
      <w:r w:rsidRPr="00C3753F">
        <w:rPr>
          <w:rFonts w:hint="cs"/>
          <w:rtl/>
        </w:rPr>
        <w:t xml:space="preserve"> רישא, היא העבירה שבה מואשם הנאשם בתיק הנדון. עוד יצוין, כי לחלק מהפסיקה שאליה הפנתה המאשימה, הפנתה גם ההגנה וזאת תוך שכנראה ביקשה ללמד בכך אודות מדיניות הענישה הראויה בתיק שבפניי מכוח קל וחומר (והכוונה ל</w:t>
      </w:r>
      <w:hyperlink r:id="rId53"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7538/11</w:t>
        </w:r>
      </w:hyperlink>
      <w:r w:rsidRPr="00C3753F">
        <w:rPr>
          <w:rFonts w:hint="cs"/>
          <w:rtl/>
        </w:rPr>
        <w:t xml:space="preserve">). כמו כן, עיינתי גם ביתר פסקי הדין שאליהם הפנתה ההגנה, אולם גם זאת כמובן נעשה תוך ביצוע האבחנות המתבקשות. כן ייאמר, כי חיפוש אחר ת"פ 13846-08-14 במאגרים המשפטיים, שאליו הפנתה ההגנה, מעלה כי עסקינן בהליך שנדון בבית הדין לעבודה, ונדמה כי לא להליך זה כיוון הסנגור. </w:t>
      </w:r>
    </w:p>
    <w:p w14:paraId="1A6D1413" w14:textId="77777777" w:rsidR="008C1BAA" w:rsidRPr="00C3753F" w:rsidRDefault="008C1BAA" w:rsidP="008C1BAA">
      <w:pPr>
        <w:pStyle w:val="ListParagraph"/>
        <w:ind w:left="-58" w:firstLine="0"/>
        <w:rPr>
          <w:rtl/>
        </w:rPr>
      </w:pPr>
      <w:r w:rsidRPr="00C3753F">
        <w:rPr>
          <w:rFonts w:hint="cs"/>
          <w:rtl/>
        </w:rPr>
        <w:t xml:space="preserve">וכעת ומשאמרנו את כל זאת, יוזכר ויודגש כי ממילא, גם לאחר תיקון 113 הענישה נותרה אינדיווידואלית, ואין לגזור את דינם של הנאשמים על סמך הכותרות של העבירות שבהן הם הורשעו, אלא שומה על בית המשפט לבחון את הדברים לגופן של העבירות והנסיבות הנלוות להן ולגופם של נאשמים, על כל מאפייניהם האישיים ונסיבותיהם הייחודיות (ראו והשוו </w:t>
      </w:r>
      <w:hyperlink r:id="rId54"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433/89 </w:t>
        </w:r>
        <w:r w:rsidR="00683B61" w:rsidRPr="00683B61">
          <w:rPr>
            <w:rFonts w:hint="cs"/>
            <w:color w:val="0000FF"/>
            <w:u w:val="single"/>
            <w:rtl/>
          </w:rPr>
          <w:t>ג</w:t>
        </w:r>
        <w:r w:rsidR="00683B61" w:rsidRPr="00683B61">
          <w:rPr>
            <w:color w:val="0000FF"/>
            <w:u w:val="single"/>
            <w:rtl/>
          </w:rPr>
          <w:t>'</w:t>
        </w:r>
        <w:r w:rsidR="00683B61" w:rsidRPr="00683B61">
          <w:rPr>
            <w:rFonts w:hint="cs"/>
            <w:color w:val="0000FF"/>
            <w:u w:val="single"/>
            <w:rtl/>
          </w:rPr>
          <w:t>ורג</w:t>
        </w:r>
        <w:r w:rsidR="00683B61" w:rsidRPr="00683B61">
          <w:rPr>
            <w:color w:val="0000FF"/>
            <w:u w:val="single"/>
            <w:rtl/>
          </w:rPr>
          <w:t xml:space="preserve">' </w:t>
        </w:r>
        <w:r w:rsidR="00683B61" w:rsidRPr="00683B61">
          <w:rPr>
            <w:rFonts w:hint="cs"/>
            <w:color w:val="0000FF"/>
            <w:u w:val="single"/>
            <w:rtl/>
          </w:rPr>
          <w:t>אטיאס</w:t>
        </w:r>
        <w:r w:rsidR="00683B61" w:rsidRPr="00683B61">
          <w:rPr>
            <w:color w:val="0000FF"/>
            <w:u w:val="single"/>
            <w:rtl/>
          </w:rPr>
          <w:t xml:space="preserve"> </w:t>
        </w:r>
        <w:r w:rsidR="00683B61" w:rsidRPr="00683B61">
          <w:rPr>
            <w:rFonts w:hint="cs"/>
            <w:color w:val="0000FF"/>
            <w:u w:val="single"/>
            <w:rtl/>
          </w:rPr>
          <w:t>נ</w:t>
        </w:r>
        <w:r w:rsidR="00683B61" w:rsidRPr="00683B61">
          <w:rPr>
            <w:color w:val="0000FF"/>
            <w:u w:val="single"/>
            <w:rtl/>
          </w:rPr>
          <w:t xml:space="preserve">' </w:t>
        </w:r>
        <w:r w:rsidR="00683B61" w:rsidRPr="00683B61">
          <w:rPr>
            <w:rFonts w:hint="cs"/>
            <w:color w:val="0000FF"/>
            <w:u w:val="single"/>
            <w:rtl/>
          </w:rPr>
          <w:t>מדינת</w:t>
        </w:r>
        <w:r w:rsidR="00683B61" w:rsidRPr="00683B61">
          <w:rPr>
            <w:color w:val="0000FF"/>
            <w:u w:val="single"/>
            <w:rtl/>
          </w:rPr>
          <w:t xml:space="preserve"> </w:t>
        </w:r>
        <w:r w:rsidR="00683B61" w:rsidRPr="00683B61">
          <w:rPr>
            <w:rFonts w:hint="cs"/>
            <w:color w:val="0000FF"/>
            <w:u w:val="single"/>
            <w:rtl/>
          </w:rPr>
          <w:t>ישראל</w:t>
        </w:r>
        <w:r w:rsidR="00683B61" w:rsidRPr="00683B61">
          <w:rPr>
            <w:color w:val="0000FF"/>
            <w:u w:val="single"/>
            <w:rtl/>
          </w:rPr>
          <w:t xml:space="preserve">, </w:t>
        </w:r>
        <w:r w:rsidR="00683B61" w:rsidRPr="00683B61">
          <w:rPr>
            <w:rFonts w:hint="cs"/>
            <w:color w:val="0000FF"/>
            <w:u w:val="single"/>
            <w:rtl/>
          </w:rPr>
          <w:t>פ</w:t>
        </w:r>
        <w:r w:rsidR="00683B61" w:rsidRPr="00683B61">
          <w:rPr>
            <w:color w:val="0000FF"/>
            <w:u w:val="single"/>
            <w:rtl/>
          </w:rPr>
          <w:t>"</w:t>
        </w:r>
        <w:r w:rsidR="00683B61" w:rsidRPr="00683B61">
          <w:rPr>
            <w:rFonts w:hint="cs"/>
            <w:color w:val="0000FF"/>
            <w:u w:val="single"/>
            <w:rtl/>
          </w:rPr>
          <w:t>ד</w:t>
        </w:r>
        <w:r w:rsidR="00683B61" w:rsidRPr="00683B61">
          <w:rPr>
            <w:color w:val="0000FF"/>
            <w:u w:val="single"/>
            <w:rtl/>
          </w:rPr>
          <w:t xml:space="preserve"> </w:t>
        </w:r>
        <w:r w:rsidR="00683B61" w:rsidRPr="00683B61">
          <w:rPr>
            <w:rFonts w:hint="cs"/>
            <w:color w:val="0000FF"/>
            <w:u w:val="single"/>
            <w:rtl/>
          </w:rPr>
          <w:t>מג</w:t>
        </w:r>
      </w:hyperlink>
      <w:r w:rsidRPr="00C3753F">
        <w:rPr>
          <w:rFonts w:hint="cs"/>
          <w:rtl/>
        </w:rPr>
        <w:t xml:space="preserve">(4) 170, (1989); </w:t>
      </w:r>
      <w:r w:rsidRPr="00C3753F">
        <w:rPr>
          <w:rFonts w:hint="cs"/>
          <w:u w:val="single"/>
          <w:rtl/>
        </w:rPr>
        <w:t>ו</w:t>
      </w:r>
      <w:hyperlink r:id="rId55" w:history="1">
        <w:r w:rsidR="00683B61" w:rsidRPr="00683B61">
          <w:rPr>
            <w:rFonts w:hint="cs"/>
            <w:color w:val="0000FF"/>
            <w:u w:val="single"/>
            <w:rtl/>
          </w:rPr>
          <w:t>רע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3173/09</w:t>
        </w:r>
      </w:hyperlink>
      <w:r w:rsidRPr="00C3753F">
        <w:rPr>
          <w:rFonts w:hint="cs"/>
          <w:rtl/>
        </w:rPr>
        <w:t xml:space="preserve"> </w:t>
      </w:r>
      <w:r w:rsidRPr="00C3753F">
        <w:rPr>
          <w:rFonts w:hint="cs"/>
          <w:b/>
          <w:bCs/>
          <w:rtl/>
        </w:rPr>
        <w:t>פראגין נ' מדינת ישראל</w:t>
      </w:r>
      <w:r w:rsidRPr="00C3753F">
        <w:rPr>
          <w:rFonts w:hint="cs"/>
          <w:rtl/>
        </w:rPr>
        <w:t xml:space="preserve">, (05.05.2009)). הענישה היא כאמור אינדיווידואלית </w:t>
      </w:r>
      <w:r w:rsidRPr="00C3753F">
        <w:rPr>
          <w:rFonts w:hint="cs"/>
          <w:b/>
          <w:bCs/>
          <w:rtl/>
        </w:rPr>
        <w:t>ו"אין עסקינן בשיטת ניקוד, או באריתמטיקה. ענישה היא מלאכת מחשבת – ולא מלאכת מחשב"</w:t>
      </w:r>
      <w:r w:rsidRPr="00C3753F">
        <w:rPr>
          <w:rFonts w:hint="cs"/>
          <w:rtl/>
        </w:rPr>
        <w:t xml:space="preserve"> (</w:t>
      </w:r>
      <w:hyperlink r:id="rId56"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5768/10</w:t>
        </w:r>
      </w:hyperlink>
      <w:r w:rsidRPr="00C3753F">
        <w:rPr>
          <w:rFonts w:hint="cs"/>
          <w:rtl/>
        </w:rPr>
        <w:t xml:space="preserve"> </w:t>
      </w:r>
      <w:r w:rsidRPr="00C3753F">
        <w:rPr>
          <w:rFonts w:hint="cs"/>
          <w:b/>
          <w:bCs/>
          <w:rtl/>
        </w:rPr>
        <w:t>פלוני נ' מדינת ישראל</w:t>
      </w:r>
      <w:r w:rsidRPr="00C3753F">
        <w:rPr>
          <w:rFonts w:hint="cs"/>
          <w:rtl/>
        </w:rPr>
        <w:t xml:space="preserve">, (08.06.2015)). מה גם, שהשיקול שעניינו "מדיניות הענישה" הינו אך שיקול אחד מבין מכלול השיקולים אותם ישקול בית המשפט בטרם קביעת מתחם העונש ההולם וגזירת הדין (ראו בעניין זה </w:t>
      </w:r>
      <w:hyperlink r:id="rId57"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1903/13</w:t>
        </w:r>
      </w:hyperlink>
      <w:r w:rsidRPr="00C3753F">
        <w:rPr>
          <w:rFonts w:hint="cs"/>
          <w:rtl/>
        </w:rPr>
        <w:t xml:space="preserve"> </w:t>
      </w:r>
      <w:r w:rsidRPr="00C3753F">
        <w:rPr>
          <w:rFonts w:hint="cs"/>
          <w:b/>
          <w:bCs/>
          <w:rtl/>
        </w:rPr>
        <w:t>חמודה עיאשה נ' מדינת ישראל</w:t>
      </w:r>
      <w:r w:rsidRPr="00C3753F">
        <w:rPr>
          <w:rFonts w:hint="cs"/>
          <w:rtl/>
        </w:rPr>
        <w:t>, (25.06.2013)).</w:t>
      </w:r>
    </w:p>
    <w:p w14:paraId="65A7D89E" w14:textId="77777777" w:rsidR="008C1BAA" w:rsidRPr="00C3753F" w:rsidRDefault="008C1BAA" w:rsidP="008C1BAA">
      <w:pPr>
        <w:pStyle w:val="ListParagraph"/>
        <w:numPr>
          <w:ilvl w:val="0"/>
          <w:numId w:val="2"/>
        </w:numPr>
        <w:ind w:left="-58"/>
        <w:rPr>
          <w:rtl/>
        </w:rPr>
      </w:pPr>
      <w:r w:rsidRPr="00C3753F">
        <w:rPr>
          <w:rFonts w:hint="cs"/>
          <w:rtl/>
        </w:rPr>
        <w:t xml:space="preserve">כללם של דברים, משנתתי דעתי למכלול השיקולים הרלוונטיים, ובייחוד בשים לב </w:t>
      </w:r>
      <w:r w:rsidRPr="00C3753F">
        <w:rPr>
          <w:rFonts w:hint="cs"/>
          <w:b/>
          <w:bCs/>
          <w:rtl/>
        </w:rPr>
        <w:t>לשילובן והצטברותן</w:t>
      </w:r>
      <w:r w:rsidRPr="00C3753F">
        <w:rPr>
          <w:rFonts w:hint="cs"/>
          <w:rtl/>
        </w:rPr>
        <w:t xml:space="preserve"> של העבירות, הריני לקבוע כי </w:t>
      </w:r>
      <w:r w:rsidRPr="00C3753F">
        <w:rPr>
          <w:rFonts w:hint="cs"/>
          <w:b/>
          <w:bCs/>
          <w:rtl/>
        </w:rPr>
        <w:t>מתחם העונש ההולם בגין מכלול מעשיו של הנאשם ינוע בין 8 ל- 18 חודשים מאסר בפועל</w:t>
      </w:r>
      <w:r w:rsidRPr="00C3753F">
        <w:rPr>
          <w:rFonts w:hint="cs"/>
          <w:rtl/>
        </w:rPr>
        <w:t>.</w:t>
      </w:r>
    </w:p>
    <w:p w14:paraId="732E1CAE" w14:textId="77777777" w:rsidR="008C1BAA" w:rsidRPr="00C3753F" w:rsidRDefault="008C1BAA" w:rsidP="008C1BAA">
      <w:pPr>
        <w:pStyle w:val="1"/>
        <w:numPr>
          <w:ilvl w:val="0"/>
          <w:numId w:val="1"/>
        </w:numPr>
        <w:spacing w:line="360" w:lineRule="auto"/>
        <w:ind w:left="360"/>
        <w:jc w:val="both"/>
        <w:rPr>
          <w:rFonts w:cs="David"/>
          <w:b/>
          <w:bCs/>
          <w:color w:val="auto"/>
          <w:sz w:val="28"/>
          <w:szCs w:val="28"/>
        </w:rPr>
      </w:pPr>
      <w:r w:rsidRPr="00C3753F">
        <w:rPr>
          <w:rFonts w:cs="David" w:hint="cs"/>
          <w:b/>
          <w:bCs/>
          <w:color w:val="auto"/>
          <w:sz w:val="28"/>
          <w:szCs w:val="28"/>
          <w:rtl/>
        </w:rPr>
        <w:t>גזירת העונש המתאים לנאשם</w:t>
      </w:r>
    </w:p>
    <w:p w14:paraId="4B0F4602" w14:textId="77777777" w:rsidR="008C1BAA" w:rsidRPr="00C3753F" w:rsidRDefault="008C1BAA" w:rsidP="008C1BAA">
      <w:pPr>
        <w:pStyle w:val="ListParagraph"/>
        <w:numPr>
          <w:ilvl w:val="0"/>
          <w:numId w:val="2"/>
        </w:numPr>
        <w:ind w:left="-58"/>
      </w:pPr>
      <w:r w:rsidRPr="00C3753F">
        <w:rPr>
          <w:rFonts w:hint="cs"/>
          <w:rtl/>
        </w:rPr>
        <w:t xml:space="preserve">אשר לגזירת עונשו של הנאשם בגדרי מתחם העונש ההולם, כאמור </w:t>
      </w:r>
      <w:hyperlink r:id="rId58" w:history="1">
        <w:r w:rsidR="00150335" w:rsidRPr="00150335">
          <w:rPr>
            <w:rFonts w:hint="cs"/>
            <w:color w:val="0000FF"/>
            <w:u w:val="single"/>
            <w:rtl/>
          </w:rPr>
          <w:t>בסעיף</w:t>
        </w:r>
        <w:r w:rsidR="00150335" w:rsidRPr="00150335">
          <w:rPr>
            <w:color w:val="0000FF"/>
            <w:u w:val="single"/>
            <w:rtl/>
          </w:rPr>
          <w:t xml:space="preserve"> 40</w:t>
        </w:r>
        <w:r w:rsidR="00150335" w:rsidRPr="00150335">
          <w:rPr>
            <w:rFonts w:hint="cs"/>
            <w:color w:val="0000FF"/>
            <w:u w:val="single"/>
            <w:rtl/>
          </w:rPr>
          <w:t>ג</w:t>
        </w:r>
        <w:r w:rsidR="00150335" w:rsidRPr="00150335">
          <w:rPr>
            <w:color w:val="0000FF"/>
            <w:u w:val="single"/>
            <w:rtl/>
          </w:rPr>
          <w:t>(</w:t>
        </w:r>
        <w:r w:rsidR="00150335" w:rsidRPr="00150335">
          <w:rPr>
            <w:rFonts w:hint="cs"/>
            <w:color w:val="0000FF"/>
            <w:u w:val="single"/>
            <w:rtl/>
          </w:rPr>
          <w:t>ב</w:t>
        </w:r>
        <w:r w:rsidR="00150335" w:rsidRPr="00150335">
          <w:rPr>
            <w:color w:val="0000FF"/>
            <w:u w:val="single"/>
            <w:rtl/>
          </w:rPr>
          <w:t>)</w:t>
        </w:r>
      </w:hyperlink>
      <w:r w:rsidRPr="00C3753F">
        <w:rPr>
          <w:rFonts w:hint="cs"/>
          <w:rtl/>
        </w:rPr>
        <w:t xml:space="preserve"> ל</w:t>
      </w:r>
      <w:hyperlink r:id="rId59"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xml:space="preserve">, על בית המשפט לשקול בעניין זה את הנסיבות שאינן קשורות בביצוע העבירה, כפי שאלו מפורטות </w:t>
      </w:r>
      <w:hyperlink r:id="rId60" w:history="1">
        <w:r w:rsidR="00150335" w:rsidRPr="00150335">
          <w:rPr>
            <w:rFonts w:hint="cs"/>
            <w:color w:val="0000FF"/>
            <w:u w:val="single"/>
            <w:rtl/>
          </w:rPr>
          <w:t>בסעיף</w:t>
        </w:r>
        <w:r w:rsidR="00150335" w:rsidRPr="00150335">
          <w:rPr>
            <w:color w:val="0000FF"/>
            <w:u w:val="single"/>
            <w:rtl/>
          </w:rPr>
          <w:t xml:space="preserve"> 40</w:t>
        </w:r>
        <w:r w:rsidR="00150335" w:rsidRPr="00150335">
          <w:rPr>
            <w:rFonts w:hint="cs"/>
            <w:color w:val="0000FF"/>
            <w:u w:val="single"/>
            <w:rtl/>
          </w:rPr>
          <w:t>יא</w:t>
        </w:r>
      </w:hyperlink>
      <w:r w:rsidRPr="00C3753F">
        <w:rPr>
          <w:rFonts w:hint="cs"/>
          <w:rtl/>
        </w:rPr>
        <w:t xml:space="preserve"> לחוק העונשין.</w:t>
      </w:r>
    </w:p>
    <w:p w14:paraId="23FD8BE0" w14:textId="77777777" w:rsidR="008C1BAA" w:rsidRPr="00C3753F" w:rsidRDefault="008C1BAA" w:rsidP="008C1BAA">
      <w:pPr>
        <w:pStyle w:val="ListParagraph"/>
        <w:numPr>
          <w:ilvl w:val="0"/>
          <w:numId w:val="2"/>
        </w:numPr>
        <w:ind w:left="-58"/>
      </w:pPr>
      <w:r w:rsidRPr="00C3753F">
        <w:rPr>
          <w:rFonts w:hint="cs"/>
          <w:rtl/>
        </w:rPr>
        <w:t>בעניין זה, נתתי דעתי לעברו הפלילי של הנאשם (ראו ת/1) הכולל שלוש הרשעות במגוון עבירות, החל מעבירות סמים, עובר בעבירות של התחזות לאחר, הפרעה לשוטר ושיבוש מהלכי משפט, וכלה בהפרת הוראה חוקית. כמו כן, עיון בגיליון הרישום הפלילי מעלה כי הכלא אינו זר לו, שכן בגין הרשעתו ב- 2010 נגזר עליו מאסר למשך 36 חודשים ובגין הרשעתו האחרונה, המאוחרת לביצוע העבירות שבגינן הוא נותן את הדין היום, נגזרו עליו 7 חודשי מאסר. יש באמור כדי ללמד אודות דרך החיים השולית שהנאשם הקפיד לנהל בעשור האחרון, ועל כך שגם השתת עונשים חמורים לא הרתיעה אותו מביצוע עבירות נוספות. אם כי, לא נעלמה מעיניי העובדה ששתי ההרשעות האחרונות של הנאשם ניתנו מזמן, בשנים 2008 ו- 2010.</w:t>
      </w:r>
    </w:p>
    <w:p w14:paraId="50EBDF59" w14:textId="77777777" w:rsidR="008C1BAA" w:rsidRPr="00C3753F" w:rsidRDefault="008C1BAA" w:rsidP="008C1BAA">
      <w:pPr>
        <w:pStyle w:val="ListParagraph"/>
        <w:ind w:left="-58" w:firstLine="0"/>
      </w:pPr>
      <w:r w:rsidRPr="00C3753F">
        <w:rPr>
          <w:rFonts w:hint="cs"/>
          <w:rtl/>
        </w:rPr>
        <w:t xml:space="preserve">כן נתתי דעתי לעובדה כי הנאשם הודה במיוחס לו. עם זאת, קשה לומר, על אף הצהרותיו של הנאשם בפניי, כי הוא מקבל אחריות מלאה על מעשיו או מביע עליהם חרטה כנה. שכן, כמתואר בתסקיר שירות המבחן, הנאשם מתקשה לגלות אמפתיה כלפי אלו שאליהם כוונו העבירות ומציג עמדה קורבנית. עמדות דומות הביע הנאשם גם בבית המשפט, בשלב הטיעונים לעונש. כמו כן, אף קשה לומר שהנאשם הביא לחיסכון בזמן שיפוטי יקר, שכן הוא אמנם הודה במיוחס לו ובכך ייתר את הצורך בניהול הליך של הוכחות, אולם בד בבד, במשך תקופה ארוכה הוא נמנע מלהתייצב לדיונים הקבועים בעניינו (ואין הכוונה לתקופה שבה הוא היה עצור ושפוט בגין תיק אחר), מה שהביא לדחיית הדיונים ולהימשכות מיותרת של ההליך. מסיבה זו בדיוק, אף אין מקום ליתן משקל מופרז לחלוף הזמן מאז ביצוע העבירות, אם כי בכל זאת, לא התעלמתי מהעובדה שאלו בוצעו לפני כשלוש שנים.  </w:t>
      </w:r>
    </w:p>
    <w:p w14:paraId="03E44469" w14:textId="77777777" w:rsidR="008C1BAA" w:rsidRPr="00C3753F" w:rsidRDefault="008C1BAA" w:rsidP="008C1BAA">
      <w:pPr>
        <w:pStyle w:val="ListParagraph"/>
        <w:ind w:left="-58" w:firstLine="0"/>
      </w:pPr>
      <w:r w:rsidRPr="00C3753F">
        <w:rPr>
          <w:rFonts w:hint="cs"/>
          <w:rtl/>
        </w:rPr>
        <w:t>בנוסף, נתתי דעתי לעובדה שהנאשם יכול היה לצרף תיק זה ל</w:t>
      </w:r>
      <w:hyperlink r:id="rId61" w:history="1">
        <w:r w:rsidR="00683B61" w:rsidRPr="00683B61">
          <w:rPr>
            <w:rFonts w:hint="cs"/>
            <w:color w:val="0000FF"/>
            <w:u w:val="single"/>
            <w:rtl/>
          </w:rPr>
          <w:t>ת</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20459-06-17</w:t>
        </w:r>
      </w:hyperlink>
      <w:r w:rsidRPr="00C3753F">
        <w:rPr>
          <w:rFonts w:hint="cs"/>
          <w:rtl/>
        </w:rPr>
        <w:t xml:space="preserve">, שבגינו הוא נשפט זה מכבר, מה שייתכן שהיה מביא להקלה מסוימת בעונשו. דא עקא, גם המשקל שיינתן לכך לא יהיה גבוה, שכן הסיבות לאי צירוף התיק הנדון לא הובררו בפניי, וכלל לא נהיר אם הדבר נובע מנסיבות שאינן תלויות בנאשם. כמו כן, בית המשפט שוקל את העובדה שהנאשם היה עצור כעשרים יום מאחורי סורג ובריח, כחודשיים שהה במעצר בפיקוח אלקטרוני ובהמשך גם היה נתון תחת תנאים מגבילים. ברי כי המעצר או הליך המעצר איננו "מקדמה על חשבון העונש", אולם מצאתי להעניק לכך משקל מסוים, ולו במסגרת </w:t>
      </w:r>
      <w:hyperlink r:id="rId62" w:history="1">
        <w:r w:rsidR="00150335" w:rsidRPr="00150335">
          <w:rPr>
            <w:rFonts w:hint="cs"/>
            <w:color w:val="0000FF"/>
            <w:u w:val="single"/>
            <w:rtl/>
          </w:rPr>
          <w:t>סעיף</w:t>
        </w:r>
        <w:r w:rsidR="00150335" w:rsidRPr="00150335">
          <w:rPr>
            <w:color w:val="0000FF"/>
            <w:u w:val="single"/>
            <w:rtl/>
          </w:rPr>
          <w:t xml:space="preserve"> 40</w:t>
        </w:r>
        <w:r w:rsidR="00150335" w:rsidRPr="00150335">
          <w:rPr>
            <w:rFonts w:hint="cs"/>
            <w:color w:val="0000FF"/>
            <w:u w:val="single"/>
            <w:rtl/>
          </w:rPr>
          <w:t>יא</w:t>
        </w:r>
        <w:r w:rsidR="00150335" w:rsidRPr="00150335">
          <w:rPr>
            <w:color w:val="0000FF"/>
            <w:u w:val="single"/>
            <w:rtl/>
          </w:rPr>
          <w:t>(3)</w:t>
        </w:r>
      </w:hyperlink>
      <w:r w:rsidRPr="00C3753F">
        <w:rPr>
          <w:rFonts w:hint="cs"/>
          <w:rtl/>
        </w:rPr>
        <w:t xml:space="preserve"> ל</w:t>
      </w:r>
      <w:hyperlink r:id="rId63"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xml:space="preserve">. בנקודה זו אף יצוין במאמר מוסגר, כי אמנם אנכה מהמאסר שייגזר על הנאשם את ימי מעצרו מאחורי סורג ובריח, אולם לא ניתן יהיה לעשות כן בכל הנוגע לתקופה שבה הוא שהה במעצר בפיקוח אלקטרוני (ראו: </w:t>
      </w:r>
      <w:hyperlink r:id="rId64"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7768/15</w:t>
        </w:r>
      </w:hyperlink>
      <w:r w:rsidRPr="00C3753F">
        <w:rPr>
          <w:rFonts w:hint="cs"/>
          <w:rtl/>
        </w:rPr>
        <w:t xml:space="preserve"> </w:t>
      </w:r>
      <w:r w:rsidRPr="00C3753F">
        <w:rPr>
          <w:rFonts w:hint="cs"/>
          <w:b/>
          <w:bCs/>
          <w:rtl/>
        </w:rPr>
        <w:t>פלוני נ' מדינת ישראל</w:t>
      </w:r>
      <w:r w:rsidRPr="00C3753F">
        <w:rPr>
          <w:rFonts w:hint="cs"/>
          <w:rtl/>
        </w:rPr>
        <w:t xml:space="preserve">, (20.04.2016); </w:t>
      </w:r>
      <w:r w:rsidRPr="00C3753F">
        <w:rPr>
          <w:rFonts w:hint="cs"/>
          <w:u w:val="single"/>
          <w:rtl/>
        </w:rPr>
        <w:t xml:space="preserve">ע"פ </w:t>
      </w:r>
      <w:hyperlink r:id="rId65" w:history="1">
        <w:r w:rsidR="008B5949" w:rsidRPr="008B5949">
          <w:rPr>
            <w:rStyle w:val="Hyperlink"/>
            <w:color w:val="0000FF"/>
            <w:rtl/>
          </w:rPr>
          <w:t xml:space="preserve">8547/15‏ </w:t>
        </w:r>
      </w:hyperlink>
      <w:r w:rsidRPr="00C3753F">
        <w:rPr>
          <w:rFonts w:hint="cs"/>
          <w:b/>
          <w:bCs/>
          <w:rtl/>
        </w:rPr>
        <w:t xml:space="preserve"> מדינת ישראל נ' אנס מחאג'נה</w:t>
      </w:r>
      <w:r w:rsidRPr="00C3753F">
        <w:rPr>
          <w:rFonts w:hint="cs"/>
          <w:rtl/>
        </w:rPr>
        <w:t xml:space="preserve">, (05.06.2016); </w:t>
      </w:r>
      <w:r w:rsidRPr="00C3753F">
        <w:rPr>
          <w:rFonts w:hint="cs"/>
          <w:u w:val="single"/>
          <w:rtl/>
        </w:rPr>
        <w:t>ו</w:t>
      </w:r>
      <w:hyperlink r:id="rId66" w:history="1">
        <w:r w:rsidR="00683B61" w:rsidRPr="00683B61">
          <w:rPr>
            <w:rFonts w:hint="cs"/>
            <w:color w:val="0000FF"/>
            <w:u w:val="single"/>
            <w:rtl/>
          </w:rPr>
          <w:t>עפ</w:t>
        </w:r>
        <w:r w:rsidR="00683B61" w:rsidRPr="00683B61">
          <w:rPr>
            <w:color w:val="0000FF"/>
            <w:u w:val="single"/>
            <w:rtl/>
          </w:rPr>
          <w:t>"</w:t>
        </w:r>
        <w:r w:rsidR="00683B61" w:rsidRPr="00683B61">
          <w:rPr>
            <w:rFonts w:hint="cs"/>
            <w:color w:val="0000FF"/>
            <w:u w:val="single"/>
            <w:rtl/>
          </w:rPr>
          <w:t>ג</w:t>
        </w:r>
        <w:r w:rsidR="00683B61" w:rsidRPr="00683B61">
          <w:rPr>
            <w:color w:val="0000FF"/>
            <w:u w:val="single"/>
            <w:rtl/>
          </w:rPr>
          <w:t xml:space="preserve"> (</w:t>
        </w:r>
        <w:r w:rsidR="00683B61" w:rsidRPr="00683B61">
          <w:rPr>
            <w:rFonts w:hint="cs"/>
            <w:color w:val="0000FF"/>
            <w:u w:val="single"/>
            <w:rtl/>
          </w:rPr>
          <w:t>מחוזי</w:t>
        </w:r>
        <w:r w:rsidR="00683B61" w:rsidRPr="00683B61">
          <w:rPr>
            <w:color w:val="0000FF"/>
            <w:u w:val="single"/>
            <w:rtl/>
          </w:rPr>
          <w:t xml:space="preserve"> </w:t>
        </w:r>
        <w:r w:rsidR="00683B61" w:rsidRPr="00683B61">
          <w:rPr>
            <w:rFonts w:hint="cs"/>
            <w:color w:val="0000FF"/>
            <w:u w:val="single"/>
            <w:rtl/>
          </w:rPr>
          <w:t>חיפה</w:t>
        </w:r>
        <w:r w:rsidR="00683B61" w:rsidRPr="00683B61">
          <w:rPr>
            <w:color w:val="0000FF"/>
            <w:u w:val="single"/>
            <w:rtl/>
          </w:rPr>
          <w:t>) 53142-12-16</w:t>
        </w:r>
      </w:hyperlink>
      <w:r w:rsidRPr="00C3753F">
        <w:rPr>
          <w:rFonts w:hint="cs"/>
          <w:rtl/>
        </w:rPr>
        <w:t xml:space="preserve"> </w:t>
      </w:r>
      <w:r w:rsidRPr="00C3753F">
        <w:rPr>
          <w:rFonts w:hint="cs"/>
          <w:b/>
          <w:bCs/>
          <w:rtl/>
        </w:rPr>
        <w:t>זיו רחמימוב נ' מדינת ישראל</w:t>
      </w:r>
      <w:r w:rsidRPr="00C3753F">
        <w:rPr>
          <w:rFonts w:hint="cs"/>
          <w:rtl/>
        </w:rPr>
        <w:t>, (17.05.2017)).</w:t>
      </w:r>
    </w:p>
    <w:p w14:paraId="672112E9" w14:textId="77777777" w:rsidR="008C1BAA" w:rsidRPr="00C3753F" w:rsidRDefault="008C1BAA" w:rsidP="008C1BAA">
      <w:pPr>
        <w:pStyle w:val="ListParagraph"/>
        <w:ind w:left="-58" w:firstLine="0"/>
        <w:rPr>
          <w:rtl/>
        </w:rPr>
      </w:pPr>
      <w:r w:rsidRPr="00C3753F">
        <w:rPr>
          <w:rFonts w:hint="cs"/>
          <w:rtl/>
        </w:rPr>
        <w:t>לבסוף, ייאמר כי הנאשם העיד על עצמו שהפסיק להשתמש בסמים, להם הוא מכור מאז היה בן 15. אולם, לבדיקת השתן שאליה זומן במסגרת שירות המבחן הוא לא התייצב, ומכאן שקיים חשש ממשי שמא בניגוד לדבריו, הוא טרם נגמל. כך גם, הנאשם טען כי שולב באגף טיפולי בבית הסוהר שבו הוא מרצה את מאסרו, אולם לא הוצגה לבית המשפט כל ראיה שיהיה בה כדי לתמוך באמור. על כן, הרי שאין לבית המשפט אלא מה שעיניו רואות, ובמקרה הנדון כל שהונח בפניי הוא תסקיר שירות המבחן, ממנו עולה כי בשלב זה הנאשם נעדר אופק טיפולי. לפיכך, ברי כי אין לדבר על שיקולי שיקום כבדי משקל אשר יהיה בהם כדי להצדיק סטייה לקולא ממתחם העונש אשר קבעתי מעלה.</w:t>
      </w:r>
    </w:p>
    <w:p w14:paraId="7ADF5945" w14:textId="77777777" w:rsidR="008C1BAA" w:rsidRPr="00C3753F" w:rsidRDefault="008C1BAA" w:rsidP="008C1BAA">
      <w:pPr>
        <w:pStyle w:val="ListParagraph"/>
        <w:numPr>
          <w:ilvl w:val="0"/>
          <w:numId w:val="2"/>
        </w:numPr>
        <w:ind w:left="-58"/>
        <w:rPr>
          <w:rtl/>
        </w:rPr>
      </w:pPr>
      <w:r w:rsidRPr="00C3753F">
        <w:rPr>
          <w:rFonts w:hint="cs"/>
          <w:rtl/>
        </w:rPr>
        <w:t xml:space="preserve">באיזון של כל האמור לעיל, נדמה כי עמדתה העונשית של המאשימה – שמבקשת להשית על הנאשם עונש מאסר המצוי ברף התחתון של מתחם העונש שקבעתי (ושסוטה לקולא מהמתחם הנטען על ידיה עצמה) – עושה חסד עם הנאשם. שכן, אלמלא הגבלתה העונשית זו, דומה כי לא היה מקום לגזור על הנאשם עונש המצוי ברף התחתון של המתחם. עם זאת, לא מצאתי כי המדובר בסטייה ניכרת או במקרה חריג שבו בית המשפט ישים עצמו כקטגור בנעלי התביעה, ולכן לא אסטה לחומרה מהעמדה העונשית שהציגה המאשימה, כאמור. </w:t>
      </w:r>
    </w:p>
    <w:p w14:paraId="6570AA18" w14:textId="77777777" w:rsidR="008C1BAA" w:rsidRPr="00C3753F" w:rsidRDefault="008C1BAA" w:rsidP="008C1BAA">
      <w:pPr>
        <w:pStyle w:val="1"/>
        <w:spacing w:line="360" w:lineRule="auto"/>
        <w:rPr>
          <w:rFonts w:cs="David"/>
          <w:color w:val="auto"/>
          <w:u w:val="single"/>
        </w:rPr>
      </w:pPr>
      <w:r w:rsidRPr="00C3753F">
        <w:rPr>
          <w:rFonts w:cs="David" w:hint="cs"/>
          <w:color w:val="auto"/>
          <w:u w:val="single"/>
          <w:rtl/>
        </w:rPr>
        <w:t>שאלת חפיפתם או הצטברותם של עונשי המאסר</w:t>
      </w:r>
    </w:p>
    <w:p w14:paraId="2E3A48A4" w14:textId="77777777" w:rsidR="008C1BAA" w:rsidRPr="00C3753F" w:rsidRDefault="008C1BAA" w:rsidP="008C1BAA">
      <w:pPr>
        <w:pStyle w:val="ListParagraph"/>
        <w:numPr>
          <w:ilvl w:val="0"/>
          <w:numId w:val="2"/>
        </w:numPr>
        <w:ind w:left="-58"/>
      </w:pPr>
      <w:r w:rsidRPr="00C3753F">
        <w:rPr>
          <w:rFonts w:hint="cs"/>
          <w:rtl/>
        </w:rPr>
        <w:t>כאמור, נכון למועד כתיבת שורות אלה, מרצה הנאשם עונש מאסר של 7 חודשים אשר הושת עליו בתיק אחר. על כן, עולה השאלה אם עונש המאסר שיושת עליו בתיק זה ירוצה בחופף למאסר שהוא מרצה כעת, או שמא יצטבר לעונש זה.</w:t>
      </w:r>
    </w:p>
    <w:p w14:paraId="0D0180F7" w14:textId="77777777" w:rsidR="008C1BAA" w:rsidRPr="00C3753F" w:rsidRDefault="008C1BAA" w:rsidP="008C1BAA">
      <w:pPr>
        <w:pStyle w:val="ListParagraph"/>
        <w:numPr>
          <w:ilvl w:val="0"/>
          <w:numId w:val="2"/>
        </w:numPr>
        <w:ind w:left="-58"/>
      </w:pPr>
      <w:r w:rsidRPr="00C3753F">
        <w:rPr>
          <w:rFonts w:hint="cs"/>
          <w:rtl/>
        </w:rPr>
        <w:t xml:space="preserve">הוראת החוק הרלוונטית לעניין הנדון קבועה </w:t>
      </w:r>
      <w:hyperlink r:id="rId67" w:history="1">
        <w:r w:rsidR="00150335" w:rsidRPr="00150335">
          <w:rPr>
            <w:rFonts w:hint="cs"/>
            <w:color w:val="0000FF"/>
            <w:u w:val="single"/>
            <w:rtl/>
          </w:rPr>
          <w:t>בסעיף</w:t>
        </w:r>
        <w:r w:rsidR="00150335" w:rsidRPr="00150335">
          <w:rPr>
            <w:color w:val="0000FF"/>
            <w:u w:val="single"/>
            <w:rtl/>
          </w:rPr>
          <w:t xml:space="preserve"> 45(</w:t>
        </w:r>
        <w:r w:rsidR="00150335" w:rsidRPr="00150335">
          <w:rPr>
            <w:rFonts w:hint="cs"/>
            <w:color w:val="0000FF"/>
            <w:u w:val="single"/>
            <w:rtl/>
          </w:rPr>
          <w:t>ב</w:t>
        </w:r>
        <w:r w:rsidR="00150335" w:rsidRPr="00150335">
          <w:rPr>
            <w:color w:val="0000FF"/>
            <w:u w:val="single"/>
            <w:rtl/>
          </w:rPr>
          <w:t>)</w:t>
        </w:r>
      </w:hyperlink>
      <w:r w:rsidRPr="00C3753F">
        <w:rPr>
          <w:rFonts w:hint="cs"/>
          <w:rtl/>
        </w:rPr>
        <w:t xml:space="preserve"> ל</w:t>
      </w:r>
      <w:hyperlink r:id="rId68"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שקובע כהאי לישנא:</w:t>
      </w:r>
    </w:p>
    <w:p w14:paraId="0DBD3EDA" w14:textId="77777777" w:rsidR="008C1BAA" w:rsidRPr="00C3753F" w:rsidRDefault="008C1BAA" w:rsidP="008C1BAA">
      <w:pPr>
        <w:pStyle w:val="ListParagraph"/>
        <w:ind w:left="-58" w:firstLine="0"/>
      </w:pPr>
      <w:r w:rsidRPr="00C3753F">
        <w:rPr>
          <w:rFonts w:hint="cs"/>
          <w:b/>
          <w:bCs/>
          <w:rtl/>
        </w:rPr>
        <w:t>"מי שנידון למאסר ולפני שנשא כל ענשו חזר ונידון למאסר, ובית המשפט שדן אותו באחרונה לא הורה שישא את ענשי המאסר, כולם או מקצתם, בזה אחר זה, לא ישא אלא עונש מאסר אחד והוא של התקופה הארוכה ביותר"</w:t>
      </w:r>
      <w:r w:rsidRPr="00C3753F">
        <w:rPr>
          <w:rFonts w:hint="cs"/>
          <w:rtl/>
        </w:rPr>
        <w:t>.</w:t>
      </w:r>
    </w:p>
    <w:p w14:paraId="3020F0BC" w14:textId="77777777" w:rsidR="008C1BAA" w:rsidRPr="00C3753F" w:rsidRDefault="008C1BAA" w:rsidP="008C1BAA">
      <w:pPr>
        <w:pStyle w:val="ListParagraph"/>
        <w:ind w:left="-58" w:firstLine="0"/>
      </w:pPr>
      <w:r w:rsidRPr="00C3753F">
        <w:rPr>
          <w:rFonts w:hint="cs"/>
          <w:rtl/>
        </w:rPr>
        <w:t xml:space="preserve">מלשון זו, ניתן על פניו להסיק כי ברירת המחדל היא שמאסר שמשית בית המשפט בתיק מסוים, ירוצה בחופף למאסר קודם שנגזר על הנאשם בתיק אחר. דא עקא, כפי שהבהיר זאת (בדעת רוב לעניין התוצאה) כב' השופט (כתוארו אז) ס' ג'ובראן </w:t>
      </w:r>
      <w:r w:rsidRPr="00C3753F">
        <w:rPr>
          <w:rFonts w:hint="cs"/>
          <w:u w:val="single"/>
          <w:rtl/>
        </w:rPr>
        <w:t>ב</w:t>
      </w:r>
      <w:hyperlink r:id="rId69"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8080/12</w:t>
        </w:r>
      </w:hyperlink>
      <w:r w:rsidRPr="00C3753F">
        <w:rPr>
          <w:rFonts w:hint="cs"/>
          <w:rtl/>
        </w:rPr>
        <w:t xml:space="preserve"> ‏</w:t>
      </w:r>
      <w:r w:rsidRPr="00C3753F">
        <w:rPr>
          <w:rFonts w:hint="cs"/>
          <w:b/>
          <w:bCs/>
          <w:rtl/>
        </w:rPr>
        <w:t>מדינת ישראל נ' אהוד אולמרט</w:t>
      </w:r>
      <w:r w:rsidRPr="00C3753F">
        <w:rPr>
          <w:rFonts w:hint="cs"/>
          <w:rtl/>
        </w:rPr>
        <w:t xml:space="preserve">, (28.09.2016), בפסיקה </w:t>
      </w:r>
      <w:r w:rsidRPr="00C3753F">
        <w:rPr>
          <w:rFonts w:hint="cs"/>
          <w:b/>
          <w:bCs/>
          <w:rtl/>
        </w:rPr>
        <w:t>לא</w:t>
      </w:r>
      <w:r w:rsidRPr="00C3753F">
        <w:rPr>
          <w:rFonts w:hint="cs"/>
          <w:rtl/>
        </w:rPr>
        <w:t xml:space="preserve"> התקבלה הגישה הרואה בריצוי עונשי מאסר בחופף כנקודת המוצא העקרונית (כן ראו, למשל, פסק דינה של כב' השופטת (כתוארה אז) א' חיות </w:t>
      </w:r>
      <w:r w:rsidRPr="00C3753F">
        <w:rPr>
          <w:rFonts w:hint="cs"/>
          <w:u w:val="single"/>
          <w:rtl/>
        </w:rPr>
        <w:t xml:space="preserve">בע"פ </w:t>
      </w:r>
      <w:hyperlink r:id="rId70" w:history="1">
        <w:r w:rsidR="008B5949" w:rsidRPr="008B5949">
          <w:rPr>
            <w:color w:val="0000FF"/>
            <w:u w:val="single"/>
            <w:rtl/>
          </w:rPr>
          <w:t xml:space="preserve">1601/03‏ </w:t>
        </w:r>
      </w:hyperlink>
      <w:r w:rsidRPr="00C3753F">
        <w:rPr>
          <w:rFonts w:hint="cs"/>
          <w:rtl/>
        </w:rPr>
        <w:t xml:space="preserve"> </w:t>
      </w:r>
      <w:r w:rsidRPr="00C3753F">
        <w:rPr>
          <w:rFonts w:hint="cs"/>
          <w:b/>
          <w:bCs/>
          <w:rtl/>
        </w:rPr>
        <w:t>עיני נ' מדינת ישראל</w:t>
      </w:r>
      <w:r w:rsidRPr="00C3753F">
        <w:rPr>
          <w:rFonts w:hint="cs"/>
          <w:rtl/>
        </w:rPr>
        <w:t xml:space="preserve">, פ''ד נט(5) 949 (2005)). וכך, נפסק כי לבית המשפט נתון שיקול הדעת בשאלת חפיפתם או צבירתם של עונשי מאסר, וכי במסגרת זו עליו </w:t>
      </w:r>
      <w:r w:rsidRPr="00C3753F">
        <w:rPr>
          <w:rFonts w:hint="cs"/>
          <w:b/>
          <w:bCs/>
          <w:rtl/>
        </w:rPr>
        <w:t>"לאזן בין האינטרס החברתי במיצוי הדין לבין האינטרס האנושי, נקיטת מידת חסד עם הנאשם, המאפשרת לו לרצות את העונש החמור כדי לכפר על עוונותיו"</w:t>
      </w:r>
      <w:r w:rsidRPr="00C3753F">
        <w:rPr>
          <w:rFonts w:hint="cs"/>
          <w:rtl/>
        </w:rPr>
        <w:t xml:space="preserve"> (</w:t>
      </w:r>
      <w:hyperlink r:id="rId71"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3503/01 </w:t>
        </w:r>
        <w:r w:rsidR="00683B61" w:rsidRPr="00683B61">
          <w:rPr>
            <w:rFonts w:hint="cs"/>
            <w:color w:val="0000FF"/>
            <w:u w:val="single"/>
            <w:rtl/>
          </w:rPr>
          <w:t>וופא</w:t>
        </w:r>
        <w:r w:rsidR="00683B61" w:rsidRPr="00683B61">
          <w:rPr>
            <w:color w:val="0000FF"/>
            <w:u w:val="single"/>
            <w:rtl/>
          </w:rPr>
          <w:t xml:space="preserve"> </w:t>
        </w:r>
        <w:r w:rsidR="00683B61" w:rsidRPr="00683B61">
          <w:rPr>
            <w:rFonts w:hint="cs"/>
            <w:color w:val="0000FF"/>
            <w:u w:val="single"/>
            <w:rtl/>
          </w:rPr>
          <w:t>תפאל</w:t>
        </w:r>
        <w:r w:rsidR="00683B61" w:rsidRPr="00683B61">
          <w:rPr>
            <w:color w:val="0000FF"/>
            <w:u w:val="single"/>
            <w:rtl/>
          </w:rPr>
          <w:t xml:space="preserve"> </w:t>
        </w:r>
        <w:r w:rsidR="00683B61" w:rsidRPr="00683B61">
          <w:rPr>
            <w:rFonts w:hint="cs"/>
            <w:color w:val="0000FF"/>
            <w:u w:val="single"/>
            <w:rtl/>
          </w:rPr>
          <w:t>נ</w:t>
        </w:r>
        <w:r w:rsidR="00683B61" w:rsidRPr="00683B61">
          <w:rPr>
            <w:color w:val="0000FF"/>
            <w:u w:val="single"/>
            <w:rtl/>
          </w:rPr>
          <w:t xml:space="preserve">' </w:t>
        </w:r>
        <w:r w:rsidR="00683B61" w:rsidRPr="00683B61">
          <w:rPr>
            <w:rFonts w:hint="cs"/>
            <w:color w:val="0000FF"/>
            <w:u w:val="single"/>
            <w:rtl/>
          </w:rPr>
          <w:t>מדינת</w:t>
        </w:r>
        <w:r w:rsidR="00683B61" w:rsidRPr="00683B61">
          <w:rPr>
            <w:color w:val="0000FF"/>
            <w:u w:val="single"/>
            <w:rtl/>
          </w:rPr>
          <w:t xml:space="preserve"> </w:t>
        </w:r>
        <w:r w:rsidR="00683B61" w:rsidRPr="00683B61">
          <w:rPr>
            <w:rFonts w:hint="cs"/>
            <w:color w:val="0000FF"/>
            <w:u w:val="single"/>
            <w:rtl/>
          </w:rPr>
          <w:t>ישראל</w:t>
        </w:r>
        <w:r w:rsidR="00683B61" w:rsidRPr="00683B61">
          <w:rPr>
            <w:color w:val="0000FF"/>
            <w:u w:val="single"/>
            <w:rtl/>
          </w:rPr>
          <w:t xml:space="preserve">, </w:t>
        </w:r>
        <w:r w:rsidR="00683B61" w:rsidRPr="00683B61">
          <w:rPr>
            <w:rFonts w:hint="cs"/>
            <w:color w:val="0000FF"/>
            <w:u w:val="single"/>
            <w:rtl/>
          </w:rPr>
          <w:t>פ</w:t>
        </w:r>
        <w:r w:rsidR="00683B61" w:rsidRPr="00683B61">
          <w:rPr>
            <w:color w:val="0000FF"/>
            <w:u w:val="single"/>
            <w:rtl/>
          </w:rPr>
          <w:t>"</w:t>
        </w:r>
        <w:r w:rsidR="00683B61" w:rsidRPr="00683B61">
          <w:rPr>
            <w:rFonts w:hint="cs"/>
            <w:color w:val="0000FF"/>
            <w:u w:val="single"/>
            <w:rtl/>
          </w:rPr>
          <w:t>ד</w:t>
        </w:r>
        <w:r w:rsidR="00683B61" w:rsidRPr="00683B61">
          <w:rPr>
            <w:color w:val="0000FF"/>
            <w:u w:val="single"/>
            <w:rtl/>
          </w:rPr>
          <w:t xml:space="preserve"> </w:t>
        </w:r>
        <w:r w:rsidR="00683B61" w:rsidRPr="00683B61">
          <w:rPr>
            <w:rFonts w:hint="cs"/>
            <w:color w:val="0000FF"/>
            <w:u w:val="single"/>
            <w:rtl/>
          </w:rPr>
          <w:t>נח</w:t>
        </w:r>
      </w:hyperlink>
      <w:r w:rsidRPr="00C3753F">
        <w:rPr>
          <w:rFonts w:hint="cs"/>
          <w:rtl/>
        </w:rPr>
        <w:t>(1) 865 (2003)).</w:t>
      </w:r>
    </w:p>
    <w:p w14:paraId="7AC03755" w14:textId="77777777" w:rsidR="008C1BAA" w:rsidRPr="00C3753F" w:rsidRDefault="008C1BAA" w:rsidP="008C1BAA">
      <w:pPr>
        <w:pStyle w:val="ListParagraph"/>
        <w:ind w:left="-58" w:firstLine="0"/>
        <w:rPr>
          <w:rtl/>
        </w:rPr>
      </w:pPr>
      <w:r w:rsidRPr="00C3753F">
        <w:rPr>
          <w:rFonts w:hint="cs"/>
          <w:rtl/>
        </w:rPr>
        <w:t xml:space="preserve">בנוסף, ייאמר כי רשימת השיקולים שעל בית המשפט לשקול בעניין זה איננה רשימה סגורה, אולם בפסיקתו של בית המשפט העליון הסתמנו כמה שיקולים מרכזיים: הראשון, עניינו בזיקה שבין העבירות השונות. קרי, ככל שאין זיקה של ממש בין העבירות השונות שבגינן הוטל העונש, כך תיחלש הנטייה להטיל עונשים חופפים. והדברים נכונים גם בכל הנוגע לעבירות שונות בכתב אישום אחד, ולא כל שכן כאשר המדובר בפרשיות נפרדות לחלוטין; שיקול נוסף עניינו בחומרת העבירות. דהיינו, על בית המשפט לשאול אם נסיבות ביצוע העבירה מצדיקות תגובה עונשית מיוחדת (וראו בעניין זה, למשל: </w:t>
      </w:r>
      <w:r w:rsidRPr="00C3753F">
        <w:rPr>
          <w:rFonts w:hint="cs"/>
          <w:b/>
          <w:bCs/>
          <w:rtl/>
        </w:rPr>
        <w:t>עניין אולמרט</w:t>
      </w:r>
      <w:r w:rsidRPr="00C3753F">
        <w:rPr>
          <w:rFonts w:hint="cs"/>
          <w:rtl/>
        </w:rPr>
        <w:t xml:space="preserve"> </w:t>
      </w:r>
      <w:r w:rsidRPr="00C3753F">
        <w:rPr>
          <w:rFonts w:hint="cs"/>
          <w:b/>
          <w:bCs/>
          <w:rtl/>
        </w:rPr>
        <w:t>ועניין עיני</w:t>
      </w:r>
      <w:r w:rsidRPr="00C3753F">
        <w:rPr>
          <w:rFonts w:hint="cs"/>
          <w:rtl/>
        </w:rPr>
        <w:t xml:space="preserve"> אשר אוזכרו לעיל; </w:t>
      </w:r>
      <w:hyperlink r:id="rId72"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1707/08</w:t>
        </w:r>
      </w:hyperlink>
      <w:r w:rsidRPr="00C3753F">
        <w:rPr>
          <w:rFonts w:hint="cs"/>
          <w:rtl/>
        </w:rPr>
        <w:t xml:space="preserve"> </w:t>
      </w:r>
      <w:r w:rsidRPr="00C3753F">
        <w:rPr>
          <w:rFonts w:hint="cs"/>
          <w:b/>
          <w:bCs/>
          <w:rtl/>
        </w:rPr>
        <w:t>אלי אריש נ' מדינת ישראל</w:t>
      </w:r>
      <w:r w:rsidRPr="00C3753F">
        <w:rPr>
          <w:rFonts w:hint="cs"/>
          <w:rtl/>
        </w:rPr>
        <w:t xml:space="preserve">, (25.11.2008); </w:t>
      </w:r>
      <w:hyperlink r:id="rId73"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6294/11</w:t>
        </w:r>
      </w:hyperlink>
      <w:r w:rsidRPr="00C3753F">
        <w:rPr>
          <w:rFonts w:hint="cs"/>
          <w:rtl/>
        </w:rPr>
        <w:t xml:space="preserve"> </w:t>
      </w:r>
      <w:r w:rsidRPr="00C3753F">
        <w:rPr>
          <w:rFonts w:hint="cs"/>
          <w:b/>
          <w:bCs/>
          <w:rtl/>
        </w:rPr>
        <w:t>פלוני נ' מדינת ישראל</w:t>
      </w:r>
      <w:r w:rsidRPr="00C3753F">
        <w:rPr>
          <w:rFonts w:hint="cs"/>
          <w:rtl/>
        </w:rPr>
        <w:t xml:space="preserve">, (20.02.2014); </w:t>
      </w:r>
      <w:hyperlink r:id="rId74"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6535/01 </w:t>
        </w:r>
        <w:r w:rsidR="00683B61" w:rsidRPr="00683B61">
          <w:rPr>
            <w:rFonts w:hint="cs"/>
            <w:color w:val="0000FF"/>
            <w:u w:val="single"/>
            <w:rtl/>
          </w:rPr>
          <w:t>דמיטרי</w:t>
        </w:r>
        <w:r w:rsidR="00683B61" w:rsidRPr="00683B61">
          <w:rPr>
            <w:color w:val="0000FF"/>
            <w:u w:val="single"/>
            <w:rtl/>
          </w:rPr>
          <w:t xml:space="preserve"> </w:t>
        </w:r>
        <w:r w:rsidR="00683B61" w:rsidRPr="00683B61">
          <w:rPr>
            <w:rFonts w:hint="cs"/>
            <w:color w:val="0000FF"/>
            <w:u w:val="single"/>
            <w:rtl/>
          </w:rPr>
          <w:t>קוזירוב</w:t>
        </w:r>
        <w:r w:rsidR="00683B61" w:rsidRPr="00683B61">
          <w:rPr>
            <w:color w:val="0000FF"/>
            <w:u w:val="single"/>
            <w:rtl/>
          </w:rPr>
          <w:t xml:space="preserve"> </w:t>
        </w:r>
        <w:r w:rsidR="00683B61" w:rsidRPr="00683B61">
          <w:rPr>
            <w:rFonts w:hint="cs"/>
            <w:color w:val="0000FF"/>
            <w:u w:val="single"/>
            <w:rtl/>
          </w:rPr>
          <w:t>נ</w:t>
        </w:r>
        <w:r w:rsidR="00683B61" w:rsidRPr="00683B61">
          <w:rPr>
            <w:color w:val="0000FF"/>
            <w:u w:val="single"/>
            <w:rtl/>
          </w:rPr>
          <w:t xml:space="preserve">' </w:t>
        </w:r>
        <w:r w:rsidR="00683B61" w:rsidRPr="00683B61">
          <w:rPr>
            <w:rFonts w:hint="cs"/>
            <w:color w:val="0000FF"/>
            <w:u w:val="single"/>
            <w:rtl/>
          </w:rPr>
          <w:t>מדינת</w:t>
        </w:r>
        <w:r w:rsidR="00683B61" w:rsidRPr="00683B61">
          <w:rPr>
            <w:color w:val="0000FF"/>
            <w:u w:val="single"/>
            <w:rtl/>
          </w:rPr>
          <w:t xml:space="preserve"> </w:t>
        </w:r>
        <w:r w:rsidR="00683B61" w:rsidRPr="00683B61">
          <w:rPr>
            <w:rFonts w:hint="cs"/>
            <w:color w:val="0000FF"/>
            <w:u w:val="single"/>
            <w:rtl/>
          </w:rPr>
          <w:t>ישראל</w:t>
        </w:r>
        <w:r w:rsidR="00683B61" w:rsidRPr="00683B61">
          <w:rPr>
            <w:color w:val="0000FF"/>
            <w:u w:val="single"/>
            <w:rtl/>
          </w:rPr>
          <w:t xml:space="preserve">, </w:t>
        </w:r>
        <w:r w:rsidR="00683B61" w:rsidRPr="00683B61">
          <w:rPr>
            <w:rFonts w:hint="cs"/>
            <w:color w:val="0000FF"/>
            <w:u w:val="single"/>
            <w:rtl/>
          </w:rPr>
          <w:t>פ</w:t>
        </w:r>
        <w:r w:rsidR="00683B61" w:rsidRPr="00683B61">
          <w:rPr>
            <w:color w:val="0000FF"/>
            <w:u w:val="single"/>
            <w:rtl/>
          </w:rPr>
          <w:t>"</w:t>
        </w:r>
        <w:r w:rsidR="00683B61" w:rsidRPr="00683B61">
          <w:rPr>
            <w:rFonts w:hint="cs"/>
            <w:color w:val="0000FF"/>
            <w:u w:val="single"/>
            <w:rtl/>
          </w:rPr>
          <w:t>ד</w:t>
        </w:r>
        <w:r w:rsidR="00683B61" w:rsidRPr="00683B61">
          <w:rPr>
            <w:color w:val="0000FF"/>
            <w:u w:val="single"/>
            <w:rtl/>
          </w:rPr>
          <w:t xml:space="preserve"> </w:t>
        </w:r>
        <w:r w:rsidR="00683B61" w:rsidRPr="00683B61">
          <w:rPr>
            <w:rFonts w:hint="cs"/>
            <w:color w:val="0000FF"/>
            <w:u w:val="single"/>
            <w:rtl/>
          </w:rPr>
          <w:t>נז</w:t>
        </w:r>
      </w:hyperlink>
      <w:r w:rsidRPr="00C3753F">
        <w:rPr>
          <w:rFonts w:hint="cs"/>
          <w:rtl/>
        </w:rPr>
        <w:t xml:space="preserve"> (3) 562 (2003); </w:t>
      </w:r>
      <w:r w:rsidRPr="00C3753F">
        <w:rPr>
          <w:rFonts w:hint="cs"/>
          <w:u w:val="single"/>
          <w:rtl/>
        </w:rPr>
        <w:t>ו</w:t>
      </w:r>
      <w:hyperlink r:id="rId75" w:history="1">
        <w:r w:rsidR="00683B61" w:rsidRPr="00683B61">
          <w:rPr>
            <w:rFonts w:hint="cs"/>
            <w:color w:val="0000FF"/>
            <w:u w:val="single"/>
            <w:rtl/>
          </w:rPr>
          <w:t>ע</w:t>
        </w:r>
        <w:r w:rsidR="00683B61" w:rsidRPr="00683B61">
          <w:rPr>
            <w:color w:val="0000FF"/>
            <w:u w:val="single"/>
            <w:rtl/>
          </w:rPr>
          <w:t>"</w:t>
        </w:r>
        <w:r w:rsidR="00683B61" w:rsidRPr="00683B61">
          <w:rPr>
            <w:rFonts w:hint="cs"/>
            <w:color w:val="0000FF"/>
            <w:u w:val="single"/>
            <w:rtl/>
          </w:rPr>
          <w:t>פ</w:t>
        </w:r>
        <w:r w:rsidR="00683B61" w:rsidRPr="00683B61">
          <w:rPr>
            <w:color w:val="0000FF"/>
            <w:u w:val="single"/>
            <w:rtl/>
          </w:rPr>
          <w:t xml:space="preserve"> 597/88 </w:t>
        </w:r>
        <w:r w:rsidR="00683B61" w:rsidRPr="00683B61">
          <w:rPr>
            <w:rFonts w:hint="cs"/>
            <w:color w:val="0000FF"/>
            <w:u w:val="single"/>
            <w:rtl/>
          </w:rPr>
          <w:t>שמעיה</w:t>
        </w:r>
        <w:r w:rsidR="00683B61" w:rsidRPr="00683B61">
          <w:rPr>
            <w:color w:val="0000FF"/>
            <w:u w:val="single"/>
            <w:rtl/>
          </w:rPr>
          <w:t xml:space="preserve"> </w:t>
        </w:r>
        <w:r w:rsidR="00683B61" w:rsidRPr="00683B61">
          <w:rPr>
            <w:rFonts w:hint="cs"/>
            <w:color w:val="0000FF"/>
            <w:u w:val="single"/>
            <w:rtl/>
          </w:rPr>
          <w:t>אנג</w:t>
        </w:r>
        <w:r w:rsidR="00683B61" w:rsidRPr="00683B61">
          <w:rPr>
            <w:color w:val="0000FF"/>
            <w:u w:val="single"/>
            <w:rtl/>
          </w:rPr>
          <w:t>'</w:t>
        </w:r>
        <w:r w:rsidR="00683B61" w:rsidRPr="00683B61">
          <w:rPr>
            <w:rFonts w:hint="cs"/>
            <w:color w:val="0000FF"/>
            <w:u w:val="single"/>
            <w:rtl/>
          </w:rPr>
          <w:t>ל</w:t>
        </w:r>
        <w:r w:rsidR="00683B61" w:rsidRPr="00683B61">
          <w:rPr>
            <w:color w:val="0000FF"/>
            <w:u w:val="single"/>
            <w:rtl/>
          </w:rPr>
          <w:t xml:space="preserve"> </w:t>
        </w:r>
        <w:r w:rsidR="00683B61" w:rsidRPr="00683B61">
          <w:rPr>
            <w:rFonts w:hint="cs"/>
            <w:color w:val="0000FF"/>
            <w:u w:val="single"/>
            <w:rtl/>
          </w:rPr>
          <w:t>נ</w:t>
        </w:r>
        <w:r w:rsidR="00683B61" w:rsidRPr="00683B61">
          <w:rPr>
            <w:color w:val="0000FF"/>
            <w:u w:val="single"/>
            <w:rtl/>
          </w:rPr>
          <w:t xml:space="preserve">' </w:t>
        </w:r>
        <w:r w:rsidR="00683B61" w:rsidRPr="00683B61">
          <w:rPr>
            <w:rFonts w:hint="cs"/>
            <w:color w:val="0000FF"/>
            <w:u w:val="single"/>
            <w:rtl/>
          </w:rPr>
          <w:t>מדינת</w:t>
        </w:r>
        <w:r w:rsidR="00683B61" w:rsidRPr="00683B61">
          <w:rPr>
            <w:color w:val="0000FF"/>
            <w:u w:val="single"/>
            <w:rtl/>
          </w:rPr>
          <w:t xml:space="preserve"> </w:t>
        </w:r>
        <w:r w:rsidR="00683B61" w:rsidRPr="00683B61">
          <w:rPr>
            <w:rFonts w:hint="cs"/>
            <w:color w:val="0000FF"/>
            <w:u w:val="single"/>
            <w:rtl/>
          </w:rPr>
          <w:t>ישראל</w:t>
        </w:r>
        <w:r w:rsidR="00683B61" w:rsidRPr="00683B61">
          <w:rPr>
            <w:color w:val="0000FF"/>
            <w:u w:val="single"/>
            <w:rtl/>
          </w:rPr>
          <w:t xml:space="preserve">, </w:t>
        </w:r>
        <w:r w:rsidR="00683B61" w:rsidRPr="00683B61">
          <w:rPr>
            <w:rFonts w:hint="cs"/>
            <w:color w:val="0000FF"/>
            <w:u w:val="single"/>
            <w:rtl/>
          </w:rPr>
          <w:t>פ</w:t>
        </w:r>
        <w:r w:rsidR="00683B61" w:rsidRPr="00683B61">
          <w:rPr>
            <w:color w:val="0000FF"/>
            <w:u w:val="single"/>
            <w:rtl/>
          </w:rPr>
          <w:t>"</w:t>
        </w:r>
        <w:r w:rsidR="00683B61" w:rsidRPr="00683B61">
          <w:rPr>
            <w:rFonts w:hint="cs"/>
            <w:color w:val="0000FF"/>
            <w:u w:val="single"/>
            <w:rtl/>
          </w:rPr>
          <w:t>ד</w:t>
        </w:r>
        <w:r w:rsidR="00683B61" w:rsidRPr="00683B61">
          <w:rPr>
            <w:color w:val="0000FF"/>
            <w:u w:val="single"/>
            <w:rtl/>
          </w:rPr>
          <w:t xml:space="preserve"> </w:t>
        </w:r>
        <w:r w:rsidR="00683B61" w:rsidRPr="00683B61">
          <w:rPr>
            <w:rFonts w:hint="cs"/>
            <w:color w:val="0000FF"/>
            <w:u w:val="single"/>
            <w:rtl/>
          </w:rPr>
          <w:t>מו</w:t>
        </w:r>
      </w:hyperlink>
      <w:r w:rsidRPr="00C3753F">
        <w:rPr>
          <w:rFonts w:hint="cs"/>
          <w:rtl/>
        </w:rPr>
        <w:t xml:space="preserve"> (5) 221 (1992)).</w:t>
      </w:r>
    </w:p>
    <w:p w14:paraId="3B17AC51" w14:textId="77777777" w:rsidR="008C1BAA" w:rsidRPr="00C3753F" w:rsidRDefault="008C1BAA" w:rsidP="008C1BAA">
      <w:pPr>
        <w:pStyle w:val="ListParagraph"/>
        <w:numPr>
          <w:ilvl w:val="0"/>
          <w:numId w:val="2"/>
        </w:numPr>
        <w:ind w:left="-58"/>
        <w:rPr>
          <w:rtl/>
        </w:rPr>
      </w:pPr>
      <w:r w:rsidRPr="00C3753F">
        <w:rPr>
          <w:rFonts w:hint="cs"/>
          <w:rtl/>
        </w:rPr>
        <w:t>ומן התם אל הכא, במקרה הנדון הנאשם מרצה עונש מאסר בגין הרשעתו בעבירות שונות שבוצעו בניגוד ל</w:t>
      </w:r>
      <w:hyperlink r:id="rId76" w:history="1">
        <w:r w:rsidR="00683B61" w:rsidRPr="00683B61">
          <w:rPr>
            <w:rFonts w:hint="cs"/>
            <w:color w:val="0000FF"/>
            <w:u w:val="single"/>
            <w:rtl/>
          </w:rPr>
          <w:t>פקודת</w:t>
        </w:r>
        <w:r w:rsidR="00683B61" w:rsidRPr="00683B61">
          <w:rPr>
            <w:color w:val="0000FF"/>
            <w:u w:val="single"/>
            <w:rtl/>
          </w:rPr>
          <w:t xml:space="preserve"> </w:t>
        </w:r>
        <w:r w:rsidR="00683B61" w:rsidRPr="00683B61">
          <w:rPr>
            <w:rFonts w:hint="cs"/>
            <w:color w:val="0000FF"/>
            <w:u w:val="single"/>
            <w:rtl/>
          </w:rPr>
          <w:t>הסמים</w:t>
        </w:r>
        <w:r w:rsidR="00683B61" w:rsidRPr="00683B61">
          <w:rPr>
            <w:color w:val="0000FF"/>
            <w:u w:val="single"/>
            <w:rtl/>
          </w:rPr>
          <w:t xml:space="preserve"> </w:t>
        </w:r>
        <w:r w:rsidR="00683B61" w:rsidRPr="00683B61">
          <w:rPr>
            <w:rFonts w:hint="cs"/>
            <w:color w:val="0000FF"/>
            <w:u w:val="single"/>
            <w:rtl/>
          </w:rPr>
          <w:t>המסוכנים</w:t>
        </w:r>
      </w:hyperlink>
      <w:r w:rsidRPr="00C3753F">
        <w:rPr>
          <w:rFonts w:hint="cs"/>
          <w:rtl/>
        </w:rPr>
        <w:t xml:space="preserve"> [נוסח חדש], התשל"ג-1973, ושנעדרות כל זיקה לעבירות שבגינן הוא נותן את הדין היום. בנוסף לאלה, אף נתתי דעתי לכך שהעונש שיושת על הנאשם בתיק זה, בהתאם להגבלתה העונשית של המאשימה את עצמה, הינו מקל במידת מה. מנגד, ייאמר כי אמנם הנאשם ביצע מעשים שבוודאי יש להוקיע, אולם עדיין, אין עסקינן בעבירות שהן מהחמורות ב</w:t>
      </w:r>
      <w:hyperlink r:id="rId77" w:history="1">
        <w:r w:rsidR="00683B61" w:rsidRPr="00683B61">
          <w:rPr>
            <w:rFonts w:hint="cs"/>
            <w:color w:val="0000FF"/>
            <w:u w:val="single"/>
            <w:rtl/>
          </w:rPr>
          <w:t>חוק</w:t>
        </w:r>
        <w:r w:rsidR="00683B61" w:rsidRPr="00683B61">
          <w:rPr>
            <w:color w:val="0000FF"/>
            <w:u w:val="single"/>
            <w:rtl/>
          </w:rPr>
          <w:t xml:space="preserve"> </w:t>
        </w:r>
        <w:r w:rsidR="00683B61" w:rsidRPr="00683B61">
          <w:rPr>
            <w:rFonts w:hint="cs"/>
            <w:color w:val="0000FF"/>
            <w:u w:val="single"/>
            <w:rtl/>
          </w:rPr>
          <w:t>העונשין</w:t>
        </w:r>
      </w:hyperlink>
      <w:r w:rsidRPr="00C3753F">
        <w:rPr>
          <w:rFonts w:hint="cs"/>
          <w:rtl/>
        </w:rPr>
        <w:t xml:space="preserve"> או כאלה שלוו באכזריות, מה שעלול היה לחייב תגובה מחמירה ומיצוי הדין עד תום. </w:t>
      </w:r>
    </w:p>
    <w:p w14:paraId="163A83C2" w14:textId="77777777" w:rsidR="008C1BAA" w:rsidRPr="00C3753F" w:rsidRDefault="008C1BAA" w:rsidP="008C1BAA">
      <w:pPr>
        <w:pStyle w:val="ListParagraph"/>
        <w:ind w:left="-58" w:firstLine="0"/>
      </w:pPr>
      <w:r w:rsidRPr="00C3753F">
        <w:rPr>
          <w:rFonts w:hint="cs"/>
          <w:rtl/>
        </w:rPr>
        <w:t xml:space="preserve">אשר על כן, באיזון הראוי בין השיקולים שלעיל, ומשמצאתי לנקוט עם הנאשם ולו במעט ממידת החסד, אורה על חפיפה חלקית בין עונש המאסר שיושת עליו בתיק זה לבין עונש המאסר שאותו הוא מרצה כעת. </w:t>
      </w:r>
    </w:p>
    <w:p w14:paraId="5DDD6545" w14:textId="77777777" w:rsidR="008C1BAA" w:rsidRPr="00C3753F" w:rsidRDefault="008C1BAA" w:rsidP="008C1BAA">
      <w:pPr>
        <w:pStyle w:val="ListParagraph"/>
        <w:numPr>
          <w:ilvl w:val="0"/>
          <w:numId w:val="2"/>
        </w:numPr>
        <w:ind w:left="-58"/>
      </w:pPr>
      <w:r w:rsidRPr="00C3753F">
        <w:rPr>
          <w:rFonts w:hint="cs"/>
          <w:rtl/>
        </w:rPr>
        <w:t>עוד ובטרם חתימת גזר הדין, אציין כי עם הצגת הסדר הטיעון נ</w:t>
      </w:r>
      <w:r w:rsidRPr="00C3753F">
        <w:rPr>
          <w:rFonts w:ascii="David" w:hAnsi="David" w:hint="cs"/>
          <w:rtl/>
        </w:rPr>
        <w:t>ָ</w:t>
      </w:r>
      <w:r w:rsidRPr="00C3753F">
        <w:rPr>
          <w:rFonts w:hint="cs"/>
          <w:rtl/>
        </w:rPr>
        <w:t>ק</w:t>
      </w:r>
      <w:r w:rsidRPr="00C3753F">
        <w:rPr>
          <w:rFonts w:ascii="David" w:hAnsi="David" w:hint="cs"/>
          <w:rtl/>
        </w:rPr>
        <w:t>ְ</w:t>
      </w:r>
      <w:r w:rsidRPr="00C3753F">
        <w:rPr>
          <w:rFonts w:hint="cs"/>
          <w:rtl/>
        </w:rPr>
        <w:t>ב</w:t>
      </w:r>
      <w:r w:rsidRPr="00C3753F">
        <w:rPr>
          <w:rFonts w:ascii="David" w:hAnsi="David" w:hint="cs"/>
          <w:rtl/>
        </w:rPr>
        <w:t>ָ</w:t>
      </w:r>
      <w:r w:rsidRPr="00C3753F">
        <w:rPr>
          <w:rFonts w:hint="cs"/>
          <w:rtl/>
        </w:rPr>
        <w:t>ה המאשימה בכל רכיבי הענישה שהיא תבקש להשית על הנאשם בסופו של ההליך, ובין רכיבים אלה לא צוין כל פיצוי שהוא. אולם, בסופם של הטיעונים לעונש, המאשימה ביקשה גם ביקשה להשית רכיב זה, ואילו ההגנה לא הפנתה ולא טענה כי יש בכך משום חריגה מהסדר הטיעון. אשר על כן, ובשים לב גם לרקע שעמד מאחורי ביצוע העבירות, אשית על הנאשם פיצוי מתון וסמלי בלבד.</w:t>
      </w:r>
    </w:p>
    <w:p w14:paraId="1182DFF6" w14:textId="77777777" w:rsidR="008C1BAA" w:rsidRPr="00C3753F" w:rsidRDefault="008C1BAA" w:rsidP="008C1BAA">
      <w:pPr>
        <w:pStyle w:val="ListParagraph"/>
        <w:ind w:left="-58" w:firstLine="0"/>
      </w:pPr>
      <w:r w:rsidRPr="00C3753F">
        <w:t xml:space="preserve"> </w:t>
      </w:r>
      <w:r w:rsidRPr="00C3753F">
        <w:rPr>
          <w:rFonts w:eastAsia="Times New Roman" w:hint="cs"/>
          <w:b/>
          <w:bCs/>
          <w:rtl/>
        </w:rPr>
        <w:t xml:space="preserve">לאור כל האמור לעיל, אני </w:t>
      </w:r>
      <w:r w:rsidRPr="00C3753F">
        <w:rPr>
          <w:rFonts w:hint="cs"/>
          <w:b/>
          <w:bCs/>
          <w:rtl/>
        </w:rPr>
        <w:t>גוזרת על הנאשם את העונשים הבאים:</w:t>
      </w:r>
    </w:p>
    <w:p w14:paraId="64D69650" w14:textId="77777777" w:rsidR="008C1BAA" w:rsidRPr="00C3753F" w:rsidRDefault="008C1BAA" w:rsidP="008C1BAA">
      <w:pPr>
        <w:pStyle w:val="ListParagraph"/>
        <w:numPr>
          <w:ilvl w:val="0"/>
          <w:numId w:val="4"/>
        </w:numPr>
        <w:ind w:left="368"/>
        <w:rPr>
          <w:b/>
          <w:bCs/>
        </w:rPr>
      </w:pPr>
      <w:r w:rsidRPr="00C3753F">
        <w:rPr>
          <w:rFonts w:hint="cs"/>
          <w:b/>
          <w:bCs/>
          <w:rtl/>
        </w:rPr>
        <w:t xml:space="preserve">מאסר </w:t>
      </w:r>
      <w:r>
        <w:rPr>
          <w:rFonts w:hint="cs"/>
          <w:b/>
          <w:bCs/>
          <w:rtl/>
        </w:rPr>
        <w:t xml:space="preserve">בפועל </w:t>
      </w:r>
      <w:r w:rsidRPr="00C3753F">
        <w:rPr>
          <w:rFonts w:hint="cs"/>
          <w:b/>
          <w:bCs/>
          <w:rtl/>
        </w:rPr>
        <w:t>למשך 8 חודשים.</w:t>
      </w:r>
    </w:p>
    <w:p w14:paraId="175172E0" w14:textId="77777777" w:rsidR="008C1BAA" w:rsidRPr="00C3753F" w:rsidRDefault="008C1BAA" w:rsidP="008C1BAA">
      <w:pPr>
        <w:pStyle w:val="ListParagraph"/>
        <w:ind w:left="368" w:firstLine="0"/>
        <w:rPr>
          <w:b/>
          <w:bCs/>
        </w:rPr>
      </w:pPr>
      <w:r w:rsidRPr="00C3753F">
        <w:rPr>
          <w:rFonts w:hint="cs"/>
          <w:b/>
          <w:bCs/>
          <w:rtl/>
        </w:rPr>
        <w:t xml:space="preserve">חמישה חודשים מעונש המאסר שהושת לעיל ירוצו במצטבר לעונש המאסר שאותו מרצה הנאשם כיום – </w:t>
      </w:r>
      <w:r w:rsidRPr="00C3753F">
        <w:rPr>
          <w:rFonts w:hint="cs"/>
          <w:b/>
          <w:bCs/>
          <w:u w:val="single"/>
          <w:rtl/>
        </w:rPr>
        <w:t>וזאת בניכוי ימי מעצרו בתיק זה</w:t>
      </w:r>
      <w:r w:rsidRPr="00C3753F">
        <w:rPr>
          <w:rFonts w:hint="cs"/>
          <w:b/>
          <w:bCs/>
          <w:rtl/>
        </w:rPr>
        <w:t>, ואילו היתרה תרוצה בחופף.</w:t>
      </w:r>
    </w:p>
    <w:p w14:paraId="2AB0BFDC" w14:textId="77777777" w:rsidR="008C1BAA" w:rsidRPr="00C3753F" w:rsidRDefault="008C1BAA" w:rsidP="008C1BAA">
      <w:pPr>
        <w:pStyle w:val="ListParagraph"/>
        <w:numPr>
          <w:ilvl w:val="0"/>
          <w:numId w:val="5"/>
        </w:numPr>
        <w:ind w:left="368"/>
        <w:rPr>
          <w:b/>
          <w:bCs/>
        </w:rPr>
      </w:pPr>
      <w:r w:rsidRPr="00C3753F">
        <w:rPr>
          <w:rFonts w:hint="cs"/>
          <w:b/>
          <w:bCs/>
          <w:rtl/>
        </w:rPr>
        <w:t>מאסר מותנה למשך 8 חודשים, אשר יופעל אם תוך תקופה של 3 שנים מיום שחרורו הנאשם יעבור עבירה של דרישת נכס באיומים.</w:t>
      </w:r>
    </w:p>
    <w:p w14:paraId="59BD3582" w14:textId="77777777" w:rsidR="008C1BAA" w:rsidRPr="00C3753F" w:rsidRDefault="008C1BAA" w:rsidP="008C1BAA">
      <w:pPr>
        <w:pStyle w:val="ListParagraph"/>
        <w:numPr>
          <w:ilvl w:val="0"/>
          <w:numId w:val="5"/>
        </w:numPr>
        <w:ind w:left="368"/>
        <w:rPr>
          <w:b/>
          <w:bCs/>
        </w:rPr>
      </w:pPr>
      <w:r w:rsidRPr="00C3753F">
        <w:rPr>
          <w:rFonts w:hint="cs"/>
          <w:b/>
          <w:bCs/>
          <w:rtl/>
        </w:rPr>
        <w:t>מאסר מותנה למשך 4 חודשים, אשר יופעל אם תוך תקופה של 3 שנים מיום שחרורו הנאשם יעבור עבירה של הטרדה באמצעות מתקן בזק.</w:t>
      </w:r>
    </w:p>
    <w:p w14:paraId="4ABAAD38" w14:textId="77777777" w:rsidR="008C1BAA" w:rsidRPr="00C3753F" w:rsidRDefault="008C1BAA" w:rsidP="008C1BAA">
      <w:pPr>
        <w:pStyle w:val="ListParagraph"/>
        <w:numPr>
          <w:ilvl w:val="0"/>
          <w:numId w:val="5"/>
        </w:numPr>
        <w:ind w:left="368"/>
      </w:pPr>
      <w:r w:rsidRPr="00C3753F">
        <w:rPr>
          <w:rFonts w:hint="cs"/>
          <w:b/>
          <w:bCs/>
          <w:rtl/>
        </w:rPr>
        <w:t>פיצוי בסך 300 ₪ לכל אחד מעדי התביעה 1 ו- 2</w:t>
      </w:r>
      <w:r w:rsidRPr="00C3753F">
        <w:rPr>
          <w:rFonts w:hint="cs"/>
          <w:rtl/>
        </w:rPr>
        <w:t>.</w:t>
      </w:r>
    </w:p>
    <w:p w14:paraId="769413E2" w14:textId="77777777" w:rsidR="008C1BAA" w:rsidRPr="00C3753F" w:rsidRDefault="008C1BAA" w:rsidP="008C1BAA">
      <w:pPr>
        <w:pStyle w:val="ListParagraph"/>
        <w:ind w:left="368" w:firstLine="0"/>
      </w:pPr>
      <w:r w:rsidRPr="00C3753F">
        <w:rPr>
          <w:rFonts w:hint="cs"/>
          <w:rtl/>
        </w:rPr>
        <w:t>הפיצוי ישולם ב</w:t>
      </w:r>
      <w:r>
        <w:rPr>
          <w:rFonts w:hint="cs"/>
          <w:rtl/>
        </w:rPr>
        <w:t>- 2</w:t>
      </w:r>
      <w:r w:rsidRPr="00C3753F">
        <w:rPr>
          <w:rFonts w:hint="cs"/>
          <w:rtl/>
        </w:rPr>
        <w:t xml:space="preserve"> שיעורים שווים ו</w:t>
      </w:r>
      <w:r>
        <w:rPr>
          <w:rFonts w:hint="cs"/>
          <w:rtl/>
        </w:rPr>
        <w:t xml:space="preserve">רצופים, שהראשון שבהם בתוך 60 יום מיום שחרורו של הנאשם ממאסר. </w:t>
      </w:r>
    </w:p>
    <w:p w14:paraId="29CBBD70" w14:textId="77777777" w:rsidR="008C1BAA" w:rsidRPr="00C3753F" w:rsidRDefault="008C1BAA" w:rsidP="008C1BAA">
      <w:pPr>
        <w:pStyle w:val="ListParagraph"/>
        <w:ind w:left="368" w:firstLine="0"/>
      </w:pPr>
      <w:r w:rsidRPr="00C3753F">
        <w:rPr>
          <w:rFonts w:hint="cs"/>
          <w:rtl/>
        </w:rPr>
        <w:t>מצ"ב טפסי פרטי ניזוק.</w:t>
      </w:r>
    </w:p>
    <w:p w14:paraId="082F40BE" w14:textId="77777777" w:rsidR="008C1BAA" w:rsidRPr="00C3753F" w:rsidRDefault="008C1BAA" w:rsidP="008C1BAA">
      <w:pPr>
        <w:pStyle w:val="ListParagraph"/>
        <w:ind w:left="368" w:firstLine="0"/>
        <w:rPr>
          <w:b/>
          <w:bCs/>
          <w:u w:val="single"/>
          <w:rtl/>
        </w:rPr>
      </w:pPr>
      <w:r w:rsidRPr="00C3753F">
        <w:rPr>
          <w:rFonts w:hint="cs"/>
          <w:b/>
          <w:bCs/>
          <w:u w:val="single"/>
          <w:rtl/>
        </w:rPr>
        <w:t>כל סכום שייגבה בתיק, ייזקף תחילה על חשבון הפיצוי.</w:t>
      </w:r>
    </w:p>
    <w:p w14:paraId="17D35E57" w14:textId="77777777" w:rsidR="008C1BAA" w:rsidRPr="00C3753F" w:rsidRDefault="008C1BAA" w:rsidP="008C1BAA">
      <w:pPr>
        <w:pStyle w:val="ListParagraph"/>
        <w:numPr>
          <w:ilvl w:val="0"/>
          <w:numId w:val="5"/>
        </w:numPr>
        <w:ind w:left="368"/>
      </w:pPr>
      <w:r w:rsidRPr="00C3753F">
        <w:rPr>
          <w:rFonts w:hint="cs"/>
          <w:b/>
          <w:bCs/>
          <w:rtl/>
        </w:rPr>
        <w:t>קנס בסך</w:t>
      </w:r>
      <w:r>
        <w:rPr>
          <w:rFonts w:hint="cs"/>
          <w:b/>
          <w:bCs/>
          <w:rtl/>
        </w:rPr>
        <w:t xml:space="preserve"> </w:t>
      </w:r>
      <w:r w:rsidRPr="00C3753F">
        <w:rPr>
          <w:rFonts w:hint="cs"/>
          <w:b/>
          <w:bCs/>
          <w:rtl/>
        </w:rPr>
        <w:t>1,000 ₪ או 10 ימי מאסר תמורתו</w:t>
      </w:r>
      <w:r w:rsidRPr="00C3753F">
        <w:rPr>
          <w:rFonts w:hint="cs"/>
          <w:rtl/>
        </w:rPr>
        <w:t>.</w:t>
      </w:r>
    </w:p>
    <w:p w14:paraId="22D6F49E" w14:textId="77777777" w:rsidR="008C1BAA" w:rsidRPr="00C3753F" w:rsidRDefault="008C1BAA" w:rsidP="008C1BAA">
      <w:pPr>
        <w:pStyle w:val="ListParagraph"/>
        <w:ind w:left="368" w:firstLine="0"/>
      </w:pPr>
      <w:r w:rsidRPr="00C3753F">
        <w:rPr>
          <w:rFonts w:hint="cs"/>
          <w:rtl/>
        </w:rPr>
        <w:t>הקנס ישולם ב</w:t>
      </w:r>
      <w:r>
        <w:rPr>
          <w:rFonts w:hint="cs"/>
          <w:rtl/>
        </w:rPr>
        <w:t xml:space="preserve">- 2 </w:t>
      </w:r>
      <w:r w:rsidRPr="00C3753F">
        <w:rPr>
          <w:rFonts w:hint="cs"/>
          <w:rtl/>
        </w:rPr>
        <w:t>שיעורים שווים ו</w:t>
      </w:r>
      <w:r>
        <w:rPr>
          <w:rFonts w:hint="cs"/>
          <w:rtl/>
        </w:rPr>
        <w:t xml:space="preserve">רצופים, שהראשון שבהם בתוך 120 יום מיום שחרורו של הנאשם ממאסר. </w:t>
      </w:r>
    </w:p>
    <w:p w14:paraId="2B73100A" w14:textId="77777777" w:rsidR="008C1BAA" w:rsidRPr="00C3753F" w:rsidRDefault="008C1BAA" w:rsidP="008C1BAA">
      <w:pPr>
        <w:pStyle w:val="ListParagraph"/>
        <w:numPr>
          <w:ilvl w:val="0"/>
          <w:numId w:val="5"/>
        </w:numPr>
        <w:ind w:left="368"/>
        <w:rPr>
          <w:rtl/>
        </w:rPr>
      </w:pPr>
      <w:r w:rsidRPr="00C3753F">
        <w:rPr>
          <w:rFonts w:eastAsia="Times New Roman" w:hint="cs"/>
          <w:b/>
          <w:bCs/>
          <w:rtl/>
        </w:rPr>
        <w:t xml:space="preserve">הנאשם יחתום על התחייבות כספית על סך 10,000 ₪ שלא לעבור על העבירות שבהן הורשע, וזאת לתקופה של שלוש שנים מיום שחרורו. </w:t>
      </w:r>
    </w:p>
    <w:p w14:paraId="783B23C6" w14:textId="77777777" w:rsidR="008C1BAA" w:rsidRPr="00C3753F" w:rsidRDefault="008C1BAA" w:rsidP="008C1BAA">
      <w:pPr>
        <w:pStyle w:val="ListParagraph"/>
        <w:ind w:left="368" w:firstLine="0"/>
      </w:pPr>
      <w:r w:rsidRPr="00C3753F">
        <w:rPr>
          <w:rFonts w:eastAsia="Times New Roman" w:hint="cs"/>
          <w:rtl/>
        </w:rPr>
        <w:t>אם לא תיחתם ההתחייבות תוך 7 ימים, ייאסר הנאשם למשך 10 ימים</w:t>
      </w:r>
      <w:r w:rsidRPr="00C3753F">
        <w:rPr>
          <w:rFonts w:hint="cs"/>
          <w:rtl/>
        </w:rPr>
        <w:t>.</w:t>
      </w:r>
    </w:p>
    <w:p w14:paraId="0FD86276" w14:textId="77777777" w:rsidR="008C1BAA" w:rsidRPr="00683B61" w:rsidRDefault="00683B61" w:rsidP="008C1BAA">
      <w:pPr>
        <w:spacing w:line="360" w:lineRule="auto"/>
        <w:rPr>
          <w:b/>
          <w:bCs/>
          <w:color w:val="FFFFFF"/>
          <w:sz w:val="2"/>
          <w:szCs w:val="2"/>
          <w:rtl/>
        </w:rPr>
      </w:pPr>
      <w:r w:rsidRPr="00683B61">
        <w:rPr>
          <w:b/>
          <w:bCs/>
          <w:color w:val="FFFFFF"/>
          <w:sz w:val="2"/>
          <w:szCs w:val="2"/>
          <w:rtl/>
        </w:rPr>
        <w:t>5129371</w:t>
      </w:r>
    </w:p>
    <w:p w14:paraId="7B460255" w14:textId="77777777" w:rsidR="008C1BAA" w:rsidRPr="00C3753F" w:rsidRDefault="00683B61" w:rsidP="008C1BAA">
      <w:pPr>
        <w:spacing w:line="360" w:lineRule="auto"/>
        <w:rPr>
          <w:sz w:val="28"/>
          <w:szCs w:val="28"/>
        </w:rPr>
      </w:pPr>
      <w:r w:rsidRPr="00683B61">
        <w:rPr>
          <w:b/>
          <w:bCs/>
          <w:color w:val="FFFFFF"/>
          <w:sz w:val="2"/>
          <w:szCs w:val="2"/>
          <w:rtl/>
        </w:rPr>
        <w:t>54678313</w:t>
      </w:r>
      <w:r w:rsidR="008C1BAA" w:rsidRPr="00C3753F">
        <w:rPr>
          <w:rFonts w:hint="cs"/>
          <w:b/>
          <w:bCs/>
          <w:sz w:val="28"/>
          <w:szCs w:val="28"/>
          <w:rtl/>
        </w:rPr>
        <w:t>זכות ערעור כחוק</w:t>
      </w:r>
      <w:r w:rsidR="008C1BAA" w:rsidRPr="00C3753F">
        <w:rPr>
          <w:rFonts w:hint="cs"/>
          <w:sz w:val="28"/>
          <w:szCs w:val="28"/>
          <w:rtl/>
        </w:rPr>
        <w:t>.</w:t>
      </w:r>
    </w:p>
    <w:p w14:paraId="47D4834B" w14:textId="77777777" w:rsidR="008C1BAA" w:rsidRPr="00C3753F" w:rsidRDefault="008C1BAA" w:rsidP="008C1BAA">
      <w:pPr>
        <w:spacing w:line="360" w:lineRule="auto"/>
        <w:rPr>
          <w:rtl/>
        </w:rPr>
      </w:pPr>
    </w:p>
    <w:p w14:paraId="3EBDBD5F" w14:textId="77777777" w:rsidR="008C1BAA" w:rsidRPr="00C3753F" w:rsidRDefault="00683B61" w:rsidP="008C1BAA">
      <w:pPr>
        <w:spacing w:line="360" w:lineRule="auto"/>
        <w:jc w:val="both"/>
        <w:rPr>
          <w:rFonts w:ascii="Arial" w:hAnsi="Arial"/>
          <w:noProof w:val="0"/>
          <w:rtl/>
        </w:rPr>
      </w:pPr>
      <w:r>
        <w:rPr>
          <w:rFonts w:ascii="Arial" w:hAnsi="Arial"/>
          <w:b/>
          <w:bCs/>
          <w:noProof w:val="0"/>
          <w:rtl/>
        </w:rPr>
        <w:t xml:space="preserve">ניתן והודע היום, י' טבת תשע"ח, 28 דצמבר 2017, במעמד הצדדים. </w:t>
      </w:r>
    </w:p>
    <w:p w14:paraId="1016B949" w14:textId="77777777" w:rsidR="00683B61" w:rsidRDefault="00683B61" w:rsidP="00683B61">
      <w:pPr>
        <w:rPr>
          <w:rtl/>
        </w:rPr>
      </w:pPr>
    </w:p>
    <w:p w14:paraId="52CEDBD7" w14:textId="77777777" w:rsidR="00683B61" w:rsidRDefault="00683B61" w:rsidP="00683B61">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p>
    <w:p w14:paraId="64D4BB64" w14:textId="77777777" w:rsidR="00150335" w:rsidRPr="00150335" w:rsidRDefault="00150335" w:rsidP="00150335">
      <w:pPr>
        <w:keepNext/>
        <w:rPr>
          <w:rFonts w:ascii="David" w:hAnsi="David" w:hint="cs"/>
          <w:color w:val="000000"/>
          <w:sz w:val="22"/>
          <w:szCs w:val="22"/>
          <w:rtl/>
        </w:rPr>
      </w:pPr>
    </w:p>
    <w:p w14:paraId="5025E7EF" w14:textId="77777777" w:rsidR="00150335" w:rsidRPr="00150335" w:rsidRDefault="00150335" w:rsidP="00150335">
      <w:pPr>
        <w:keepNext/>
        <w:rPr>
          <w:rFonts w:ascii="David" w:hAnsi="David"/>
          <w:color w:val="000000"/>
          <w:sz w:val="22"/>
          <w:szCs w:val="22"/>
          <w:rtl/>
        </w:rPr>
      </w:pPr>
      <w:r w:rsidRPr="00150335">
        <w:rPr>
          <w:rFonts w:ascii="David" w:hAnsi="David"/>
          <w:color w:val="000000"/>
          <w:sz w:val="22"/>
          <w:szCs w:val="22"/>
          <w:rtl/>
        </w:rPr>
        <w:t>נגה שמואלי מאייר 54678313-/</w:t>
      </w:r>
    </w:p>
    <w:p w14:paraId="593F9849" w14:textId="77777777" w:rsidR="00683B61" w:rsidRDefault="00150335" w:rsidP="00150335">
      <w:pPr>
        <w:rPr>
          <w:rFonts w:hint="cs"/>
          <w:color w:val="0000FF"/>
          <w:u w:val="single"/>
          <w:rtl/>
        </w:rPr>
      </w:pPr>
      <w:r w:rsidRPr="00150335">
        <w:rPr>
          <w:color w:val="000000"/>
          <w:u w:val="single"/>
          <w:rtl/>
        </w:rPr>
        <w:t>נוסח מסמך זה כפוף לשינויי ניסוח ועריכה</w:t>
      </w:r>
    </w:p>
    <w:p w14:paraId="77C207E6" w14:textId="77777777" w:rsidR="008B5949" w:rsidRPr="00683B61" w:rsidRDefault="008B5949" w:rsidP="00150335">
      <w:pPr>
        <w:rPr>
          <w:rFonts w:hint="cs"/>
          <w:color w:val="0000FF"/>
          <w:u w:val="single"/>
        </w:rPr>
      </w:pPr>
    </w:p>
    <w:sectPr w:rsidR="008B5949" w:rsidRPr="00683B61" w:rsidSect="00150335">
      <w:headerReference w:type="even" r:id="rId79"/>
      <w:headerReference w:type="default" r:id="rId80"/>
      <w:footerReference w:type="even" r:id="rId81"/>
      <w:footerReference w:type="default" r:id="rId8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E6E9C" w14:textId="77777777" w:rsidR="000650D6" w:rsidRDefault="000650D6" w:rsidP="000E6F08">
      <w:r>
        <w:separator/>
      </w:r>
    </w:p>
  </w:endnote>
  <w:endnote w:type="continuationSeparator" w:id="0">
    <w:p w14:paraId="6375076A" w14:textId="77777777" w:rsidR="000650D6" w:rsidRDefault="000650D6" w:rsidP="000E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87A8B" w14:textId="77777777" w:rsidR="001C32A8" w:rsidRDefault="001C32A8" w:rsidP="001503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ED2293F" w14:textId="77777777" w:rsidR="001C32A8" w:rsidRPr="00150335" w:rsidRDefault="001C32A8" w:rsidP="00150335">
    <w:pPr>
      <w:pStyle w:val="a5"/>
      <w:pBdr>
        <w:top w:val="single" w:sz="4" w:space="1" w:color="auto"/>
        <w:between w:val="single" w:sz="4" w:space="0" w:color="auto"/>
      </w:pBdr>
      <w:spacing w:after="60"/>
      <w:jc w:val="center"/>
      <w:rPr>
        <w:rFonts w:ascii="FrankRuehl" w:hAnsi="FrankRuehl" w:cs="FrankRuehl"/>
        <w:color w:val="000000"/>
      </w:rPr>
    </w:pPr>
    <w:r w:rsidRPr="001503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10692" w14:textId="77777777" w:rsidR="001C32A8" w:rsidRDefault="001C32A8" w:rsidP="00150335">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6596B">
      <w:rPr>
        <w:rStyle w:val="a8"/>
        <w:rFonts w:ascii="FrankRuehl" w:hAnsi="FrankRuehl" w:cs="FrankRuehl"/>
        <w:rtl/>
      </w:rPr>
      <w:t>1</w:t>
    </w:r>
    <w:r>
      <w:rPr>
        <w:rStyle w:val="a8"/>
        <w:rFonts w:ascii="FrankRuehl" w:hAnsi="FrankRuehl" w:cs="FrankRuehl"/>
        <w:rtl/>
      </w:rPr>
      <w:fldChar w:fldCharType="end"/>
    </w:r>
  </w:p>
  <w:p w14:paraId="6675E5E1" w14:textId="77777777" w:rsidR="001C32A8" w:rsidRPr="00150335" w:rsidRDefault="001C32A8" w:rsidP="00150335">
    <w:pPr>
      <w:pStyle w:val="a5"/>
      <w:pBdr>
        <w:top w:val="single" w:sz="4" w:space="1" w:color="auto"/>
        <w:between w:val="single" w:sz="4" w:space="0" w:color="auto"/>
      </w:pBdr>
      <w:spacing w:after="60"/>
      <w:jc w:val="center"/>
      <w:rPr>
        <w:rStyle w:val="a8"/>
        <w:rFonts w:ascii="FrankRuehl" w:hAnsi="FrankRuehl" w:cs="FrankRuehl" w:hint="cs"/>
        <w:color w:val="000000"/>
      </w:rPr>
    </w:pPr>
    <w:r w:rsidRPr="00150335">
      <w:rPr>
        <w:rStyle w:val="a8"/>
        <w:rFonts w:ascii="FrankRuehl" w:hAnsi="FrankRuehl" w:cs="FrankRuehl" w:hint="cs"/>
        <w:color w:val="000000"/>
      </w:rPr>
      <w:pict w14:anchorId="6DF10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4EF05" w14:textId="77777777" w:rsidR="000650D6" w:rsidRDefault="000650D6" w:rsidP="000E6F08">
      <w:r>
        <w:separator/>
      </w:r>
    </w:p>
  </w:footnote>
  <w:footnote w:type="continuationSeparator" w:id="0">
    <w:p w14:paraId="78A9811C" w14:textId="77777777" w:rsidR="000650D6" w:rsidRDefault="000650D6" w:rsidP="000E6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26B4C" w14:textId="77777777" w:rsidR="001C32A8" w:rsidRPr="00150335" w:rsidRDefault="001C32A8" w:rsidP="00150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43397-02-15</w:t>
    </w:r>
    <w:r>
      <w:rPr>
        <w:rFonts w:ascii="David" w:hAnsi="David"/>
        <w:color w:val="000000"/>
        <w:sz w:val="22"/>
        <w:szCs w:val="22"/>
        <w:rtl/>
      </w:rPr>
      <w:tab/>
      <w:t xml:space="preserve"> מדינת ישראל נ' רועי בראבי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D5696" w14:textId="77777777" w:rsidR="001C32A8" w:rsidRPr="00150335" w:rsidRDefault="001C32A8" w:rsidP="00150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43397-02-15</w:t>
    </w:r>
    <w:r>
      <w:rPr>
        <w:rFonts w:ascii="David" w:hAnsi="David"/>
        <w:color w:val="000000"/>
        <w:sz w:val="22"/>
        <w:szCs w:val="22"/>
        <w:rtl/>
      </w:rPr>
      <w:tab/>
      <w:t xml:space="preserve"> מדינת ישראל נ' רועי בראבי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4E4D"/>
    <w:multiLevelType w:val="hybridMultilevel"/>
    <w:tmpl w:val="8ABE2884"/>
    <w:lvl w:ilvl="0" w:tplc="CC00C972">
      <w:start w:val="1"/>
      <w:numFmt w:val="hebrew1"/>
      <w:lvlText w:val="%1."/>
      <w:lvlJc w:val="center"/>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8F19E9"/>
    <w:multiLevelType w:val="hybridMultilevel"/>
    <w:tmpl w:val="C1428C68"/>
    <w:lvl w:ilvl="0" w:tplc="36281EA6">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A71790A"/>
    <w:multiLevelType w:val="hybridMultilevel"/>
    <w:tmpl w:val="A1CECE8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FE560D5"/>
    <w:multiLevelType w:val="hybridMultilevel"/>
    <w:tmpl w:val="4BE04D36"/>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cs="Courier New" w:hint="default"/>
      </w:rPr>
    </w:lvl>
    <w:lvl w:ilvl="2" w:tplc="04090005">
      <w:start w:val="1"/>
      <w:numFmt w:val="bullet"/>
      <w:lvlText w:val=""/>
      <w:lvlJc w:val="left"/>
      <w:pPr>
        <w:ind w:left="2102" w:hanging="360"/>
      </w:pPr>
      <w:rPr>
        <w:rFonts w:ascii="Wingdings" w:hAnsi="Wingdings" w:hint="default"/>
      </w:rPr>
    </w:lvl>
    <w:lvl w:ilvl="3" w:tplc="04090001">
      <w:start w:val="1"/>
      <w:numFmt w:val="bullet"/>
      <w:lvlText w:val=""/>
      <w:lvlJc w:val="left"/>
      <w:pPr>
        <w:ind w:left="2822" w:hanging="360"/>
      </w:pPr>
      <w:rPr>
        <w:rFonts w:ascii="Symbol" w:hAnsi="Symbol" w:hint="default"/>
      </w:rPr>
    </w:lvl>
    <w:lvl w:ilvl="4" w:tplc="04090003">
      <w:start w:val="1"/>
      <w:numFmt w:val="bullet"/>
      <w:lvlText w:val="o"/>
      <w:lvlJc w:val="left"/>
      <w:pPr>
        <w:ind w:left="3542" w:hanging="360"/>
      </w:pPr>
      <w:rPr>
        <w:rFonts w:ascii="Courier New" w:hAnsi="Courier New" w:cs="Courier New" w:hint="default"/>
      </w:rPr>
    </w:lvl>
    <w:lvl w:ilvl="5" w:tplc="04090005">
      <w:start w:val="1"/>
      <w:numFmt w:val="bullet"/>
      <w:lvlText w:val=""/>
      <w:lvlJc w:val="left"/>
      <w:pPr>
        <w:ind w:left="4262" w:hanging="360"/>
      </w:pPr>
      <w:rPr>
        <w:rFonts w:ascii="Wingdings" w:hAnsi="Wingdings" w:hint="default"/>
      </w:rPr>
    </w:lvl>
    <w:lvl w:ilvl="6" w:tplc="04090001">
      <w:start w:val="1"/>
      <w:numFmt w:val="bullet"/>
      <w:lvlText w:val=""/>
      <w:lvlJc w:val="left"/>
      <w:pPr>
        <w:ind w:left="4982" w:hanging="360"/>
      </w:pPr>
      <w:rPr>
        <w:rFonts w:ascii="Symbol" w:hAnsi="Symbol" w:hint="default"/>
      </w:rPr>
    </w:lvl>
    <w:lvl w:ilvl="7" w:tplc="04090003">
      <w:start w:val="1"/>
      <w:numFmt w:val="bullet"/>
      <w:lvlText w:val="o"/>
      <w:lvlJc w:val="left"/>
      <w:pPr>
        <w:ind w:left="5702" w:hanging="360"/>
      </w:pPr>
      <w:rPr>
        <w:rFonts w:ascii="Courier New" w:hAnsi="Courier New" w:cs="Courier New" w:hint="default"/>
      </w:rPr>
    </w:lvl>
    <w:lvl w:ilvl="8" w:tplc="04090005">
      <w:start w:val="1"/>
      <w:numFmt w:val="bullet"/>
      <w:lvlText w:val=""/>
      <w:lvlJc w:val="left"/>
      <w:pPr>
        <w:ind w:left="6422" w:hanging="360"/>
      </w:pPr>
      <w:rPr>
        <w:rFonts w:ascii="Wingdings" w:hAnsi="Wingdings" w:hint="default"/>
      </w:rPr>
    </w:lvl>
  </w:abstractNum>
  <w:abstractNum w:abstractNumId="4" w15:restartNumberingAfterBreak="0">
    <w:nsid w:val="7A236552"/>
    <w:multiLevelType w:val="hybridMultilevel"/>
    <w:tmpl w:val="20269F40"/>
    <w:lvl w:ilvl="0" w:tplc="0409000F">
      <w:start w:val="1"/>
      <w:numFmt w:val="decimal"/>
      <w:lvlText w:val="%1."/>
      <w:lvlJc w:val="left"/>
      <w:pPr>
        <w:ind w:left="662" w:hanging="360"/>
      </w:p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num w:numId="1" w16cid:durableId="1229533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48202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8004255">
    <w:abstractNumId w:val="3"/>
  </w:num>
  <w:num w:numId="4" w16cid:durableId="1028801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478187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1BAA"/>
    <w:rsid w:val="000650D6"/>
    <w:rsid w:val="0006596B"/>
    <w:rsid w:val="000E1712"/>
    <w:rsid w:val="000E6F08"/>
    <w:rsid w:val="00102D59"/>
    <w:rsid w:val="00150335"/>
    <w:rsid w:val="001A4429"/>
    <w:rsid w:val="001C32A8"/>
    <w:rsid w:val="00291809"/>
    <w:rsid w:val="002D7B2F"/>
    <w:rsid w:val="00683B61"/>
    <w:rsid w:val="00851489"/>
    <w:rsid w:val="008B5949"/>
    <w:rsid w:val="008C1BAA"/>
    <w:rsid w:val="008D0E13"/>
    <w:rsid w:val="008E7F4A"/>
    <w:rsid w:val="00BA16A0"/>
    <w:rsid w:val="00E247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7D551F"/>
  <w15:chartTrackingRefBased/>
  <w15:docId w15:val="{CB63E3C9-A768-4095-900B-BA319379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1BAA"/>
    <w:pPr>
      <w:bidi/>
    </w:pPr>
    <w:rPr>
      <w:rFonts w:ascii="Times New Roman" w:eastAsia="Times New Roman" w:hAnsi="Times New Roman" w:cs="David"/>
      <w:noProof/>
      <w:sz w:val="24"/>
      <w:szCs w:val="24"/>
    </w:rPr>
  </w:style>
  <w:style w:type="paragraph" w:styleId="1">
    <w:name w:val="heading 1"/>
    <w:basedOn w:val="a"/>
    <w:next w:val="a"/>
    <w:link w:val="10"/>
    <w:qFormat/>
    <w:rsid w:val="008C1BAA"/>
    <w:pPr>
      <w:keepNext/>
      <w:keepLines/>
      <w:spacing w:before="240"/>
      <w:outlineLvl w:val="0"/>
    </w:pPr>
    <w:rPr>
      <w:rFonts w:ascii="Cambria" w:hAnsi="Cambria" w:cs="Times New Roman"/>
      <w:color w:val="365F9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C1BAA"/>
    <w:rPr>
      <w:rFonts w:ascii="Cambria" w:eastAsia="Times New Roman" w:hAnsi="Cambria" w:cs="Times New Roman"/>
      <w:noProof/>
      <w:color w:val="365F91"/>
      <w:sz w:val="32"/>
      <w:szCs w:val="32"/>
    </w:rPr>
  </w:style>
  <w:style w:type="paragraph" w:styleId="a3">
    <w:name w:val="header"/>
    <w:basedOn w:val="a"/>
    <w:link w:val="a4"/>
    <w:rsid w:val="008C1BAA"/>
    <w:pPr>
      <w:tabs>
        <w:tab w:val="center" w:pos="4153"/>
        <w:tab w:val="right" w:pos="8306"/>
      </w:tabs>
    </w:pPr>
  </w:style>
  <w:style w:type="character" w:customStyle="1" w:styleId="a4">
    <w:name w:val="כותרת עליונה תו"/>
    <w:link w:val="a3"/>
    <w:rsid w:val="008C1BAA"/>
    <w:rPr>
      <w:rFonts w:ascii="Times New Roman" w:eastAsia="Times New Roman" w:hAnsi="Times New Roman" w:cs="David"/>
      <w:noProof/>
      <w:sz w:val="24"/>
      <w:szCs w:val="24"/>
    </w:rPr>
  </w:style>
  <w:style w:type="paragraph" w:styleId="a5">
    <w:name w:val="footer"/>
    <w:basedOn w:val="a"/>
    <w:link w:val="a6"/>
    <w:rsid w:val="008C1BAA"/>
    <w:pPr>
      <w:tabs>
        <w:tab w:val="center" w:pos="4153"/>
        <w:tab w:val="right" w:pos="8306"/>
      </w:tabs>
    </w:pPr>
  </w:style>
  <w:style w:type="character" w:customStyle="1" w:styleId="a6">
    <w:name w:val="כותרת תחתונה תו"/>
    <w:link w:val="a5"/>
    <w:rsid w:val="008C1BAA"/>
    <w:rPr>
      <w:rFonts w:ascii="Times New Roman" w:eastAsia="Times New Roman" w:hAnsi="Times New Roman" w:cs="David"/>
      <w:noProof/>
      <w:sz w:val="24"/>
      <w:szCs w:val="24"/>
    </w:rPr>
  </w:style>
  <w:style w:type="table" w:styleId="a7">
    <w:name w:val="Table Grid"/>
    <w:basedOn w:val="a1"/>
    <w:rsid w:val="008C1BA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1BAA"/>
  </w:style>
  <w:style w:type="paragraph" w:customStyle="1" w:styleId="ListParagraph">
    <w:name w:val="List Paragraph"/>
    <w:basedOn w:val="a"/>
    <w:qFormat/>
    <w:rsid w:val="008C1BAA"/>
    <w:pPr>
      <w:spacing w:after="160" w:line="360" w:lineRule="auto"/>
      <w:ind w:left="720" w:hanging="357"/>
      <w:contextualSpacing/>
      <w:jc w:val="both"/>
    </w:pPr>
    <w:rPr>
      <w:rFonts w:ascii="Calibri" w:eastAsia="Calibri" w:hAnsi="Calibri"/>
      <w:noProof w:val="0"/>
    </w:rPr>
  </w:style>
  <w:style w:type="character" w:styleId="Hyperlink">
    <w:name w:val="Hyperlink"/>
    <w:rsid w:val="00683B61"/>
    <w:rPr>
      <w:color w:val="0563C1"/>
      <w:u w:val="single"/>
    </w:rPr>
  </w:style>
  <w:style w:type="character" w:styleId="a9">
    <w:name w:val="Unresolved Mention"/>
    <w:rsid w:val="00683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033641" TargetMode="External"/><Relationship Id="rId21" Type="http://schemas.openxmlformats.org/officeDocument/2006/relationships/hyperlink" Target="http://www.nevo.co.il/law/70301/404" TargetMode="External"/><Relationship Id="rId42" Type="http://schemas.openxmlformats.org/officeDocument/2006/relationships/hyperlink" Target="http://www.nevo.co.il/case/4558827" TargetMode="External"/><Relationship Id="rId47" Type="http://schemas.openxmlformats.org/officeDocument/2006/relationships/hyperlink" Target="http://www.nevo.co.il/case/18131382"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84" Type="http://schemas.openxmlformats.org/officeDocument/2006/relationships/theme" Target="theme/theme1.xml"/><Relationship Id="rId16" Type="http://schemas.openxmlformats.org/officeDocument/2006/relationships/hyperlink" Target="http://www.nevo.co.il/law/4216" TargetMode="External"/><Relationship Id="rId11" Type="http://schemas.openxmlformats.org/officeDocument/2006/relationships/hyperlink" Target="http://www.nevo.co.il/law/70301/40c.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7083514" TargetMode="External"/><Relationship Id="rId53" Type="http://schemas.openxmlformats.org/officeDocument/2006/relationships/hyperlink" Target="http://www.nevo.co.il/case/5601635" TargetMode="External"/><Relationship Id="rId58" Type="http://schemas.openxmlformats.org/officeDocument/2006/relationships/hyperlink" Target="http://www.nevo.co.il/law/70301/40c.b" TargetMode="External"/><Relationship Id="rId74" Type="http://schemas.openxmlformats.org/officeDocument/2006/relationships/hyperlink" Target="http://www.nevo.co.il/case/6070684"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2720662" TargetMode="External"/><Relationship Id="rId82" Type="http://schemas.openxmlformats.org/officeDocument/2006/relationships/footer" Target="footer2.xml"/><Relationship Id="rId19" Type="http://schemas.openxmlformats.org/officeDocument/2006/relationships/hyperlink" Target="http://www.nevo.co.il/law/70301/404"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6904503" TargetMode="External"/><Relationship Id="rId30" Type="http://schemas.openxmlformats.org/officeDocument/2006/relationships/hyperlink" Target="http://www.nevo.co.il/case/5573417" TargetMode="External"/><Relationship Id="rId35" Type="http://schemas.openxmlformats.org/officeDocument/2006/relationships/hyperlink" Target="http://www.nevo.co.il/law/70301/404" TargetMode="External"/><Relationship Id="rId43" Type="http://schemas.openxmlformats.org/officeDocument/2006/relationships/hyperlink" Target="http://www.nevo.co.il/case/4301914" TargetMode="External"/><Relationship Id="rId48" Type="http://schemas.openxmlformats.org/officeDocument/2006/relationships/hyperlink" Target="http://www.nevo.co.il/case/3934453" TargetMode="External"/><Relationship Id="rId56" Type="http://schemas.openxmlformats.org/officeDocument/2006/relationships/hyperlink" Target="http://www.nevo.co.il/case/6032057" TargetMode="External"/><Relationship Id="rId64" Type="http://schemas.openxmlformats.org/officeDocument/2006/relationships/hyperlink" Target="http://www.nevo.co.il/case/20832660" TargetMode="External"/><Relationship Id="rId69" Type="http://schemas.openxmlformats.org/officeDocument/2006/relationships/hyperlink" Target="http://www.nevo.co.il/case/5605747" TargetMode="External"/><Relationship Id="rId77" Type="http://schemas.openxmlformats.org/officeDocument/2006/relationships/hyperlink" Target="http://www.nevo.co.il/law/70301" TargetMode="External"/><Relationship Id="rId8" Type="http://schemas.openxmlformats.org/officeDocument/2006/relationships/hyperlink" Target="http://www.nevo.co.il/law/74420/30"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5748035"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5.b" TargetMode="External"/><Relationship Id="rId17" Type="http://schemas.openxmlformats.org/officeDocument/2006/relationships/hyperlink" Target="http://www.nevo.co.il/law/74420/30"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4558827" TargetMode="External"/><Relationship Id="rId38" Type="http://schemas.openxmlformats.org/officeDocument/2006/relationships/hyperlink" Target="http://www.nevo.co.il/law/70301/404" TargetMode="External"/><Relationship Id="rId46" Type="http://schemas.openxmlformats.org/officeDocument/2006/relationships/hyperlink" Target="http://www.nevo.co.il/case/20085998"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45.b"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0112942" TargetMode="External"/><Relationship Id="rId54" Type="http://schemas.openxmlformats.org/officeDocument/2006/relationships/hyperlink" Target="http://www.nevo.co.il/case/17941073" TargetMode="External"/><Relationship Id="rId62" Type="http://schemas.openxmlformats.org/officeDocument/2006/relationships/hyperlink" Target="http://www.nevo.co.il/law/70301/40ja.3" TargetMode="External"/><Relationship Id="rId70" Type="http://schemas.openxmlformats.org/officeDocument/2006/relationships/hyperlink" Target="http://www.nevo.co.il/case/5779713" TargetMode="External"/><Relationship Id="rId75" Type="http://schemas.openxmlformats.org/officeDocument/2006/relationships/hyperlink" Target="http://www.nevo.co.il/case/17938465"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3" TargetMode="External"/><Relationship Id="rId23" Type="http://schemas.openxmlformats.org/officeDocument/2006/relationships/hyperlink" Target="http://www.nevo.co.il/law/70301/404" TargetMode="External"/><Relationship Id="rId28" Type="http://schemas.openxmlformats.org/officeDocument/2006/relationships/hyperlink" Target="http://www.nevo.co.il/case/7971983"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0537103" TargetMode="External"/><Relationship Id="rId57" Type="http://schemas.openxmlformats.org/officeDocument/2006/relationships/hyperlink" Target="http://www.nevo.co.il/case/6824952"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20211988" TargetMode="External"/><Relationship Id="rId52" Type="http://schemas.openxmlformats.org/officeDocument/2006/relationships/hyperlink" Target="http://www.nevo.co.il/law/70301/404" TargetMode="External"/><Relationship Id="rId60" Type="http://schemas.openxmlformats.org/officeDocument/2006/relationships/hyperlink" Target="http://www.nevo.co.il/law/70301/40ja" TargetMode="External"/><Relationship Id="rId65" Type="http://schemas.openxmlformats.org/officeDocument/2006/relationships/hyperlink" Target="http://www.nevo.co.il/case/20791756" TargetMode="External"/><Relationship Id="rId73" Type="http://schemas.openxmlformats.org/officeDocument/2006/relationships/hyperlink" Target="http://www.nevo.co.il/case/5594098"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404" TargetMode="External"/><Relationship Id="rId18" Type="http://schemas.openxmlformats.org/officeDocument/2006/relationships/hyperlink" Target="http://www.nevo.co.il/law/74420"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6074791" TargetMode="External"/><Relationship Id="rId50" Type="http://schemas.openxmlformats.org/officeDocument/2006/relationships/hyperlink" Target="http://www.nevo.co.il/law/70301/404" TargetMode="External"/><Relationship Id="rId55" Type="http://schemas.openxmlformats.org/officeDocument/2006/relationships/hyperlink" Target="http://www.nevo.co.il/case/5880417" TargetMode="External"/><Relationship Id="rId76" Type="http://schemas.openxmlformats.org/officeDocument/2006/relationships/hyperlink" Target="http://www.nevo.co.il/law/4216" TargetMode="External"/><Relationship Id="rId7" Type="http://schemas.openxmlformats.org/officeDocument/2006/relationships/hyperlink" Target="http://www.nevo.co.il/law/74420" TargetMode="External"/><Relationship Id="rId71" Type="http://schemas.openxmlformats.org/officeDocument/2006/relationships/hyperlink" Target="http://www.nevo.co.il/case/5875565"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20171617" TargetMode="External"/><Relationship Id="rId45" Type="http://schemas.openxmlformats.org/officeDocument/2006/relationships/hyperlink" Target="http://www.nevo.co.il/case/2587198" TargetMode="External"/><Relationship Id="rId66" Type="http://schemas.openxmlformats.org/officeDocument/2006/relationships/hyperlink" Target="http://www.nevo.co.il/case/2182707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4503</Words>
  <Characters>22515</Characters>
  <Application>Microsoft Office Word</Application>
  <DocSecurity>0</DocSecurity>
  <Lines>187</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26965</CharactersWithSpaces>
  <SharedDoc>false</SharedDoc>
  <HLinks>
    <vt:vector size="432" baseType="variant">
      <vt:variant>
        <vt:i4>393283</vt:i4>
      </vt:variant>
      <vt:variant>
        <vt:i4>213</vt:i4>
      </vt:variant>
      <vt:variant>
        <vt:i4>0</vt:i4>
      </vt:variant>
      <vt:variant>
        <vt:i4>5</vt:i4>
      </vt:variant>
      <vt:variant>
        <vt:lpwstr>http://www.nevo.co.il/advertisements/nevo-100.doc</vt:lpwstr>
      </vt:variant>
      <vt:variant>
        <vt:lpwstr/>
      </vt:variant>
      <vt:variant>
        <vt:i4>7995492</vt:i4>
      </vt:variant>
      <vt:variant>
        <vt:i4>210</vt:i4>
      </vt:variant>
      <vt:variant>
        <vt:i4>0</vt:i4>
      </vt:variant>
      <vt:variant>
        <vt:i4>5</vt:i4>
      </vt:variant>
      <vt:variant>
        <vt:lpwstr>http://www.nevo.co.il/law/70301</vt:lpwstr>
      </vt:variant>
      <vt:variant>
        <vt:lpwstr/>
      </vt:variant>
      <vt:variant>
        <vt:i4>8257637</vt:i4>
      </vt:variant>
      <vt:variant>
        <vt:i4>207</vt:i4>
      </vt:variant>
      <vt:variant>
        <vt:i4>0</vt:i4>
      </vt:variant>
      <vt:variant>
        <vt:i4>5</vt:i4>
      </vt:variant>
      <vt:variant>
        <vt:lpwstr>http://www.nevo.co.il/law/4216</vt:lpwstr>
      </vt:variant>
      <vt:variant>
        <vt:lpwstr/>
      </vt:variant>
      <vt:variant>
        <vt:i4>3539060</vt:i4>
      </vt:variant>
      <vt:variant>
        <vt:i4>204</vt:i4>
      </vt:variant>
      <vt:variant>
        <vt:i4>0</vt:i4>
      </vt:variant>
      <vt:variant>
        <vt:i4>5</vt:i4>
      </vt:variant>
      <vt:variant>
        <vt:lpwstr>http://www.nevo.co.il/case/17938465</vt:lpwstr>
      </vt:variant>
      <vt:variant>
        <vt:lpwstr/>
      </vt:variant>
      <vt:variant>
        <vt:i4>3342460</vt:i4>
      </vt:variant>
      <vt:variant>
        <vt:i4>201</vt:i4>
      </vt:variant>
      <vt:variant>
        <vt:i4>0</vt:i4>
      </vt:variant>
      <vt:variant>
        <vt:i4>5</vt:i4>
      </vt:variant>
      <vt:variant>
        <vt:lpwstr>http://www.nevo.co.il/case/6070684</vt:lpwstr>
      </vt:variant>
      <vt:variant>
        <vt:lpwstr/>
      </vt:variant>
      <vt:variant>
        <vt:i4>3407996</vt:i4>
      </vt:variant>
      <vt:variant>
        <vt:i4>198</vt:i4>
      </vt:variant>
      <vt:variant>
        <vt:i4>0</vt:i4>
      </vt:variant>
      <vt:variant>
        <vt:i4>5</vt:i4>
      </vt:variant>
      <vt:variant>
        <vt:lpwstr>http://www.nevo.co.il/case/5594098</vt:lpwstr>
      </vt:variant>
      <vt:variant>
        <vt:lpwstr/>
      </vt:variant>
      <vt:variant>
        <vt:i4>3407992</vt:i4>
      </vt:variant>
      <vt:variant>
        <vt:i4>195</vt:i4>
      </vt:variant>
      <vt:variant>
        <vt:i4>0</vt:i4>
      </vt:variant>
      <vt:variant>
        <vt:i4>5</vt:i4>
      </vt:variant>
      <vt:variant>
        <vt:lpwstr>http://www.nevo.co.il/case/5748035</vt:lpwstr>
      </vt:variant>
      <vt:variant>
        <vt:lpwstr/>
      </vt:variant>
      <vt:variant>
        <vt:i4>3276927</vt:i4>
      </vt:variant>
      <vt:variant>
        <vt:i4>192</vt:i4>
      </vt:variant>
      <vt:variant>
        <vt:i4>0</vt:i4>
      </vt:variant>
      <vt:variant>
        <vt:i4>5</vt:i4>
      </vt:variant>
      <vt:variant>
        <vt:lpwstr>http://www.nevo.co.il/case/5875565</vt:lpwstr>
      </vt:variant>
      <vt:variant>
        <vt:lpwstr/>
      </vt:variant>
      <vt:variant>
        <vt:i4>3539067</vt:i4>
      </vt:variant>
      <vt:variant>
        <vt:i4>189</vt:i4>
      </vt:variant>
      <vt:variant>
        <vt:i4>0</vt:i4>
      </vt:variant>
      <vt:variant>
        <vt:i4>5</vt:i4>
      </vt:variant>
      <vt:variant>
        <vt:lpwstr>http://www.nevo.co.il/case/5779713</vt:lpwstr>
      </vt:variant>
      <vt:variant>
        <vt:lpwstr/>
      </vt:variant>
      <vt:variant>
        <vt:i4>3473523</vt:i4>
      </vt:variant>
      <vt:variant>
        <vt:i4>186</vt:i4>
      </vt:variant>
      <vt:variant>
        <vt:i4>0</vt:i4>
      </vt:variant>
      <vt:variant>
        <vt:i4>5</vt:i4>
      </vt:variant>
      <vt:variant>
        <vt:lpwstr>http://www.nevo.co.il/case/5605747</vt:lpwstr>
      </vt:variant>
      <vt:variant>
        <vt:lpwstr/>
      </vt:variant>
      <vt:variant>
        <vt:i4>7995492</vt:i4>
      </vt:variant>
      <vt:variant>
        <vt:i4>183</vt:i4>
      </vt:variant>
      <vt:variant>
        <vt:i4>0</vt:i4>
      </vt:variant>
      <vt:variant>
        <vt:i4>5</vt:i4>
      </vt:variant>
      <vt:variant>
        <vt:lpwstr>http://www.nevo.co.il/law/70301</vt:lpwstr>
      </vt:variant>
      <vt:variant>
        <vt:lpwstr/>
      </vt:variant>
      <vt:variant>
        <vt:i4>131151</vt:i4>
      </vt:variant>
      <vt:variant>
        <vt:i4>180</vt:i4>
      </vt:variant>
      <vt:variant>
        <vt:i4>0</vt:i4>
      </vt:variant>
      <vt:variant>
        <vt:i4>5</vt:i4>
      </vt:variant>
      <vt:variant>
        <vt:lpwstr>http://www.nevo.co.il/law/70301/45.b</vt:lpwstr>
      </vt:variant>
      <vt:variant>
        <vt:lpwstr/>
      </vt:variant>
      <vt:variant>
        <vt:i4>3801207</vt:i4>
      </vt:variant>
      <vt:variant>
        <vt:i4>177</vt:i4>
      </vt:variant>
      <vt:variant>
        <vt:i4>0</vt:i4>
      </vt:variant>
      <vt:variant>
        <vt:i4>5</vt:i4>
      </vt:variant>
      <vt:variant>
        <vt:lpwstr>http://www.nevo.co.il/case/21827077</vt:lpwstr>
      </vt:variant>
      <vt:variant>
        <vt:lpwstr/>
      </vt:variant>
      <vt:variant>
        <vt:i4>3211386</vt:i4>
      </vt:variant>
      <vt:variant>
        <vt:i4>174</vt:i4>
      </vt:variant>
      <vt:variant>
        <vt:i4>0</vt:i4>
      </vt:variant>
      <vt:variant>
        <vt:i4>5</vt:i4>
      </vt:variant>
      <vt:variant>
        <vt:lpwstr>http://www.nevo.co.il/case/20791756</vt:lpwstr>
      </vt:variant>
      <vt:variant>
        <vt:lpwstr/>
      </vt:variant>
      <vt:variant>
        <vt:i4>4063345</vt:i4>
      </vt:variant>
      <vt:variant>
        <vt:i4>171</vt:i4>
      </vt:variant>
      <vt:variant>
        <vt:i4>0</vt:i4>
      </vt:variant>
      <vt:variant>
        <vt:i4>5</vt:i4>
      </vt:variant>
      <vt:variant>
        <vt:lpwstr>http://www.nevo.co.il/case/20832660</vt:lpwstr>
      </vt:variant>
      <vt:variant>
        <vt:lpwstr/>
      </vt:variant>
      <vt:variant>
        <vt:i4>7995492</vt:i4>
      </vt:variant>
      <vt:variant>
        <vt:i4>168</vt:i4>
      </vt:variant>
      <vt:variant>
        <vt:i4>0</vt:i4>
      </vt:variant>
      <vt:variant>
        <vt:i4>5</vt:i4>
      </vt:variant>
      <vt:variant>
        <vt:lpwstr>http://www.nevo.co.il/law/70301</vt:lpwstr>
      </vt:variant>
      <vt:variant>
        <vt:lpwstr/>
      </vt:variant>
      <vt:variant>
        <vt:i4>3604517</vt:i4>
      </vt:variant>
      <vt:variant>
        <vt:i4>165</vt:i4>
      </vt:variant>
      <vt:variant>
        <vt:i4>0</vt:i4>
      </vt:variant>
      <vt:variant>
        <vt:i4>5</vt:i4>
      </vt:variant>
      <vt:variant>
        <vt:lpwstr>http://www.nevo.co.il/law/70301/40ja.3</vt:lpwstr>
      </vt:variant>
      <vt:variant>
        <vt:lpwstr/>
      </vt:variant>
      <vt:variant>
        <vt:i4>3342450</vt:i4>
      </vt:variant>
      <vt:variant>
        <vt:i4>162</vt:i4>
      </vt:variant>
      <vt:variant>
        <vt:i4>0</vt:i4>
      </vt:variant>
      <vt:variant>
        <vt:i4>5</vt:i4>
      </vt:variant>
      <vt:variant>
        <vt:lpwstr>http://www.nevo.co.il/case/22720662</vt:lpwstr>
      </vt:variant>
      <vt:variant>
        <vt:lpwstr/>
      </vt:variant>
      <vt:variant>
        <vt:i4>262155</vt:i4>
      </vt:variant>
      <vt:variant>
        <vt:i4>159</vt:i4>
      </vt:variant>
      <vt:variant>
        <vt:i4>0</vt:i4>
      </vt:variant>
      <vt:variant>
        <vt:i4>5</vt:i4>
      </vt:variant>
      <vt:variant>
        <vt:lpwstr>http://www.nevo.co.il/law/70301/40ja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4915202</vt:i4>
      </vt:variant>
      <vt:variant>
        <vt:i4>153</vt:i4>
      </vt:variant>
      <vt:variant>
        <vt:i4>0</vt:i4>
      </vt:variant>
      <vt:variant>
        <vt:i4>5</vt:i4>
      </vt:variant>
      <vt:variant>
        <vt:lpwstr>http://www.nevo.co.il/law/70301/40c.b</vt:lpwstr>
      </vt:variant>
      <vt:variant>
        <vt:lpwstr/>
      </vt:variant>
      <vt:variant>
        <vt:i4>4128893</vt:i4>
      </vt:variant>
      <vt:variant>
        <vt:i4>150</vt:i4>
      </vt:variant>
      <vt:variant>
        <vt:i4>0</vt:i4>
      </vt:variant>
      <vt:variant>
        <vt:i4>5</vt:i4>
      </vt:variant>
      <vt:variant>
        <vt:lpwstr>http://www.nevo.co.il/case/6824952</vt:lpwstr>
      </vt:variant>
      <vt:variant>
        <vt:lpwstr/>
      </vt:variant>
      <vt:variant>
        <vt:i4>3276915</vt:i4>
      </vt:variant>
      <vt:variant>
        <vt:i4>147</vt:i4>
      </vt:variant>
      <vt:variant>
        <vt:i4>0</vt:i4>
      </vt:variant>
      <vt:variant>
        <vt:i4>5</vt:i4>
      </vt:variant>
      <vt:variant>
        <vt:lpwstr>http://www.nevo.co.il/case/6032057</vt:lpwstr>
      </vt:variant>
      <vt:variant>
        <vt:lpwstr/>
      </vt:variant>
      <vt:variant>
        <vt:i4>4063357</vt:i4>
      </vt:variant>
      <vt:variant>
        <vt:i4>144</vt:i4>
      </vt:variant>
      <vt:variant>
        <vt:i4>0</vt:i4>
      </vt:variant>
      <vt:variant>
        <vt:i4>5</vt:i4>
      </vt:variant>
      <vt:variant>
        <vt:lpwstr>http://www.nevo.co.il/case/5880417</vt:lpwstr>
      </vt:variant>
      <vt:variant>
        <vt:lpwstr/>
      </vt:variant>
      <vt:variant>
        <vt:i4>4063351</vt:i4>
      </vt:variant>
      <vt:variant>
        <vt:i4>141</vt:i4>
      </vt:variant>
      <vt:variant>
        <vt:i4>0</vt:i4>
      </vt:variant>
      <vt:variant>
        <vt:i4>5</vt:i4>
      </vt:variant>
      <vt:variant>
        <vt:lpwstr>http://www.nevo.co.il/case/17941073</vt:lpwstr>
      </vt:variant>
      <vt:variant>
        <vt:lpwstr/>
      </vt:variant>
      <vt:variant>
        <vt:i4>3539056</vt:i4>
      </vt:variant>
      <vt:variant>
        <vt:i4>138</vt:i4>
      </vt:variant>
      <vt:variant>
        <vt:i4>0</vt:i4>
      </vt:variant>
      <vt:variant>
        <vt:i4>5</vt:i4>
      </vt:variant>
      <vt:variant>
        <vt:lpwstr>http://www.nevo.co.il/case/5601635</vt:lpwstr>
      </vt:variant>
      <vt:variant>
        <vt:lpwstr/>
      </vt:variant>
      <vt:variant>
        <vt:i4>6619233</vt:i4>
      </vt:variant>
      <vt:variant>
        <vt:i4>135</vt:i4>
      </vt:variant>
      <vt:variant>
        <vt:i4>0</vt:i4>
      </vt:variant>
      <vt:variant>
        <vt:i4>5</vt:i4>
      </vt:variant>
      <vt:variant>
        <vt:lpwstr>http://www.nevo.co.il/law/70301/404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http://www.nevo.co.il/law/70301/404</vt:lpwstr>
      </vt:variant>
      <vt:variant>
        <vt:lpwstr/>
      </vt:variant>
      <vt:variant>
        <vt:i4>3145846</vt:i4>
      </vt:variant>
      <vt:variant>
        <vt:i4>126</vt:i4>
      </vt:variant>
      <vt:variant>
        <vt:i4>0</vt:i4>
      </vt:variant>
      <vt:variant>
        <vt:i4>5</vt:i4>
      </vt:variant>
      <vt:variant>
        <vt:lpwstr>http://www.nevo.co.il/case/20537103</vt:lpwstr>
      </vt:variant>
      <vt:variant>
        <vt:lpwstr/>
      </vt:variant>
      <vt:variant>
        <vt:i4>3604604</vt:i4>
      </vt:variant>
      <vt:variant>
        <vt:i4>123</vt:i4>
      </vt:variant>
      <vt:variant>
        <vt:i4>0</vt:i4>
      </vt:variant>
      <vt:variant>
        <vt:i4>5</vt:i4>
      </vt:variant>
      <vt:variant>
        <vt:lpwstr>http://www.nevo.co.il/case/3934453</vt:lpwstr>
      </vt:variant>
      <vt:variant>
        <vt:lpwstr/>
      </vt:variant>
      <vt:variant>
        <vt:i4>3735676</vt:i4>
      </vt:variant>
      <vt:variant>
        <vt:i4>120</vt:i4>
      </vt:variant>
      <vt:variant>
        <vt:i4>0</vt:i4>
      </vt:variant>
      <vt:variant>
        <vt:i4>5</vt:i4>
      </vt:variant>
      <vt:variant>
        <vt:lpwstr>http://www.nevo.co.il/case/18131382</vt:lpwstr>
      </vt:variant>
      <vt:variant>
        <vt:lpwstr/>
      </vt:variant>
      <vt:variant>
        <vt:i4>4063349</vt:i4>
      </vt:variant>
      <vt:variant>
        <vt:i4>117</vt:i4>
      </vt:variant>
      <vt:variant>
        <vt:i4>0</vt:i4>
      </vt:variant>
      <vt:variant>
        <vt:i4>5</vt:i4>
      </vt:variant>
      <vt:variant>
        <vt:lpwstr>http://www.nevo.co.il/case/20085998</vt:lpwstr>
      </vt:variant>
      <vt:variant>
        <vt:lpwstr/>
      </vt:variant>
      <vt:variant>
        <vt:i4>3342463</vt:i4>
      </vt:variant>
      <vt:variant>
        <vt:i4>114</vt:i4>
      </vt:variant>
      <vt:variant>
        <vt:i4>0</vt:i4>
      </vt:variant>
      <vt:variant>
        <vt:i4>5</vt:i4>
      </vt:variant>
      <vt:variant>
        <vt:lpwstr>http://www.nevo.co.il/case/2587198</vt:lpwstr>
      </vt:variant>
      <vt:variant>
        <vt:lpwstr/>
      </vt:variant>
      <vt:variant>
        <vt:i4>3735676</vt:i4>
      </vt:variant>
      <vt:variant>
        <vt:i4>111</vt:i4>
      </vt:variant>
      <vt:variant>
        <vt:i4>0</vt:i4>
      </vt:variant>
      <vt:variant>
        <vt:i4>5</vt:i4>
      </vt:variant>
      <vt:variant>
        <vt:lpwstr>http://www.nevo.co.il/case/20211988</vt:lpwstr>
      </vt:variant>
      <vt:variant>
        <vt:lpwstr/>
      </vt:variant>
      <vt:variant>
        <vt:i4>3735671</vt:i4>
      </vt:variant>
      <vt:variant>
        <vt:i4>108</vt:i4>
      </vt:variant>
      <vt:variant>
        <vt:i4>0</vt:i4>
      </vt:variant>
      <vt:variant>
        <vt:i4>5</vt:i4>
      </vt:variant>
      <vt:variant>
        <vt:lpwstr>http://www.nevo.co.il/case/4301914</vt:lpwstr>
      </vt:variant>
      <vt:variant>
        <vt:lpwstr/>
      </vt:variant>
      <vt:variant>
        <vt:i4>4063355</vt:i4>
      </vt:variant>
      <vt:variant>
        <vt:i4>105</vt:i4>
      </vt:variant>
      <vt:variant>
        <vt:i4>0</vt:i4>
      </vt:variant>
      <vt:variant>
        <vt:i4>5</vt:i4>
      </vt:variant>
      <vt:variant>
        <vt:lpwstr>http://www.nevo.co.il/case/4558827</vt:lpwstr>
      </vt:variant>
      <vt:variant>
        <vt:lpwstr/>
      </vt:variant>
      <vt:variant>
        <vt:i4>3473532</vt:i4>
      </vt:variant>
      <vt:variant>
        <vt:i4>102</vt:i4>
      </vt:variant>
      <vt:variant>
        <vt:i4>0</vt:i4>
      </vt:variant>
      <vt:variant>
        <vt:i4>5</vt:i4>
      </vt:variant>
      <vt:variant>
        <vt:lpwstr>http://www.nevo.co.il/case/20112942</vt:lpwstr>
      </vt:variant>
      <vt:variant>
        <vt:lpwstr/>
      </vt:variant>
      <vt:variant>
        <vt:i4>3342453</vt:i4>
      </vt:variant>
      <vt:variant>
        <vt:i4>99</vt:i4>
      </vt:variant>
      <vt:variant>
        <vt:i4>0</vt:i4>
      </vt:variant>
      <vt:variant>
        <vt:i4>5</vt:i4>
      </vt:variant>
      <vt:variant>
        <vt:lpwstr>http://www.nevo.co.il/case/20171617</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http://www.nevo.co.il/law/70301/404</vt:lpwstr>
      </vt:variant>
      <vt:variant>
        <vt:lpwstr/>
      </vt:variant>
      <vt:variant>
        <vt:i4>3342462</vt:i4>
      </vt:variant>
      <vt:variant>
        <vt:i4>90</vt:i4>
      </vt:variant>
      <vt:variant>
        <vt:i4>0</vt:i4>
      </vt:variant>
      <vt:variant>
        <vt:i4>5</vt:i4>
      </vt:variant>
      <vt:variant>
        <vt:lpwstr>http://www.nevo.co.il/case/17083514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http://www.nevo.co.il/law/70301/404</vt:lpwstr>
      </vt:variant>
      <vt:variant>
        <vt:lpwstr/>
      </vt:variant>
      <vt:variant>
        <vt:i4>3604601</vt:i4>
      </vt:variant>
      <vt:variant>
        <vt:i4>81</vt:i4>
      </vt:variant>
      <vt:variant>
        <vt:i4>0</vt:i4>
      </vt:variant>
      <vt:variant>
        <vt:i4>5</vt:i4>
      </vt:variant>
      <vt:variant>
        <vt:lpwstr>http://www.nevo.co.il/case/6074791</vt:lpwstr>
      </vt:variant>
      <vt:variant>
        <vt:lpwstr/>
      </vt:variant>
      <vt:variant>
        <vt:i4>4063355</vt:i4>
      </vt:variant>
      <vt:variant>
        <vt:i4>78</vt:i4>
      </vt:variant>
      <vt:variant>
        <vt:i4>0</vt:i4>
      </vt:variant>
      <vt:variant>
        <vt:i4>5</vt:i4>
      </vt:variant>
      <vt:variant>
        <vt:lpwstr>http://www.nevo.co.il/case/4558827</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3211379</vt:i4>
      </vt:variant>
      <vt:variant>
        <vt:i4>69</vt:i4>
      </vt:variant>
      <vt:variant>
        <vt:i4>0</vt:i4>
      </vt:variant>
      <vt:variant>
        <vt:i4>5</vt:i4>
      </vt:variant>
      <vt:variant>
        <vt:lpwstr>http://www.nevo.co.il/case/5573417</vt:lpwstr>
      </vt:variant>
      <vt:variant>
        <vt:lpwstr/>
      </vt:variant>
      <vt:variant>
        <vt:i4>7995492</vt:i4>
      </vt:variant>
      <vt:variant>
        <vt:i4>66</vt:i4>
      </vt:variant>
      <vt:variant>
        <vt:i4>0</vt:i4>
      </vt:variant>
      <vt:variant>
        <vt:i4>5</vt:i4>
      </vt:variant>
      <vt:variant>
        <vt:lpwstr>http://www.nevo.co.il/law/70301</vt:lpwstr>
      </vt:variant>
      <vt:variant>
        <vt:lpwstr/>
      </vt:variant>
      <vt:variant>
        <vt:i4>3801204</vt:i4>
      </vt:variant>
      <vt:variant>
        <vt:i4>63</vt:i4>
      </vt:variant>
      <vt:variant>
        <vt:i4>0</vt:i4>
      </vt:variant>
      <vt:variant>
        <vt:i4>5</vt:i4>
      </vt:variant>
      <vt:variant>
        <vt:lpwstr>http://www.nevo.co.il/case/7971983</vt:lpwstr>
      </vt:variant>
      <vt:variant>
        <vt:lpwstr/>
      </vt:variant>
      <vt:variant>
        <vt:i4>3932279</vt:i4>
      </vt:variant>
      <vt:variant>
        <vt:i4>60</vt:i4>
      </vt:variant>
      <vt:variant>
        <vt:i4>0</vt:i4>
      </vt:variant>
      <vt:variant>
        <vt:i4>5</vt:i4>
      </vt:variant>
      <vt:variant>
        <vt:lpwstr>http://www.nevo.co.il/case/16904503</vt:lpwstr>
      </vt:variant>
      <vt:variant>
        <vt:lpwstr/>
      </vt:variant>
      <vt:variant>
        <vt:i4>3473521</vt:i4>
      </vt:variant>
      <vt:variant>
        <vt:i4>57</vt:i4>
      </vt:variant>
      <vt:variant>
        <vt:i4>0</vt:i4>
      </vt:variant>
      <vt:variant>
        <vt:i4>5</vt:i4>
      </vt:variant>
      <vt:variant>
        <vt:lpwstr>http://www.nevo.co.il/case/20033641</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http://www.nevo.co.il/law/70301/404</vt:lpwstr>
      </vt:variant>
      <vt:variant>
        <vt:lpwstr/>
      </vt:variant>
      <vt:variant>
        <vt:i4>8126563</vt:i4>
      </vt:variant>
      <vt:variant>
        <vt:i4>33</vt:i4>
      </vt:variant>
      <vt:variant>
        <vt:i4>0</vt:i4>
      </vt:variant>
      <vt:variant>
        <vt:i4>5</vt:i4>
      </vt:variant>
      <vt:variant>
        <vt:lpwstr>http://www.nevo.co.il/law/74420</vt:lpwstr>
      </vt:variant>
      <vt:variant>
        <vt:lpwstr/>
      </vt:variant>
      <vt:variant>
        <vt:i4>6488160</vt:i4>
      </vt:variant>
      <vt:variant>
        <vt:i4>30</vt:i4>
      </vt:variant>
      <vt:variant>
        <vt:i4>0</vt:i4>
      </vt:variant>
      <vt:variant>
        <vt:i4>5</vt:i4>
      </vt:variant>
      <vt:variant>
        <vt:lpwstr>http://www.nevo.co.il/law/74420/30</vt:lpwstr>
      </vt:variant>
      <vt:variant>
        <vt:lpwstr/>
      </vt:variant>
      <vt:variant>
        <vt:i4>8257637</vt:i4>
      </vt:variant>
      <vt:variant>
        <vt:i4>27</vt:i4>
      </vt:variant>
      <vt:variant>
        <vt:i4>0</vt:i4>
      </vt:variant>
      <vt:variant>
        <vt:i4>5</vt:i4>
      </vt:variant>
      <vt:variant>
        <vt:lpwstr>http://www.nevo.co.il/law/4216</vt:lpwstr>
      </vt:variant>
      <vt:variant>
        <vt:lpwstr/>
      </vt:variant>
      <vt:variant>
        <vt:i4>3604517</vt:i4>
      </vt:variant>
      <vt:variant>
        <vt:i4>24</vt:i4>
      </vt:variant>
      <vt:variant>
        <vt:i4>0</vt:i4>
      </vt:variant>
      <vt:variant>
        <vt:i4>5</vt:i4>
      </vt:variant>
      <vt:variant>
        <vt:lpwstr>http://www.nevo.co.il/law/70301/40ja.3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http://www.nevo.co.il/law/70301/404</vt:lpwstr>
      </vt:variant>
      <vt:variant>
        <vt:lpwstr/>
      </vt:variant>
      <vt:variant>
        <vt:i4>131151</vt:i4>
      </vt:variant>
      <vt:variant>
        <vt:i4>15</vt:i4>
      </vt:variant>
      <vt:variant>
        <vt:i4>0</vt:i4>
      </vt:variant>
      <vt:variant>
        <vt:i4>5</vt:i4>
      </vt:variant>
      <vt:variant>
        <vt:lpwstr>http://www.nevo.co.il/law/70301/45.b</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6488160</vt:i4>
      </vt:variant>
      <vt:variant>
        <vt:i4>3</vt:i4>
      </vt:variant>
      <vt:variant>
        <vt:i4>0</vt:i4>
      </vt:variant>
      <vt:variant>
        <vt:i4>5</vt:i4>
      </vt:variant>
      <vt:variant>
        <vt:lpwstr>http://www.nevo.co.il/law/74420/30</vt:lpwstr>
      </vt:variant>
      <vt:variant>
        <vt:lpwstr/>
      </vt:variant>
      <vt:variant>
        <vt:i4>8126563</vt:i4>
      </vt:variant>
      <vt:variant>
        <vt:i4>0</vt:i4>
      </vt:variant>
      <vt:variant>
        <vt:i4>0</vt:i4>
      </vt:variant>
      <vt:variant>
        <vt:i4>5</vt:i4>
      </vt:variant>
      <vt:variant>
        <vt:lpwstr>http://www.nevo.co.il/law/74420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2025-04-22T22:36:00Z</dcterms:created>
  <dcterms:modified xsi:type="dcterms:W3CDTF">2025-04-22T22:36:00Z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43397</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רועי בראבי </vt:lpwstr>
  </property>
  <property fmtid="{D5CDD505-2E9C-101B-9397-08002B2CF9AE}" pid="10" name="LAWYER">
    <vt:lpwstr>אבי דהן;מיכאל בוסקילה</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20171228</vt:lpwstr>
  </property>
  <property fmtid="{D5CDD505-2E9C-101B-9397-08002B2CF9AE}" pid="14" name="TYPE_N_DATE">
    <vt:lpwstr>38020171228</vt:lpwstr>
  </property>
  <property fmtid="{D5CDD505-2E9C-101B-9397-08002B2CF9AE}" pid="15" name="WORDNUMPAGES">
    <vt:lpwstr>10</vt:lpwstr>
  </property>
  <property fmtid="{D5CDD505-2E9C-101B-9397-08002B2CF9AE}" pid="16" name="TYPE_ABS_DATE">
    <vt:lpwstr>380020171228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13093721;20033641;16904503;7971983;5573417;4558827:2;6074791;17083514;20171617;20112942;4301914;20211988;2587198;20085998;18131382;3934453;20537103;5601635;17941073;5880417;6032057;6824952;22720662;20832660;20791756;21827077;5605747;5779713;5875565</vt:lpwstr>
  </property>
  <property fmtid="{D5CDD505-2E9C-101B-9397-08002B2CF9AE}" pid="36" name="CASESLISTTMP2">
    <vt:lpwstr>5748035;5594098;6070684;17938465</vt:lpwstr>
  </property>
  <property fmtid="{D5CDD505-2E9C-101B-9397-08002B2CF9AE}" pid="37" name="LAWLISTTMP1">
    <vt:lpwstr>74420/030</vt:lpwstr>
  </property>
  <property fmtid="{D5CDD505-2E9C-101B-9397-08002B2CF9AE}" pid="38" name="LAWLISTTMP2">
    <vt:lpwstr>70301/404:7;040c.a;040c.b;40ja;40ja.3;045.b</vt:lpwstr>
  </property>
  <property fmtid="{D5CDD505-2E9C-101B-9397-08002B2CF9AE}" pid="39" name="LAWLISTTMP3">
    <vt:lpwstr>4216</vt:lpwstr>
  </property>
</Properties>
</file>