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6F0712" w:rsidRPr="002C0B15" w14:paraId="504D1EE7" w14:textId="77777777" w:rsidTr="005E3B14">
        <w:trPr>
          <w:trHeight w:hRule="exact" w:val="418"/>
          <w:jc w:val="center"/>
        </w:trPr>
        <w:tc>
          <w:tcPr>
            <w:tcW w:w="8720" w:type="dxa"/>
            <w:gridSpan w:val="3"/>
          </w:tcPr>
          <w:p w14:paraId="1B561415" w14:textId="77777777" w:rsidR="006F0712" w:rsidRPr="002C0B15" w:rsidRDefault="006F0712" w:rsidP="005E3B14">
            <w:pPr>
              <w:pStyle w:val="a3"/>
              <w:tabs>
                <w:tab w:val="clear" w:pos="8306"/>
              </w:tabs>
              <w:jc w:val="center"/>
              <w:rPr>
                <w:rFonts w:ascii="Tahoma" w:hAnsi="Tahoma" w:cs="Tahoma"/>
                <w:b/>
                <w:bCs/>
                <w:color w:val="000080"/>
                <w:sz w:val="20"/>
                <w:szCs w:val="20"/>
                <w:rtl/>
              </w:rPr>
            </w:pPr>
            <w:bookmarkStart w:id="0" w:name="LastJudge"/>
            <w:r w:rsidRPr="002C0B15">
              <w:rPr>
                <w:rFonts w:ascii="Tahoma" w:hAnsi="Tahoma" w:cs="Tahoma" w:hint="cs"/>
                <w:b/>
                <w:bCs/>
                <w:color w:val="000080"/>
                <w:sz w:val="20"/>
                <w:szCs w:val="20"/>
                <w:rtl/>
              </w:rPr>
              <w:t>בתי המשפט</w:t>
            </w:r>
          </w:p>
        </w:tc>
      </w:tr>
      <w:tr w:rsidR="006F0712" w:rsidRPr="002C0B15" w14:paraId="57F9D397" w14:textId="77777777" w:rsidTr="005E3B14">
        <w:trPr>
          <w:trHeight w:val="709"/>
          <w:jc w:val="center"/>
        </w:trPr>
        <w:tc>
          <w:tcPr>
            <w:tcW w:w="4805" w:type="dxa"/>
          </w:tcPr>
          <w:p w14:paraId="39A76361" w14:textId="77777777" w:rsidR="006F0712" w:rsidRPr="002C0B15" w:rsidRDefault="006F0712" w:rsidP="005E3B14">
            <w:pPr>
              <w:rPr>
                <w:b/>
                <w:bCs/>
                <w:sz w:val="28"/>
                <w:szCs w:val="28"/>
                <w:rtl/>
              </w:rPr>
            </w:pPr>
            <w:r w:rsidRPr="002C0B15">
              <w:rPr>
                <w:rFonts w:hint="cs"/>
                <w:b/>
                <w:bCs/>
                <w:sz w:val="28"/>
                <w:szCs w:val="28"/>
                <w:rtl/>
              </w:rPr>
              <w:t>בית משפט השלום קריית גת</w:t>
            </w:r>
          </w:p>
        </w:tc>
        <w:tc>
          <w:tcPr>
            <w:tcW w:w="236" w:type="dxa"/>
            <w:vMerge w:val="restart"/>
          </w:tcPr>
          <w:p w14:paraId="659C4372" w14:textId="77777777" w:rsidR="006F0712" w:rsidRPr="002C0B15" w:rsidRDefault="006F0712" w:rsidP="005E3B14">
            <w:pPr>
              <w:pStyle w:val="a3"/>
              <w:jc w:val="right"/>
              <w:rPr>
                <w:b/>
                <w:bCs/>
                <w:sz w:val="28"/>
                <w:szCs w:val="28"/>
                <w:rtl/>
              </w:rPr>
            </w:pPr>
          </w:p>
        </w:tc>
        <w:tc>
          <w:tcPr>
            <w:tcW w:w="3679" w:type="dxa"/>
            <w:vMerge w:val="restart"/>
          </w:tcPr>
          <w:p w14:paraId="36D469FF" w14:textId="77777777" w:rsidR="006F0712" w:rsidRPr="002C0B15" w:rsidRDefault="006F0712" w:rsidP="005E3B14">
            <w:pPr>
              <w:jc w:val="right"/>
              <w:rPr>
                <w:b/>
                <w:bCs/>
                <w:sz w:val="28"/>
                <w:szCs w:val="28"/>
                <w:rtl/>
              </w:rPr>
            </w:pPr>
            <w:r w:rsidRPr="002C0B15">
              <w:rPr>
                <w:b/>
                <w:bCs/>
                <w:sz w:val="28"/>
                <w:szCs w:val="28"/>
                <w:rtl/>
              </w:rPr>
              <w:t>ת"פ</w:t>
            </w:r>
            <w:r w:rsidRPr="002C0B15">
              <w:rPr>
                <w:rFonts w:hint="cs"/>
                <w:b/>
                <w:bCs/>
                <w:sz w:val="28"/>
                <w:szCs w:val="28"/>
                <w:rtl/>
              </w:rPr>
              <w:t xml:space="preserve"> </w:t>
            </w:r>
            <w:r w:rsidRPr="002C0B15">
              <w:rPr>
                <w:b/>
                <w:bCs/>
                <w:sz w:val="28"/>
                <w:szCs w:val="28"/>
                <w:rtl/>
              </w:rPr>
              <w:t>18185-03-15</w:t>
            </w:r>
          </w:p>
          <w:p w14:paraId="0DF31F9A" w14:textId="77777777" w:rsidR="006F0712" w:rsidRPr="002C0B15" w:rsidRDefault="006F0712" w:rsidP="005E3B14">
            <w:pPr>
              <w:pStyle w:val="a3"/>
              <w:tabs>
                <w:tab w:val="clear" w:pos="4153"/>
              </w:tabs>
              <w:jc w:val="right"/>
              <w:rPr>
                <w:b/>
                <w:bCs/>
                <w:sz w:val="20"/>
                <w:szCs w:val="20"/>
                <w:rtl/>
              </w:rPr>
            </w:pPr>
          </w:p>
          <w:p w14:paraId="431000C1" w14:textId="77777777" w:rsidR="006F0712" w:rsidRPr="002C0B15" w:rsidRDefault="006F0712" w:rsidP="005E3B14">
            <w:pPr>
              <w:pStyle w:val="a3"/>
              <w:tabs>
                <w:tab w:val="clear" w:pos="4153"/>
              </w:tabs>
              <w:jc w:val="right"/>
              <w:rPr>
                <w:b/>
                <w:bCs/>
                <w:sz w:val="28"/>
                <w:szCs w:val="28"/>
                <w:rtl/>
              </w:rPr>
            </w:pPr>
            <w:r w:rsidRPr="002C0B15">
              <w:rPr>
                <w:b/>
                <w:bCs/>
                <w:sz w:val="28"/>
                <w:szCs w:val="28"/>
                <w:rtl/>
              </w:rPr>
              <w:t>23 נובמבר 2016</w:t>
            </w:r>
          </w:p>
        </w:tc>
      </w:tr>
      <w:tr w:rsidR="006F0712" w:rsidRPr="002C0B15" w14:paraId="40BD340F" w14:textId="77777777" w:rsidTr="005E3B14">
        <w:trPr>
          <w:trHeight w:val="547"/>
          <w:jc w:val="center"/>
        </w:trPr>
        <w:tc>
          <w:tcPr>
            <w:tcW w:w="4805" w:type="dxa"/>
          </w:tcPr>
          <w:p w14:paraId="26371BC7" w14:textId="77777777" w:rsidR="006F0712" w:rsidRPr="002C0B15" w:rsidRDefault="006F0712" w:rsidP="005E3B14">
            <w:pPr>
              <w:rPr>
                <w:b/>
                <w:bCs/>
                <w:sz w:val="28"/>
                <w:szCs w:val="28"/>
                <w:rtl/>
              </w:rPr>
            </w:pPr>
            <w:r w:rsidRPr="002C0B15">
              <w:rPr>
                <w:rFonts w:hint="cs"/>
                <w:b/>
                <w:bCs/>
                <w:sz w:val="28"/>
                <w:szCs w:val="28"/>
                <w:rtl/>
              </w:rPr>
              <w:t>בפני: כב' ה</w:t>
            </w:r>
            <w:r w:rsidRPr="002C0B15">
              <w:rPr>
                <w:b/>
                <w:bCs/>
                <w:sz w:val="28"/>
                <w:szCs w:val="28"/>
                <w:rtl/>
              </w:rPr>
              <w:t>שופטת נועה חקלאי</w:t>
            </w:r>
          </w:p>
        </w:tc>
        <w:tc>
          <w:tcPr>
            <w:tcW w:w="236" w:type="dxa"/>
            <w:vMerge/>
          </w:tcPr>
          <w:p w14:paraId="2B31658E" w14:textId="77777777" w:rsidR="006F0712" w:rsidRPr="002C0B15" w:rsidRDefault="006F0712" w:rsidP="005E3B14">
            <w:pPr>
              <w:pStyle w:val="a3"/>
              <w:jc w:val="right"/>
              <w:rPr>
                <w:b/>
                <w:bCs/>
                <w:sz w:val="28"/>
                <w:szCs w:val="28"/>
                <w:rtl/>
              </w:rPr>
            </w:pPr>
          </w:p>
        </w:tc>
        <w:tc>
          <w:tcPr>
            <w:tcW w:w="3679" w:type="dxa"/>
            <w:vMerge/>
          </w:tcPr>
          <w:p w14:paraId="2111BE45" w14:textId="77777777" w:rsidR="006F0712" w:rsidRPr="002C0B15" w:rsidRDefault="006F0712" w:rsidP="005E3B14">
            <w:pPr>
              <w:jc w:val="right"/>
              <w:rPr>
                <w:b/>
                <w:bCs/>
                <w:sz w:val="28"/>
                <w:szCs w:val="28"/>
                <w:rtl/>
              </w:rPr>
            </w:pPr>
          </w:p>
        </w:tc>
      </w:tr>
    </w:tbl>
    <w:p w14:paraId="3582F8DE" w14:textId="77777777" w:rsidR="006F0712" w:rsidRPr="002C0B15" w:rsidRDefault="006F0712" w:rsidP="006F0712">
      <w:pPr>
        <w:pStyle w:val="a3"/>
        <w:jc w:val="center"/>
        <w:rPr>
          <w:rFonts w:ascii="Tahoma" w:hAnsi="Tahoma" w:cs="Tahoma"/>
          <w:b/>
          <w:bCs/>
          <w:color w:val="000080"/>
          <w:sz w:val="20"/>
          <w:szCs w:val="20"/>
          <w:rtl/>
        </w:rPr>
      </w:pPr>
    </w:p>
    <w:p w14:paraId="7C92392E" w14:textId="77777777" w:rsidR="006F0712" w:rsidRPr="002C0B15" w:rsidRDefault="006F0712" w:rsidP="006F0712">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5E3B14" w:rsidRPr="002C0B15" w14:paraId="3B61FB15" w14:textId="77777777" w:rsidTr="006F0712">
        <w:tc>
          <w:tcPr>
            <w:tcW w:w="945" w:type="dxa"/>
            <w:shd w:val="clear" w:color="auto" w:fill="auto"/>
          </w:tcPr>
          <w:p w14:paraId="10A8A66E" w14:textId="77777777" w:rsidR="006F0712" w:rsidRPr="002C0B15" w:rsidRDefault="006F0712" w:rsidP="006F0712">
            <w:pPr>
              <w:jc w:val="left"/>
              <w:rPr>
                <w:b/>
                <w:bCs/>
                <w:sz w:val="26"/>
                <w:rtl/>
              </w:rPr>
            </w:pPr>
            <w:bookmarkStart w:id="1" w:name="FirstAppellant"/>
            <w:r w:rsidRPr="002C0B15">
              <w:rPr>
                <w:rFonts w:hint="cs"/>
                <w:b/>
                <w:bCs/>
                <w:sz w:val="26"/>
                <w:rtl/>
              </w:rPr>
              <w:t>בעניין:</w:t>
            </w:r>
          </w:p>
        </w:tc>
        <w:tc>
          <w:tcPr>
            <w:tcW w:w="7857" w:type="dxa"/>
            <w:gridSpan w:val="4"/>
            <w:shd w:val="clear" w:color="auto" w:fill="auto"/>
          </w:tcPr>
          <w:p w14:paraId="3105823C" w14:textId="77777777" w:rsidR="006F0712" w:rsidRPr="002C0B15" w:rsidRDefault="006F0712" w:rsidP="006F0712">
            <w:pPr>
              <w:jc w:val="left"/>
              <w:rPr>
                <w:b/>
                <w:bCs/>
                <w:sz w:val="26"/>
                <w:rtl/>
              </w:rPr>
            </w:pPr>
            <w:r w:rsidRPr="002C0B15">
              <w:rPr>
                <w:rFonts w:hint="cs"/>
                <w:b/>
                <w:bCs/>
                <w:sz w:val="26"/>
                <w:rtl/>
              </w:rPr>
              <w:t>מדינת ישראל</w:t>
            </w:r>
          </w:p>
        </w:tc>
      </w:tr>
      <w:bookmarkEnd w:id="1"/>
      <w:tr w:rsidR="005E3B14" w:rsidRPr="002C0B15" w14:paraId="13400FB5" w14:textId="77777777" w:rsidTr="006F0712">
        <w:trPr>
          <w:gridAfter w:val="1"/>
          <w:wAfter w:w="106" w:type="dxa"/>
        </w:trPr>
        <w:tc>
          <w:tcPr>
            <w:tcW w:w="945" w:type="dxa"/>
            <w:shd w:val="clear" w:color="auto" w:fill="auto"/>
          </w:tcPr>
          <w:p w14:paraId="38EA32D1" w14:textId="77777777" w:rsidR="006F0712" w:rsidRPr="002C0B15" w:rsidRDefault="006F0712" w:rsidP="006F0712">
            <w:pPr>
              <w:ind w:left="26"/>
              <w:jc w:val="left"/>
              <w:rPr>
                <w:b/>
                <w:bCs/>
                <w:sz w:val="26"/>
                <w:rtl/>
              </w:rPr>
            </w:pPr>
          </w:p>
        </w:tc>
        <w:tc>
          <w:tcPr>
            <w:tcW w:w="6416" w:type="dxa"/>
            <w:shd w:val="clear" w:color="auto" w:fill="auto"/>
          </w:tcPr>
          <w:p w14:paraId="0BAC3BC5" w14:textId="77777777" w:rsidR="006F0712" w:rsidRPr="002C0B15" w:rsidRDefault="006F0712" w:rsidP="006F0712">
            <w:pPr>
              <w:jc w:val="left"/>
              <w:rPr>
                <w:b/>
                <w:bCs/>
                <w:sz w:val="26"/>
                <w:rtl/>
              </w:rPr>
            </w:pPr>
          </w:p>
        </w:tc>
        <w:tc>
          <w:tcPr>
            <w:tcW w:w="1335" w:type="dxa"/>
            <w:gridSpan w:val="2"/>
            <w:shd w:val="clear" w:color="auto" w:fill="auto"/>
          </w:tcPr>
          <w:p w14:paraId="697D9EC0" w14:textId="77777777" w:rsidR="006F0712" w:rsidRPr="002C0B15" w:rsidRDefault="006F0712" w:rsidP="006F0712">
            <w:pPr>
              <w:ind w:left="26"/>
              <w:jc w:val="left"/>
              <w:rPr>
                <w:b/>
                <w:bCs/>
                <w:sz w:val="26"/>
                <w:rtl/>
              </w:rPr>
            </w:pPr>
            <w:r w:rsidRPr="002C0B15">
              <w:rPr>
                <w:rFonts w:hint="cs"/>
                <w:b/>
                <w:bCs/>
                <w:sz w:val="26"/>
                <w:rtl/>
              </w:rPr>
              <w:t>המאשימה</w:t>
            </w:r>
          </w:p>
        </w:tc>
      </w:tr>
      <w:tr w:rsidR="005E3B14" w:rsidRPr="002C0B15" w14:paraId="7D0442AB" w14:textId="77777777" w:rsidTr="006F0712">
        <w:trPr>
          <w:gridAfter w:val="1"/>
          <w:wAfter w:w="106" w:type="dxa"/>
        </w:trPr>
        <w:tc>
          <w:tcPr>
            <w:tcW w:w="8696" w:type="dxa"/>
            <w:gridSpan w:val="4"/>
            <w:shd w:val="clear" w:color="auto" w:fill="auto"/>
          </w:tcPr>
          <w:p w14:paraId="1BA75212" w14:textId="77777777" w:rsidR="006F0712" w:rsidRPr="002C0B15" w:rsidRDefault="006F0712" w:rsidP="006F0712">
            <w:pPr>
              <w:jc w:val="center"/>
              <w:rPr>
                <w:rFonts w:ascii="Arial" w:hAnsi="Arial" w:hint="cs"/>
                <w:b/>
                <w:bCs/>
                <w:sz w:val="26"/>
              </w:rPr>
            </w:pPr>
            <w:r w:rsidRPr="002C0B15">
              <w:rPr>
                <w:rFonts w:ascii="Arial" w:hAnsi="Arial"/>
                <w:b/>
                <w:bCs/>
                <w:sz w:val="26"/>
                <w:rtl/>
              </w:rPr>
              <w:t>נ</w:t>
            </w:r>
            <w:r w:rsidRPr="002C0B15">
              <w:rPr>
                <w:rFonts w:ascii="Arial" w:hAnsi="Arial" w:hint="cs"/>
                <w:b/>
                <w:bCs/>
                <w:sz w:val="26"/>
                <w:rtl/>
              </w:rPr>
              <w:t xml:space="preserve"> </w:t>
            </w:r>
            <w:r w:rsidRPr="002C0B15">
              <w:rPr>
                <w:rFonts w:ascii="Arial" w:hAnsi="Arial"/>
                <w:b/>
                <w:bCs/>
                <w:sz w:val="26"/>
                <w:rtl/>
              </w:rPr>
              <w:t>ג</w:t>
            </w:r>
            <w:r w:rsidRPr="002C0B15">
              <w:rPr>
                <w:rFonts w:ascii="Arial" w:hAnsi="Arial" w:hint="cs"/>
                <w:b/>
                <w:bCs/>
                <w:sz w:val="26"/>
                <w:rtl/>
              </w:rPr>
              <w:t xml:space="preserve"> </w:t>
            </w:r>
            <w:r w:rsidRPr="002C0B15">
              <w:rPr>
                <w:rFonts w:ascii="Arial" w:hAnsi="Arial"/>
                <w:b/>
                <w:bCs/>
                <w:sz w:val="26"/>
                <w:rtl/>
              </w:rPr>
              <w:t>ד</w:t>
            </w:r>
            <w:r w:rsidR="00D81E40">
              <w:rPr>
                <w:rFonts w:ascii="Arial" w:hAnsi="Arial" w:hint="cs"/>
                <w:b/>
                <w:bCs/>
                <w:sz w:val="26"/>
                <w:rtl/>
              </w:rPr>
              <w:t xml:space="preserve">  </w:t>
            </w:r>
          </w:p>
        </w:tc>
      </w:tr>
      <w:tr w:rsidR="005E3B14" w:rsidRPr="002C0B15" w14:paraId="234902BC" w14:textId="77777777" w:rsidTr="006F0712">
        <w:trPr>
          <w:gridAfter w:val="1"/>
          <w:wAfter w:w="106" w:type="dxa"/>
        </w:trPr>
        <w:tc>
          <w:tcPr>
            <w:tcW w:w="945" w:type="dxa"/>
            <w:shd w:val="clear" w:color="auto" w:fill="auto"/>
          </w:tcPr>
          <w:p w14:paraId="277E9AED" w14:textId="77777777" w:rsidR="006F0712" w:rsidRPr="002C0B15" w:rsidRDefault="006F0712" w:rsidP="006F0712">
            <w:pPr>
              <w:ind w:left="26"/>
              <w:rPr>
                <w:b/>
                <w:bCs/>
                <w:sz w:val="26"/>
                <w:rtl/>
              </w:rPr>
            </w:pPr>
          </w:p>
        </w:tc>
        <w:tc>
          <w:tcPr>
            <w:tcW w:w="6435" w:type="dxa"/>
            <w:gridSpan w:val="2"/>
            <w:shd w:val="clear" w:color="auto" w:fill="auto"/>
          </w:tcPr>
          <w:p w14:paraId="3F0A32DD" w14:textId="77777777" w:rsidR="006F0712" w:rsidRPr="002C0B15" w:rsidRDefault="006F0712" w:rsidP="006F0712">
            <w:pPr>
              <w:jc w:val="left"/>
              <w:rPr>
                <w:b/>
                <w:bCs/>
                <w:sz w:val="26"/>
                <w:rtl/>
              </w:rPr>
            </w:pPr>
            <w:r w:rsidRPr="002C0B15">
              <w:rPr>
                <w:b/>
                <w:bCs/>
                <w:sz w:val="26"/>
                <w:rtl/>
              </w:rPr>
              <w:t>נתנאל יעקובוב</w:t>
            </w:r>
            <w:r w:rsidRPr="002C0B15">
              <w:rPr>
                <w:rFonts w:hint="cs"/>
                <w:b/>
                <w:bCs/>
                <w:sz w:val="26"/>
                <w:rtl/>
              </w:rPr>
              <w:t xml:space="preserve"> </w:t>
            </w:r>
            <w:r w:rsidRPr="002C0B15">
              <w:rPr>
                <w:b/>
                <w:bCs/>
                <w:sz w:val="26"/>
                <w:rtl/>
              </w:rPr>
              <w:t>ת.ז.</w:t>
            </w:r>
            <w:r w:rsidRPr="002C0B15">
              <w:rPr>
                <w:rFonts w:hint="cs"/>
                <w:b/>
                <w:bCs/>
                <w:sz w:val="26"/>
                <w:rtl/>
              </w:rPr>
              <w:t xml:space="preserve"> </w:t>
            </w:r>
            <w:r w:rsidR="002C0B15">
              <w:rPr>
                <w:b/>
                <w:bCs/>
                <w:sz w:val="26"/>
              </w:rPr>
              <w:t>xxxxxxxxx</w:t>
            </w:r>
          </w:p>
        </w:tc>
        <w:tc>
          <w:tcPr>
            <w:tcW w:w="1316" w:type="dxa"/>
            <w:shd w:val="clear" w:color="auto" w:fill="auto"/>
          </w:tcPr>
          <w:p w14:paraId="054E2E0B" w14:textId="77777777" w:rsidR="006F0712" w:rsidRPr="002C0B15" w:rsidRDefault="006F0712" w:rsidP="005E3B14">
            <w:pPr>
              <w:rPr>
                <w:b/>
                <w:bCs/>
                <w:sz w:val="26"/>
                <w:rtl/>
              </w:rPr>
            </w:pPr>
          </w:p>
        </w:tc>
      </w:tr>
      <w:tr w:rsidR="005E3B14" w:rsidRPr="002C0B15" w14:paraId="71049AC0" w14:textId="77777777" w:rsidTr="006F0712">
        <w:trPr>
          <w:gridAfter w:val="1"/>
          <w:wAfter w:w="106" w:type="dxa"/>
        </w:trPr>
        <w:tc>
          <w:tcPr>
            <w:tcW w:w="945" w:type="dxa"/>
            <w:shd w:val="clear" w:color="auto" w:fill="auto"/>
          </w:tcPr>
          <w:p w14:paraId="42FABC9D" w14:textId="77777777" w:rsidR="006F0712" w:rsidRPr="002C0B15" w:rsidRDefault="006F0712" w:rsidP="006F0712">
            <w:pPr>
              <w:ind w:left="26"/>
              <w:jc w:val="left"/>
              <w:rPr>
                <w:b/>
                <w:bCs/>
                <w:sz w:val="26"/>
                <w:rtl/>
              </w:rPr>
            </w:pPr>
          </w:p>
        </w:tc>
        <w:tc>
          <w:tcPr>
            <w:tcW w:w="6435" w:type="dxa"/>
            <w:gridSpan w:val="2"/>
            <w:shd w:val="clear" w:color="auto" w:fill="auto"/>
          </w:tcPr>
          <w:p w14:paraId="2822B677" w14:textId="77777777" w:rsidR="006F0712" w:rsidRPr="002C0B15" w:rsidRDefault="006F0712" w:rsidP="006F0712">
            <w:pPr>
              <w:jc w:val="left"/>
              <w:rPr>
                <w:b/>
                <w:bCs/>
                <w:sz w:val="26"/>
                <w:rtl/>
              </w:rPr>
            </w:pPr>
          </w:p>
        </w:tc>
        <w:tc>
          <w:tcPr>
            <w:tcW w:w="1316" w:type="dxa"/>
            <w:shd w:val="clear" w:color="auto" w:fill="auto"/>
          </w:tcPr>
          <w:p w14:paraId="56BECE7E" w14:textId="77777777" w:rsidR="006F0712" w:rsidRPr="002C0B15" w:rsidRDefault="006F0712" w:rsidP="006F0712">
            <w:pPr>
              <w:jc w:val="left"/>
              <w:rPr>
                <w:b/>
                <w:bCs/>
                <w:sz w:val="26"/>
                <w:rtl/>
              </w:rPr>
            </w:pPr>
            <w:r w:rsidRPr="002C0B15">
              <w:rPr>
                <w:rFonts w:hint="cs"/>
                <w:b/>
                <w:bCs/>
                <w:sz w:val="26"/>
                <w:rtl/>
              </w:rPr>
              <w:t>הנאשם</w:t>
            </w:r>
          </w:p>
        </w:tc>
      </w:tr>
    </w:tbl>
    <w:p w14:paraId="58B1B5EE" w14:textId="77777777" w:rsidR="006F0712" w:rsidRPr="002C0B15" w:rsidRDefault="006F0712" w:rsidP="006F0712">
      <w:pPr>
        <w:rPr>
          <w:rFonts w:ascii="Arial" w:hAnsi="Arial"/>
          <w:b/>
          <w:bCs/>
          <w:sz w:val="26"/>
          <w:rtl/>
        </w:rPr>
      </w:pPr>
    </w:p>
    <w:p w14:paraId="349D40CE" w14:textId="77777777" w:rsidR="006F0712" w:rsidRPr="002C0B15" w:rsidRDefault="006F0712" w:rsidP="006F0712">
      <w:pPr>
        <w:rPr>
          <w:sz w:val="6"/>
          <w:szCs w:val="6"/>
          <w:rtl/>
        </w:rPr>
      </w:pPr>
      <w:r w:rsidRPr="002C0B15">
        <w:rPr>
          <w:sz w:val="6"/>
          <w:szCs w:val="6"/>
          <w:rtl/>
        </w:rPr>
        <w:t>&lt;#2#&gt;</w:t>
      </w:r>
    </w:p>
    <w:p w14:paraId="0FCBF468" w14:textId="77777777" w:rsidR="006F0712" w:rsidRPr="002C0B15" w:rsidRDefault="006F0712" w:rsidP="006F0712">
      <w:pPr>
        <w:pStyle w:val="12"/>
        <w:rPr>
          <w:u w:val="none"/>
          <w:rtl/>
        </w:rPr>
      </w:pPr>
      <w:r w:rsidRPr="002C0B15">
        <w:rPr>
          <w:rFonts w:hint="cs"/>
          <w:u w:val="none"/>
          <w:rtl/>
        </w:rPr>
        <w:t>נוכחים:</w:t>
      </w:r>
    </w:p>
    <w:p w14:paraId="1E6BFDE5" w14:textId="77777777" w:rsidR="006F0712" w:rsidRPr="002C0B15" w:rsidRDefault="006F0712" w:rsidP="006F0712">
      <w:pPr>
        <w:rPr>
          <w:rtl/>
        </w:rPr>
      </w:pPr>
      <w:bookmarkStart w:id="2" w:name="FirstLawyer"/>
      <w:r w:rsidRPr="002C0B15">
        <w:rPr>
          <w:rFonts w:hint="cs"/>
          <w:rtl/>
        </w:rPr>
        <w:t>ב"כ</w:t>
      </w:r>
      <w:bookmarkEnd w:id="2"/>
      <w:r w:rsidRPr="002C0B15">
        <w:rPr>
          <w:rFonts w:hint="cs"/>
          <w:rtl/>
        </w:rPr>
        <w:t xml:space="preserve"> המאשימה: עו"ד עמית חומרי</w:t>
      </w:r>
    </w:p>
    <w:p w14:paraId="2FF7F1F0" w14:textId="77777777" w:rsidR="006F0712" w:rsidRPr="002C0B15" w:rsidRDefault="006F0712" w:rsidP="006F0712">
      <w:pPr>
        <w:rPr>
          <w:rtl/>
        </w:rPr>
      </w:pPr>
      <w:r w:rsidRPr="002C0B15">
        <w:rPr>
          <w:rFonts w:hint="cs"/>
          <w:rtl/>
        </w:rPr>
        <w:t>ב"כ הנאשם: עו"ד יפעת זינר</w:t>
      </w:r>
    </w:p>
    <w:p w14:paraId="5609636C" w14:textId="77777777" w:rsidR="006F0712" w:rsidRPr="002C0B15" w:rsidRDefault="006F0712" w:rsidP="006F0712">
      <w:pPr>
        <w:rPr>
          <w:rtl/>
        </w:rPr>
      </w:pPr>
      <w:r w:rsidRPr="002C0B15">
        <w:rPr>
          <w:rFonts w:hint="cs"/>
          <w:rtl/>
        </w:rPr>
        <w:t>הנאשם בעצמו</w:t>
      </w:r>
    </w:p>
    <w:p w14:paraId="4137FAE7" w14:textId="77777777" w:rsidR="00D81E40" w:rsidRDefault="00D81E40" w:rsidP="006F0712">
      <w:pPr>
        <w:pStyle w:val="12"/>
        <w:rPr>
          <w:b w:val="0"/>
          <w:bCs w:val="0"/>
          <w:u w:val="none"/>
          <w:rtl/>
        </w:rPr>
      </w:pPr>
      <w:bookmarkStart w:id="3" w:name="LawTable"/>
      <w:bookmarkEnd w:id="3"/>
    </w:p>
    <w:p w14:paraId="1BA15380" w14:textId="77777777" w:rsidR="00D81E40" w:rsidRPr="00D81E40" w:rsidRDefault="00D81E40" w:rsidP="00D81E40">
      <w:pPr>
        <w:pStyle w:val="12"/>
        <w:spacing w:after="120" w:line="240" w:lineRule="exact"/>
        <w:ind w:left="283" w:hanging="283"/>
        <w:jc w:val="both"/>
        <w:rPr>
          <w:rFonts w:ascii="FrankRuehl" w:hAnsi="FrankRuehl" w:cs="FrankRuehl"/>
          <w:b w:val="0"/>
          <w:bCs w:val="0"/>
          <w:u w:val="none"/>
          <w:rtl/>
        </w:rPr>
      </w:pPr>
    </w:p>
    <w:p w14:paraId="170D1857" w14:textId="77777777" w:rsidR="00D81E40" w:rsidRPr="00D81E40" w:rsidRDefault="00D81E40" w:rsidP="00D81E40">
      <w:pPr>
        <w:pStyle w:val="12"/>
        <w:spacing w:after="120" w:line="240" w:lineRule="exact"/>
        <w:ind w:left="283" w:hanging="283"/>
        <w:jc w:val="both"/>
        <w:rPr>
          <w:rFonts w:ascii="FrankRuehl" w:hAnsi="FrankRuehl" w:cs="FrankRuehl"/>
          <w:b w:val="0"/>
          <w:bCs w:val="0"/>
          <w:u w:val="none"/>
          <w:rtl/>
        </w:rPr>
      </w:pPr>
      <w:r w:rsidRPr="00D81E40">
        <w:rPr>
          <w:rFonts w:ascii="FrankRuehl" w:hAnsi="FrankRuehl" w:cs="FrankRuehl"/>
          <w:b w:val="0"/>
          <w:bCs w:val="0"/>
          <w:u w:val="none"/>
          <w:rtl/>
        </w:rPr>
        <w:t xml:space="preserve">חקיקה שאוזכרה: </w:t>
      </w:r>
    </w:p>
    <w:p w14:paraId="6C6B75FA" w14:textId="77777777" w:rsidR="00D81E40" w:rsidRPr="00D81E40" w:rsidRDefault="00D81E40" w:rsidP="00D81E40">
      <w:pPr>
        <w:pStyle w:val="12"/>
        <w:spacing w:after="120" w:line="240" w:lineRule="exact"/>
        <w:ind w:left="283" w:hanging="283"/>
        <w:jc w:val="both"/>
        <w:rPr>
          <w:rFonts w:ascii="FrankRuehl" w:hAnsi="FrankRuehl" w:cs="FrankRuehl"/>
          <w:b w:val="0"/>
          <w:bCs w:val="0"/>
          <w:u w:val="none"/>
          <w:rtl/>
        </w:rPr>
      </w:pPr>
      <w:hyperlink r:id="rId6" w:history="1">
        <w:r w:rsidRPr="00D81E40">
          <w:rPr>
            <w:rFonts w:ascii="FrankRuehl" w:hAnsi="FrankRuehl" w:cs="FrankRuehl"/>
            <w:b w:val="0"/>
            <w:bCs w:val="0"/>
            <w:color w:val="0000FF"/>
            <w:rtl/>
          </w:rPr>
          <w:t>פקודת הסמים המסוכנים [נוסח חדש], תשל"ג-1973</w:t>
        </w:r>
      </w:hyperlink>
      <w:r w:rsidRPr="00D81E40">
        <w:rPr>
          <w:rFonts w:ascii="FrankRuehl" w:hAnsi="FrankRuehl" w:cs="FrankRuehl"/>
          <w:b w:val="0"/>
          <w:bCs w:val="0"/>
          <w:u w:val="none"/>
          <w:rtl/>
        </w:rPr>
        <w:t xml:space="preserve">: סע'  </w:t>
      </w:r>
      <w:hyperlink r:id="rId7" w:history="1">
        <w:r w:rsidRPr="00D81E40">
          <w:rPr>
            <w:rFonts w:ascii="FrankRuehl" w:hAnsi="FrankRuehl" w:cs="FrankRuehl"/>
            <w:b w:val="0"/>
            <w:bCs w:val="0"/>
            <w:color w:val="0000FF"/>
            <w:rtl/>
          </w:rPr>
          <w:t>7(א)</w:t>
        </w:r>
      </w:hyperlink>
      <w:r w:rsidRPr="00D81E40">
        <w:rPr>
          <w:rFonts w:ascii="FrankRuehl" w:hAnsi="FrankRuehl" w:cs="FrankRuehl"/>
          <w:b w:val="0"/>
          <w:bCs w:val="0"/>
          <w:u w:val="none"/>
          <w:rtl/>
        </w:rPr>
        <w:t xml:space="preserve">, </w:t>
      </w:r>
      <w:hyperlink r:id="rId8" w:history="1">
        <w:r w:rsidRPr="00D81E40">
          <w:rPr>
            <w:rFonts w:ascii="FrankRuehl" w:hAnsi="FrankRuehl" w:cs="FrankRuehl"/>
            <w:b w:val="0"/>
            <w:bCs w:val="0"/>
            <w:color w:val="0000FF"/>
            <w:rtl/>
          </w:rPr>
          <w:t>7(ג)</w:t>
        </w:r>
      </w:hyperlink>
    </w:p>
    <w:p w14:paraId="7199F6BF" w14:textId="77777777" w:rsidR="00D81E40" w:rsidRPr="00D81E40" w:rsidRDefault="00D81E40" w:rsidP="00D81E40">
      <w:pPr>
        <w:pStyle w:val="12"/>
        <w:spacing w:after="120" w:line="240" w:lineRule="exact"/>
        <w:ind w:left="283" w:hanging="283"/>
        <w:jc w:val="both"/>
        <w:rPr>
          <w:rFonts w:ascii="FrankRuehl" w:hAnsi="FrankRuehl" w:cs="FrankRuehl"/>
          <w:b w:val="0"/>
          <w:bCs w:val="0"/>
          <w:u w:val="none"/>
          <w:rtl/>
        </w:rPr>
      </w:pPr>
    </w:p>
    <w:p w14:paraId="3A9BF233" w14:textId="77777777" w:rsidR="002C0B15" w:rsidRPr="002C0B15" w:rsidRDefault="002C0B15" w:rsidP="006F0712">
      <w:pPr>
        <w:pStyle w:val="12"/>
        <w:jc w:val="center"/>
        <w:rPr>
          <w:sz w:val="32"/>
          <w:szCs w:val="32"/>
          <w:u w:val="none"/>
          <w:rtl/>
        </w:rPr>
      </w:pPr>
      <w:bookmarkStart w:id="4" w:name="LawTable_End"/>
      <w:bookmarkStart w:id="5" w:name="StartProtocol"/>
      <w:bookmarkEnd w:id="4"/>
    </w:p>
    <w:bookmarkEnd w:id="0"/>
    <w:bookmarkEnd w:id="5"/>
    <w:p w14:paraId="0BA76F43" w14:textId="77777777" w:rsidR="006F0712" w:rsidRDefault="006F0712" w:rsidP="006F0712">
      <w:pPr>
        <w:rPr>
          <w:rtl/>
        </w:rPr>
      </w:pPr>
    </w:p>
    <w:p w14:paraId="316423EC" w14:textId="77777777" w:rsidR="006F0712" w:rsidRDefault="006F0712" w:rsidP="006F0712">
      <w:pPr>
        <w:ind w:left="2880" w:firstLine="720"/>
        <w:rPr>
          <w:b/>
          <w:bCs/>
          <w:u w:val="single"/>
          <w:rtl/>
        </w:rPr>
      </w:pPr>
      <w:bookmarkStart w:id="6" w:name="PsakDin"/>
      <w:r>
        <w:rPr>
          <w:rFonts w:hint="cs"/>
          <w:b/>
          <w:bCs/>
          <w:u w:val="single"/>
          <w:rtl/>
        </w:rPr>
        <w:t>גזר ד</w:t>
      </w:r>
      <w:bookmarkEnd w:id="6"/>
      <w:r>
        <w:rPr>
          <w:rFonts w:hint="cs"/>
          <w:b/>
          <w:bCs/>
          <w:u w:val="single"/>
          <w:rtl/>
        </w:rPr>
        <w:t>ין ללא הרשעה</w:t>
      </w:r>
    </w:p>
    <w:p w14:paraId="69C2F29E" w14:textId="77777777" w:rsidR="006F0712" w:rsidRDefault="006F0712" w:rsidP="006F0712">
      <w:pPr>
        <w:rPr>
          <w:b/>
          <w:bCs/>
          <w:u w:val="single"/>
          <w:rtl/>
        </w:rPr>
      </w:pPr>
    </w:p>
    <w:p w14:paraId="76E28816" w14:textId="77777777" w:rsidR="006F0712" w:rsidRDefault="006F0712" w:rsidP="006F0712">
      <w:pPr>
        <w:ind w:left="720" w:hanging="360"/>
        <w:rPr>
          <w:rtl/>
        </w:rPr>
      </w:pPr>
      <w:r>
        <w:rPr>
          <w:rFonts w:hint="cs"/>
          <w:rtl/>
        </w:rPr>
        <w:t>1.</w:t>
      </w:r>
      <w:r>
        <w:rPr>
          <w:rFonts w:hint="cs"/>
          <w:rtl/>
        </w:rPr>
        <w:tab/>
        <w:t xml:space="preserve">הנאשם הודה, במסגרת הסדר טיעון, בכתב אישום  מתוקן המייחס לו עבירה של    החזקת סם לצריכה עצמית בניגוד </w:t>
      </w:r>
      <w:hyperlink r:id="rId9" w:history="1">
        <w:r w:rsidR="00D81E40" w:rsidRPr="00D81E40">
          <w:rPr>
            <w:color w:val="0000FF"/>
            <w:u w:val="single"/>
            <w:rtl/>
          </w:rPr>
          <w:t>לסעיף 7(א)</w:t>
        </w:r>
      </w:hyperlink>
      <w:r>
        <w:rPr>
          <w:rFonts w:hint="cs"/>
          <w:rtl/>
        </w:rPr>
        <w:t xml:space="preserve"> +</w:t>
      </w:r>
      <w:hyperlink r:id="rId10" w:history="1">
        <w:r w:rsidR="00D81E40" w:rsidRPr="00D81E40">
          <w:rPr>
            <w:color w:val="0000FF"/>
            <w:u w:val="single"/>
            <w:rtl/>
          </w:rPr>
          <w:t>7(ג)</w:t>
        </w:r>
      </w:hyperlink>
      <w:r>
        <w:rPr>
          <w:rFonts w:hint="cs"/>
          <w:rtl/>
        </w:rPr>
        <w:t xml:space="preserve"> סיפא  ל</w:t>
      </w:r>
      <w:hyperlink r:id="rId11" w:history="1">
        <w:r w:rsidR="002C0B15" w:rsidRPr="002C0B15">
          <w:rPr>
            <w:rStyle w:val="Hyperlink"/>
            <w:rFonts w:hint="eastAsia"/>
            <w:color w:val="0000FF"/>
            <w:rtl/>
          </w:rPr>
          <w:t>פקודת</w:t>
        </w:r>
        <w:r w:rsidR="002C0B15" w:rsidRPr="002C0B15">
          <w:rPr>
            <w:rStyle w:val="Hyperlink"/>
            <w:color w:val="0000FF"/>
            <w:rtl/>
          </w:rPr>
          <w:t xml:space="preserve"> הסמים המסוכנים</w:t>
        </w:r>
      </w:hyperlink>
      <w:r>
        <w:rPr>
          <w:rFonts w:hint="cs"/>
          <w:rtl/>
        </w:rPr>
        <w:t xml:space="preserve">, התשל"ג-1973. </w:t>
      </w:r>
    </w:p>
    <w:p w14:paraId="6B8BBB63" w14:textId="77777777" w:rsidR="006F0712" w:rsidRDefault="006F0712" w:rsidP="006F0712">
      <w:pPr>
        <w:ind w:left="720" w:hanging="360"/>
        <w:rPr>
          <w:rtl/>
        </w:rPr>
      </w:pPr>
    </w:p>
    <w:p w14:paraId="6AA0A77E" w14:textId="77777777" w:rsidR="006F0712" w:rsidRDefault="006F0712" w:rsidP="006F0712">
      <w:pPr>
        <w:ind w:left="720" w:hanging="360"/>
      </w:pPr>
      <w:r>
        <w:rPr>
          <w:rFonts w:hint="cs"/>
          <w:rtl/>
        </w:rPr>
        <w:t>2.</w:t>
      </w:r>
      <w:r>
        <w:rPr>
          <w:rFonts w:hint="cs"/>
          <w:rtl/>
        </w:rPr>
        <w:tab/>
        <w:t xml:space="preserve">על פי עובדות כתב האישום ביום  31.12.14 החזיק הנאשם בתוך דלת רכב שבבעלותו סם מסוג קנבוס במשקל 0.56622 גרם וזאת לצריכתו העצמית. </w:t>
      </w:r>
    </w:p>
    <w:p w14:paraId="30468795" w14:textId="77777777" w:rsidR="006F0712" w:rsidRDefault="006F0712" w:rsidP="006F0712">
      <w:pPr>
        <w:ind w:firstLine="360"/>
        <w:rPr>
          <w:rtl/>
        </w:rPr>
      </w:pPr>
    </w:p>
    <w:p w14:paraId="1CCC2DCE" w14:textId="77777777" w:rsidR="006F0712" w:rsidRDefault="006F0712" w:rsidP="006F0712">
      <w:pPr>
        <w:ind w:left="720" w:hanging="360"/>
        <w:rPr>
          <w:rtl/>
        </w:rPr>
      </w:pPr>
      <w:r>
        <w:rPr>
          <w:rFonts w:hint="cs"/>
          <w:rtl/>
        </w:rPr>
        <w:t>3.</w:t>
      </w:r>
      <w:r>
        <w:rPr>
          <w:rFonts w:hint="cs"/>
          <w:rtl/>
        </w:rPr>
        <w:tab/>
        <w:t xml:space="preserve">במסגרת ההסדר הוסכם כי הצדדים יעתרו במשותף לכך שבית המשפט ימנע מהרשעת הנאשם, וכי יאמצו את המלצת שרות המבחן בעניין זה. </w:t>
      </w:r>
    </w:p>
    <w:p w14:paraId="60060709" w14:textId="77777777" w:rsidR="006F0712" w:rsidRDefault="006F0712" w:rsidP="006F0712">
      <w:pPr>
        <w:ind w:left="720" w:hanging="360"/>
        <w:rPr>
          <w:rtl/>
        </w:rPr>
      </w:pPr>
    </w:p>
    <w:p w14:paraId="6248BDE2" w14:textId="77777777" w:rsidR="006F0712" w:rsidRDefault="006F0712" w:rsidP="006F0712">
      <w:pPr>
        <w:ind w:left="720" w:hanging="360"/>
        <w:rPr>
          <w:rtl/>
        </w:rPr>
      </w:pPr>
      <w:r>
        <w:rPr>
          <w:rFonts w:hint="cs"/>
          <w:rtl/>
        </w:rPr>
        <w:lastRenderedPageBreak/>
        <w:t>4.</w:t>
      </w:r>
      <w:r>
        <w:rPr>
          <w:rFonts w:hint="cs"/>
          <w:rtl/>
        </w:rPr>
        <w:tab/>
        <w:t xml:space="preserve">מונח בפני תסקיר שרות המבחן אשר סוקר את הרקע האישי והמשפחתי של הנאשם ואשר בחן את השפעת הרשעה על הנאשם. שרות המבחן המליץ בנסיבותיו של הנאשם להימנע מהרשעה ולהטיל על הנאשם ענישה מוחשית בדמות של"צ ומתן הוראה למסירת דגימות לאיתור שרידי סם. </w:t>
      </w:r>
    </w:p>
    <w:p w14:paraId="1BA96A3C" w14:textId="77777777" w:rsidR="006F0712" w:rsidRDefault="006F0712" w:rsidP="006F0712">
      <w:pPr>
        <w:ind w:left="720" w:hanging="360"/>
        <w:rPr>
          <w:rtl/>
        </w:rPr>
      </w:pPr>
    </w:p>
    <w:p w14:paraId="4D5D3F30" w14:textId="77777777" w:rsidR="006F0712" w:rsidRDefault="006F0712" w:rsidP="006F0712">
      <w:pPr>
        <w:ind w:left="720" w:hanging="360"/>
        <w:rPr>
          <w:rtl/>
        </w:rPr>
      </w:pPr>
      <w:r>
        <w:rPr>
          <w:rFonts w:hint="cs"/>
          <w:rtl/>
        </w:rPr>
        <w:t>5.</w:t>
      </w:r>
      <w:r>
        <w:rPr>
          <w:rFonts w:hint="cs"/>
          <w:rtl/>
        </w:rPr>
        <w:tab/>
        <w:t>לאחר ששקלתי את מכלול השיקולים, את העובדה שהנאשם בחר לקחת אחריות ולהודות באשמה בהזדמנות ראשונה, את היותו נעדר עבר פלילי, את כוונתו להתחיל בלימודים אשר דורשים תעודת יושר, את טיעוני הצדדים לעונש, את המלצת שרות המבחן,  את עמדת המאשימה אשר בהיותה אמונה על האינטרס הציבורי, נתנה הסכמתה להימנע מהרשעת הנאשם מצאתי לנכון לכבד את ההסדר.</w:t>
      </w:r>
    </w:p>
    <w:p w14:paraId="0D4DE18B" w14:textId="77777777" w:rsidR="006F0712" w:rsidRDefault="006F0712" w:rsidP="006F0712">
      <w:pPr>
        <w:ind w:left="720" w:hanging="720"/>
        <w:rPr>
          <w:rtl/>
        </w:rPr>
      </w:pPr>
    </w:p>
    <w:p w14:paraId="7FD24172" w14:textId="77777777" w:rsidR="006F0712" w:rsidRDefault="006F0712" w:rsidP="006F0712">
      <w:pPr>
        <w:ind w:firstLine="360"/>
        <w:rPr>
          <w:rtl/>
        </w:rPr>
      </w:pPr>
      <w:r>
        <w:rPr>
          <w:rFonts w:hint="cs"/>
          <w:rtl/>
        </w:rPr>
        <w:t>5.</w:t>
      </w:r>
      <w:r>
        <w:rPr>
          <w:rFonts w:hint="cs"/>
          <w:rtl/>
        </w:rPr>
        <w:tab/>
      </w:r>
      <w:r>
        <w:rPr>
          <w:rFonts w:hint="cs"/>
          <w:b/>
          <w:bCs/>
          <w:u w:val="single"/>
          <w:rtl/>
        </w:rPr>
        <w:t>לאור כל האמור  , אני נמנעת  מלהרשיע את הנאשם ומחייבת את הנאשם כדלקמן:</w:t>
      </w:r>
    </w:p>
    <w:p w14:paraId="4025BC35" w14:textId="77777777" w:rsidR="006F0712" w:rsidRDefault="006F0712" w:rsidP="006F0712">
      <w:pPr>
        <w:rPr>
          <w:rtl/>
        </w:rPr>
      </w:pPr>
    </w:p>
    <w:p w14:paraId="02B21898" w14:textId="77777777" w:rsidR="006F0712" w:rsidRDefault="006F0712" w:rsidP="006F0712">
      <w:pPr>
        <w:ind w:left="720"/>
      </w:pPr>
      <w:r>
        <w:rPr>
          <w:rFonts w:hint="cs"/>
          <w:rtl/>
        </w:rPr>
        <w:t>הנני מטילה על הנאשם צו לביצוע 140   שעות שירות  לתועלת הציבור וזאת במשך שנה. השל"צ יבוצע  בבית ספר "מפתן חרמון" באשדוד  בהתאם לתכנית שגובשה על ידי שירות המבחן ובפיקוח שרות המבחן.</w:t>
      </w:r>
    </w:p>
    <w:p w14:paraId="056642CF" w14:textId="77777777" w:rsidR="006F0712" w:rsidRDefault="006F0712" w:rsidP="006F0712">
      <w:pPr>
        <w:ind w:firstLine="720"/>
        <w:rPr>
          <w:rtl/>
        </w:rPr>
      </w:pPr>
      <w:r>
        <w:rPr>
          <w:rFonts w:hint="cs"/>
          <w:rtl/>
        </w:rPr>
        <w:t>אם יתעורר צורך בשינוי מקום ההשמה, שרות המבחן יעשה כן וידווח לבית המשפט.</w:t>
      </w:r>
    </w:p>
    <w:p w14:paraId="3F1DAC89" w14:textId="77777777" w:rsidR="006F0712" w:rsidRDefault="006F0712" w:rsidP="006F0712">
      <w:pPr>
        <w:ind w:left="1440"/>
        <w:rPr>
          <w:rtl/>
        </w:rPr>
      </w:pPr>
    </w:p>
    <w:p w14:paraId="7070CA1D" w14:textId="77777777" w:rsidR="006F0712" w:rsidRDefault="006F0712" w:rsidP="006F0712">
      <w:pPr>
        <w:rPr>
          <w:rtl/>
        </w:rPr>
      </w:pPr>
      <w:r>
        <w:rPr>
          <w:rFonts w:hint="cs"/>
          <w:rtl/>
        </w:rPr>
        <w:t xml:space="preserve">הנאשם מוזהר כי אם לא ימולאו תנאי הצו במלואם, ניתן יהיה לבטלו, להרשיעו בביצוע העבירה, ולהטיל עליו עונש על העבירה שבגללה ניתן צו השירות  </w:t>
      </w:r>
    </w:p>
    <w:p w14:paraId="3206C0F5" w14:textId="77777777" w:rsidR="006F0712" w:rsidRDefault="006F0712" w:rsidP="006F0712">
      <w:pPr>
        <w:ind w:left="720" w:hanging="720"/>
        <w:rPr>
          <w:rtl/>
        </w:rPr>
      </w:pPr>
    </w:p>
    <w:p w14:paraId="48254BBF" w14:textId="77777777" w:rsidR="006F0712" w:rsidRDefault="006F0712" w:rsidP="006F0712">
      <w:pPr>
        <w:ind w:left="720" w:hanging="720"/>
        <w:rPr>
          <w:b/>
          <w:bCs/>
          <w:rtl/>
        </w:rPr>
      </w:pPr>
      <w:r>
        <w:rPr>
          <w:rFonts w:hint="cs"/>
          <w:b/>
          <w:bCs/>
          <w:rtl/>
        </w:rPr>
        <w:t xml:space="preserve">העתק מגזר הדין ישלח לשרות המבחן. </w:t>
      </w:r>
    </w:p>
    <w:p w14:paraId="59D7C8EF" w14:textId="77777777" w:rsidR="006F0712" w:rsidRDefault="006F0712" w:rsidP="006F0712">
      <w:pPr>
        <w:ind w:left="720" w:hanging="720"/>
        <w:rPr>
          <w:b/>
          <w:bCs/>
          <w:rtl/>
        </w:rPr>
      </w:pPr>
    </w:p>
    <w:p w14:paraId="46445DE7" w14:textId="77777777" w:rsidR="006F0712" w:rsidRDefault="006F0712" w:rsidP="006F0712">
      <w:pPr>
        <w:rPr>
          <w:b/>
          <w:bCs/>
          <w:rtl/>
        </w:rPr>
      </w:pPr>
      <w:r>
        <w:rPr>
          <w:rFonts w:hint="cs"/>
          <w:b/>
          <w:bCs/>
          <w:rtl/>
        </w:rPr>
        <w:t xml:space="preserve">תשומת לב שרות המבחן כי כתובתו המעודכנת של הנאשם הינה כינור 26/14 אשדוד. טלפון: 052-5556041 וכן 08-8561658. </w:t>
      </w:r>
    </w:p>
    <w:p w14:paraId="47D34208" w14:textId="77777777" w:rsidR="006F0712" w:rsidRDefault="006F0712" w:rsidP="006F0712">
      <w:pPr>
        <w:rPr>
          <w:rtl/>
        </w:rPr>
      </w:pPr>
    </w:p>
    <w:p w14:paraId="0E9901F4" w14:textId="77777777" w:rsidR="006F0712" w:rsidRDefault="006F0712" w:rsidP="006F0712">
      <w:r>
        <w:rPr>
          <w:rFonts w:hint="cs"/>
          <w:rtl/>
        </w:rPr>
        <w:t>ניתן בזאת צו להשמדת המוצגים, סמים וסכין -  וזאת בכפוף לחלוף תקופת הערעור.</w:t>
      </w:r>
    </w:p>
    <w:p w14:paraId="1EECA756" w14:textId="77777777" w:rsidR="006F0712" w:rsidRPr="00DC5B49" w:rsidRDefault="006F0712" w:rsidP="006F0712"/>
    <w:p w14:paraId="77DC62D5" w14:textId="77777777" w:rsidR="006F0712" w:rsidRDefault="006F0712" w:rsidP="006F0712">
      <w:pPr>
        <w:rPr>
          <w:b/>
          <w:bCs/>
          <w:rtl/>
        </w:rPr>
      </w:pPr>
      <w:r>
        <w:rPr>
          <w:rFonts w:hint="cs"/>
          <w:b/>
          <w:bCs/>
          <w:rtl/>
        </w:rPr>
        <w:t>זכות ערעור תוך 45 יום מהיום לבית המשפט המחוזי בבאר שבע.</w:t>
      </w:r>
    </w:p>
    <w:p w14:paraId="5CC8885A" w14:textId="77777777" w:rsidR="006F0712" w:rsidRDefault="006F0712" w:rsidP="006F0712">
      <w:pPr>
        <w:rPr>
          <w:rtl/>
        </w:rPr>
      </w:pPr>
    </w:p>
    <w:p w14:paraId="1423D205" w14:textId="77777777" w:rsidR="006F0712" w:rsidRDefault="006F0712" w:rsidP="006F0712">
      <w:pPr>
        <w:rPr>
          <w:sz w:val="6"/>
          <w:szCs w:val="6"/>
          <w:rtl/>
        </w:rPr>
      </w:pPr>
      <w:r>
        <w:rPr>
          <w:sz w:val="6"/>
          <w:szCs w:val="6"/>
          <w:rtl/>
        </w:rPr>
        <w:t>&lt;#3#&gt;</w:t>
      </w:r>
    </w:p>
    <w:p w14:paraId="3D3CBDD1" w14:textId="77777777" w:rsidR="006F0712" w:rsidRDefault="006F0712" w:rsidP="006F0712">
      <w:pPr>
        <w:jc w:val="right"/>
        <w:rPr>
          <w:rtl/>
        </w:rPr>
      </w:pPr>
    </w:p>
    <w:p w14:paraId="5E4AD703" w14:textId="77777777" w:rsidR="006F0712" w:rsidRDefault="002C0B15" w:rsidP="006F0712">
      <w:pPr>
        <w:jc w:val="center"/>
        <w:rPr>
          <w:rtl/>
        </w:rPr>
      </w:pPr>
      <w:r>
        <w:rPr>
          <w:b/>
          <w:bCs/>
          <w:rtl/>
        </w:rPr>
        <w:t xml:space="preserve">ניתנה והודעה היום כ"ב חשוון תשע"ז, 23/11/2016 במעמד הנוכחים. </w:t>
      </w:r>
    </w:p>
    <w:p w14:paraId="782770FE" w14:textId="77777777" w:rsidR="006F0712" w:rsidRPr="002C0B15" w:rsidRDefault="002C0B15" w:rsidP="006F0712">
      <w:pPr>
        <w:jc w:val="right"/>
        <w:rPr>
          <w:color w:val="FFFFFF"/>
          <w:sz w:val="2"/>
          <w:szCs w:val="2"/>
          <w:rtl/>
        </w:rPr>
      </w:pPr>
      <w:r w:rsidRPr="002C0B15">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5E3B14" w14:paraId="5862FBA7" w14:textId="77777777" w:rsidTr="006F0712">
        <w:trPr>
          <w:trHeight w:val="316"/>
          <w:jc w:val="right"/>
        </w:trPr>
        <w:tc>
          <w:tcPr>
            <w:tcW w:w="3936" w:type="dxa"/>
            <w:shd w:val="clear" w:color="auto" w:fill="auto"/>
          </w:tcPr>
          <w:p w14:paraId="1C26B77D" w14:textId="77777777" w:rsidR="006F0712" w:rsidRPr="002C0B15" w:rsidRDefault="002C0B15" w:rsidP="006F0712">
            <w:pPr>
              <w:jc w:val="center"/>
              <w:rPr>
                <w:color w:val="FFFFFF"/>
                <w:sz w:val="2"/>
                <w:szCs w:val="2"/>
              </w:rPr>
            </w:pPr>
            <w:r w:rsidRPr="002C0B15">
              <w:rPr>
                <w:color w:val="FFFFFF"/>
                <w:sz w:val="2"/>
                <w:szCs w:val="2"/>
                <w:rtl/>
              </w:rPr>
              <w:t>54678313</w:t>
            </w:r>
            <w:r w:rsidR="006F0712" w:rsidRPr="002C0B15">
              <w:rPr>
                <w:color w:val="FFFFFF"/>
                <w:sz w:val="2"/>
                <w:szCs w:val="2"/>
                <w:rtl/>
              </w:rPr>
              <w:t xml:space="preserve">     </w:t>
            </w:r>
          </w:p>
          <w:p w14:paraId="1459E997" w14:textId="77777777" w:rsidR="006F0712" w:rsidRDefault="006F0712" w:rsidP="006F0712">
            <w:pPr>
              <w:jc w:val="center"/>
              <w:rPr>
                <w:rtl/>
              </w:rPr>
            </w:pPr>
          </w:p>
        </w:tc>
      </w:tr>
      <w:tr w:rsidR="005E3B14" w14:paraId="578FE439" w14:textId="77777777" w:rsidTr="006F0712">
        <w:trPr>
          <w:trHeight w:val="361"/>
          <w:jc w:val="right"/>
        </w:trPr>
        <w:tc>
          <w:tcPr>
            <w:tcW w:w="3936" w:type="dxa"/>
            <w:shd w:val="clear" w:color="auto" w:fill="auto"/>
          </w:tcPr>
          <w:p w14:paraId="685D1F8A" w14:textId="77777777" w:rsidR="006F0712" w:rsidRPr="006F0712" w:rsidRDefault="006F0712" w:rsidP="006F0712">
            <w:pPr>
              <w:jc w:val="center"/>
              <w:rPr>
                <w:b/>
                <w:bCs/>
                <w:rtl/>
              </w:rPr>
            </w:pPr>
            <w:r w:rsidRPr="006F0712">
              <w:rPr>
                <w:b/>
                <w:bCs/>
                <w:rtl/>
              </w:rPr>
              <w:lastRenderedPageBreak/>
              <w:t>נועה</w:t>
            </w:r>
            <w:r w:rsidRPr="006F0712">
              <w:rPr>
                <w:rFonts w:hint="cs"/>
                <w:b/>
                <w:bCs/>
                <w:rtl/>
              </w:rPr>
              <w:t xml:space="preserve"> </w:t>
            </w:r>
            <w:r w:rsidRPr="006F0712">
              <w:rPr>
                <w:b/>
                <w:bCs/>
                <w:rtl/>
              </w:rPr>
              <w:t xml:space="preserve">חקלאי </w:t>
            </w:r>
            <w:r w:rsidRPr="006F0712">
              <w:rPr>
                <w:rFonts w:hint="cs"/>
                <w:b/>
                <w:bCs/>
                <w:rtl/>
              </w:rPr>
              <w:t xml:space="preserve">, </w:t>
            </w:r>
            <w:r w:rsidRPr="006F0712">
              <w:rPr>
                <w:b/>
                <w:bCs/>
                <w:rtl/>
              </w:rPr>
              <w:t xml:space="preserve">שופטת </w:t>
            </w:r>
          </w:p>
        </w:tc>
      </w:tr>
    </w:tbl>
    <w:p w14:paraId="4633388C" w14:textId="77777777" w:rsidR="006F0712" w:rsidRDefault="006F0712" w:rsidP="006F0712">
      <w:pPr>
        <w:jc w:val="right"/>
        <w:rPr>
          <w:rtl/>
        </w:rPr>
      </w:pPr>
    </w:p>
    <w:p w14:paraId="360D2488" w14:textId="77777777" w:rsidR="006F0712" w:rsidRPr="00DC5B49" w:rsidRDefault="006F0712" w:rsidP="006F0712">
      <w:pPr>
        <w:rPr>
          <w:szCs w:val="24"/>
          <w:rtl/>
        </w:rPr>
      </w:pPr>
      <w:r>
        <w:rPr>
          <w:szCs w:val="24"/>
          <w:rtl/>
        </w:rPr>
        <w:t xml:space="preserve"> </w:t>
      </w:r>
    </w:p>
    <w:p w14:paraId="313F4ECC" w14:textId="77777777" w:rsidR="006F0712" w:rsidRDefault="006F0712" w:rsidP="006F0712">
      <w:r>
        <w:rPr>
          <w:szCs w:val="24"/>
          <w:rtl/>
        </w:rPr>
        <w:t>הוקלד</w:t>
      </w:r>
      <w:r>
        <w:t xml:space="preserve"> </w:t>
      </w:r>
      <w:r>
        <w:rPr>
          <w:szCs w:val="24"/>
          <w:rtl/>
        </w:rPr>
        <w:t>על</w:t>
      </w:r>
      <w:r>
        <w:t xml:space="preserve"> </w:t>
      </w:r>
      <w:r>
        <w:rPr>
          <w:szCs w:val="24"/>
          <w:rtl/>
        </w:rPr>
        <w:t>ידי</w:t>
      </w:r>
      <w:r>
        <w:t xml:space="preserve"> </w:t>
      </w:r>
      <w:r>
        <w:rPr>
          <w:szCs w:val="24"/>
          <w:rtl/>
        </w:rPr>
        <w:t>תמר</w:t>
      </w:r>
      <w:r>
        <w:t xml:space="preserve"> </w:t>
      </w:r>
      <w:r>
        <w:rPr>
          <w:szCs w:val="24"/>
          <w:rtl/>
        </w:rPr>
        <w:t>סידרנסקי</w:t>
      </w:r>
    </w:p>
    <w:p w14:paraId="64BEB655" w14:textId="77777777" w:rsidR="002D7B2F" w:rsidRPr="002C0B15" w:rsidRDefault="002D7B2F" w:rsidP="002C0B15">
      <w:pPr>
        <w:keepNext/>
        <w:jc w:val="left"/>
        <w:rPr>
          <w:color w:val="000000"/>
          <w:sz w:val="22"/>
          <w:szCs w:val="22"/>
          <w:rtl/>
        </w:rPr>
      </w:pPr>
    </w:p>
    <w:p w14:paraId="0365CD00" w14:textId="77777777" w:rsidR="002C0B15" w:rsidRPr="002C0B15" w:rsidRDefault="002C0B15" w:rsidP="002C0B15">
      <w:pPr>
        <w:keepNext/>
        <w:jc w:val="left"/>
        <w:rPr>
          <w:color w:val="000000"/>
          <w:sz w:val="22"/>
          <w:szCs w:val="22"/>
          <w:rtl/>
        </w:rPr>
      </w:pPr>
      <w:r w:rsidRPr="002C0B15">
        <w:rPr>
          <w:color w:val="000000"/>
          <w:sz w:val="22"/>
          <w:szCs w:val="22"/>
          <w:rtl/>
        </w:rPr>
        <w:t>נועה חקלאי 54678313</w:t>
      </w:r>
    </w:p>
    <w:p w14:paraId="73761E9C" w14:textId="77777777" w:rsidR="002C0B15" w:rsidRDefault="002C0B15" w:rsidP="002C0B15">
      <w:pPr>
        <w:jc w:val="left"/>
      </w:pPr>
      <w:r w:rsidRPr="002C0B15">
        <w:rPr>
          <w:color w:val="000000"/>
          <w:rtl/>
        </w:rPr>
        <w:t>נוסח מסמך זה כפוף לשינויי ניסוח ועריכה</w:t>
      </w:r>
    </w:p>
    <w:p w14:paraId="15814DEC" w14:textId="77777777" w:rsidR="002C0B15" w:rsidRDefault="002C0B15" w:rsidP="002C0B15">
      <w:pPr>
        <w:jc w:val="left"/>
        <w:rPr>
          <w:rtl/>
        </w:rPr>
      </w:pPr>
    </w:p>
    <w:p w14:paraId="1C9704F8" w14:textId="77777777" w:rsidR="002C0B15" w:rsidRDefault="002C0B15" w:rsidP="002C0B15">
      <w:pPr>
        <w:jc w:val="center"/>
        <w:rPr>
          <w:color w:val="0000FF"/>
          <w:szCs w:val="24"/>
          <w:u w:val="single"/>
        </w:rPr>
      </w:pPr>
      <w:hyperlink r:id="rId12" w:history="1">
        <w:r>
          <w:rPr>
            <w:color w:val="0000FF"/>
            <w:szCs w:val="24"/>
            <w:u w:val="single"/>
            <w:rtl/>
          </w:rPr>
          <w:t>בעניין עריכה ושינויים במסמכי פסיקה, חקיקה ועוד באתר נבו – הקש כאן</w:t>
        </w:r>
      </w:hyperlink>
    </w:p>
    <w:p w14:paraId="68A65457" w14:textId="77777777" w:rsidR="002C0B15" w:rsidRPr="002C0B15" w:rsidRDefault="002C0B15" w:rsidP="002C0B15">
      <w:pPr>
        <w:jc w:val="center"/>
        <w:rPr>
          <w:color w:val="0000FF"/>
          <w:szCs w:val="24"/>
          <w:u w:val="single"/>
        </w:rPr>
      </w:pPr>
    </w:p>
    <w:sectPr w:rsidR="002C0B15" w:rsidRPr="002C0B15" w:rsidSect="002C0B15">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7CF1B" w14:textId="77777777" w:rsidR="00BD29BF" w:rsidRDefault="00BD29BF" w:rsidP="0030012F">
      <w:pPr>
        <w:spacing w:line="240" w:lineRule="auto"/>
      </w:pPr>
      <w:r>
        <w:separator/>
      </w:r>
    </w:p>
  </w:endnote>
  <w:endnote w:type="continuationSeparator" w:id="0">
    <w:p w14:paraId="29474F49" w14:textId="77777777" w:rsidR="00BD29BF" w:rsidRDefault="00BD29BF" w:rsidP="003001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384558" w14:textId="77777777" w:rsidR="00BD29BF" w:rsidRDefault="00BD29BF" w:rsidP="002C0B1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5</w:t>
    </w:r>
    <w:r>
      <w:rPr>
        <w:rFonts w:ascii="FrankRuehl" w:hAnsi="FrankRuehl" w:cs="FrankRuehl"/>
        <w:szCs w:val="24"/>
        <w:rtl/>
      </w:rPr>
      <w:fldChar w:fldCharType="end"/>
    </w:r>
  </w:p>
  <w:p w14:paraId="26C91CAF" w14:textId="77777777" w:rsidR="00BD29BF" w:rsidRPr="002C0B15" w:rsidRDefault="00BD29BF" w:rsidP="002C0B1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6C3AC" w14:textId="77777777" w:rsidR="00BD29BF" w:rsidRDefault="00BD29BF" w:rsidP="002C0B15">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9C01C2">
      <w:rPr>
        <w:rFonts w:ascii="FrankRuehl" w:hAnsi="FrankRuehl" w:cs="FrankRuehl"/>
        <w:noProof/>
        <w:szCs w:val="24"/>
        <w:rtl/>
      </w:rPr>
      <w:t>1</w:t>
    </w:r>
    <w:r>
      <w:rPr>
        <w:rFonts w:ascii="FrankRuehl" w:hAnsi="FrankRuehl" w:cs="FrankRuehl"/>
        <w:szCs w:val="24"/>
        <w:rtl/>
      </w:rPr>
      <w:fldChar w:fldCharType="end"/>
    </w:r>
  </w:p>
  <w:p w14:paraId="541D4EB6" w14:textId="77777777" w:rsidR="00BD29BF" w:rsidRPr="002C0B15" w:rsidRDefault="00BD29BF" w:rsidP="002C0B15">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Pr>
        <w:rFonts w:ascii="FrankRuehl" w:hAnsi="FrankRuehl" w:cs="FrankRuehl"/>
        <w:color w:val="000000"/>
        <w:szCs w:val="24"/>
      </w:rPr>
      <w:pict w14:anchorId="41D09A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EB075" w14:textId="77777777" w:rsidR="00BD29BF" w:rsidRDefault="00BD29BF" w:rsidP="0030012F">
      <w:pPr>
        <w:spacing w:line="240" w:lineRule="auto"/>
      </w:pPr>
      <w:r>
        <w:separator/>
      </w:r>
    </w:p>
  </w:footnote>
  <w:footnote w:type="continuationSeparator" w:id="0">
    <w:p w14:paraId="1B6DC5A0" w14:textId="77777777" w:rsidR="00BD29BF" w:rsidRDefault="00BD29BF" w:rsidP="003001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5C6E1" w14:textId="77777777" w:rsidR="00BD29BF" w:rsidRPr="002C0B15" w:rsidRDefault="00BD29BF" w:rsidP="002C0B15">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18185-03-15</w:t>
    </w:r>
    <w:r>
      <w:rPr>
        <w:color w:val="000000"/>
        <w:sz w:val="22"/>
        <w:szCs w:val="22"/>
        <w:rtl/>
      </w:rPr>
      <w:tab/>
      <w:t xml:space="preserve"> מדינת ישראל נ' נתנאל יעקובוב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047DA" w14:textId="77777777" w:rsidR="00BD29BF" w:rsidRPr="002C0B15" w:rsidRDefault="00BD29BF" w:rsidP="002C0B15">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18185-03-15</w:t>
    </w:r>
    <w:r>
      <w:rPr>
        <w:color w:val="000000"/>
        <w:sz w:val="22"/>
        <w:szCs w:val="22"/>
        <w:rtl/>
      </w:rPr>
      <w:tab/>
      <w:t xml:space="preserve"> מדינת ישראל נ' נתנאל יעקובוב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F0712"/>
    <w:rsid w:val="002C0B15"/>
    <w:rsid w:val="002D7B2F"/>
    <w:rsid w:val="0030012F"/>
    <w:rsid w:val="003E5518"/>
    <w:rsid w:val="005E3B14"/>
    <w:rsid w:val="006F0712"/>
    <w:rsid w:val="009C01C2"/>
    <w:rsid w:val="00BA16A0"/>
    <w:rsid w:val="00BD29BF"/>
    <w:rsid w:val="00C346F9"/>
    <w:rsid w:val="00D81E40"/>
    <w:rsid w:val="00EA2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52CB98E"/>
  <w15:chartTrackingRefBased/>
  <w15:docId w15:val="{AD8D3027-7228-4F92-9DE8-C002F75D3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F0712"/>
    <w:pPr>
      <w:bidi/>
      <w:spacing w:line="360" w:lineRule="auto"/>
      <w:jc w:val="both"/>
    </w:pPr>
    <w:rPr>
      <w:rFonts w:ascii="David" w:eastAsia="David" w:hAnsi="David" w:cs="David"/>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0712"/>
    <w:pPr>
      <w:tabs>
        <w:tab w:val="center" w:pos="4153"/>
        <w:tab w:val="right" w:pos="8306"/>
      </w:tabs>
    </w:pPr>
  </w:style>
  <w:style w:type="character" w:customStyle="1" w:styleId="a4">
    <w:name w:val="כותרת עליונה תו"/>
    <w:link w:val="a3"/>
    <w:rsid w:val="006F0712"/>
    <w:rPr>
      <w:rFonts w:ascii="David" w:eastAsia="David" w:hAnsi="David" w:cs="David"/>
      <w:sz w:val="24"/>
      <w:szCs w:val="26"/>
    </w:rPr>
  </w:style>
  <w:style w:type="paragraph" w:styleId="a5">
    <w:name w:val="footer"/>
    <w:basedOn w:val="a"/>
    <w:link w:val="a6"/>
    <w:rsid w:val="006F0712"/>
    <w:pPr>
      <w:tabs>
        <w:tab w:val="center" w:pos="4153"/>
        <w:tab w:val="right" w:pos="8306"/>
      </w:tabs>
    </w:pPr>
  </w:style>
  <w:style w:type="character" w:customStyle="1" w:styleId="a6">
    <w:name w:val="כותרת תחתונה תו"/>
    <w:link w:val="a5"/>
    <w:rsid w:val="006F0712"/>
    <w:rPr>
      <w:rFonts w:ascii="David" w:eastAsia="David" w:hAnsi="David" w:cs="David"/>
      <w:sz w:val="24"/>
      <w:szCs w:val="26"/>
    </w:rPr>
  </w:style>
  <w:style w:type="table" w:styleId="a7">
    <w:name w:val="Table Grid"/>
    <w:basedOn w:val="a1"/>
    <w:rsid w:val="006F0712"/>
    <w:pPr>
      <w:jc w:val="right"/>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F0712"/>
  </w:style>
  <w:style w:type="paragraph" w:customStyle="1" w:styleId="12">
    <w:name w:val="רגיל + ‏12 נק'"/>
    <w:aliases w:val="מיושר לשני הצדדים,מרווח בין שורות:  שורה וחצי"/>
    <w:basedOn w:val="a"/>
    <w:rsid w:val="006F0712"/>
    <w:pPr>
      <w:spacing w:line="240" w:lineRule="auto"/>
      <w:jc w:val="left"/>
    </w:pPr>
    <w:rPr>
      <w:rFonts w:ascii="Times New Roman" w:eastAsia="Times New Roman" w:hAnsi="Times New Roman"/>
      <w:b/>
      <w:bCs/>
      <w:szCs w:val="24"/>
      <w:u w:val="single"/>
    </w:rPr>
  </w:style>
  <w:style w:type="character" w:styleId="a9">
    <w:name w:val="line number"/>
    <w:rsid w:val="006F0712"/>
  </w:style>
  <w:style w:type="character" w:styleId="Hyperlink">
    <w:name w:val="Hyperlink"/>
    <w:rsid w:val="002C0B15"/>
    <w:rPr>
      <w:color w:val="0563C1"/>
      <w:u w:val="single"/>
    </w:rPr>
  </w:style>
  <w:style w:type="character" w:styleId="aa">
    <w:name w:val="Unresolved Mention"/>
    <w:rsid w:val="002C0B1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4216/7.c" TargetMode="Externa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455</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2730</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2025-04-22T22:37:00Z</dcterms:created>
  <dcterms:modified xsi:type="dcterms:W3CDTF">2025-04-22T22:37:00Z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18185</vt:lpwstr>
  </property>
  <property fmtid="{D5CDD505-2E9C-101B-9397-08002B2CF9AE}" pid="6" name="NEWPARTB">
    <vt:lpwstr>03</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נתנאל יעקובוב</vt:lpwstr>
  </property>
  <property fmtid="{D5CDD505-2E9C-101B-9397-08002B2CF9AE}" pid="10" name="LAWYER">
    <vt:lpwstr>עמית חומרי;יפעת זינר</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20161123</vt:lpwstr>
  </property>
  <property fmtid="{D5CDD505-2E9C-101B-9397-08002B2CF9AE}" pid="14" name="TYPE_N_DATE">
    <vt:lpwstr>38020161123</vt:lpwstr>
  </property>
  <property fmtid="{D5CDD505-2E9C-101B-9397-08002B2CF9AE}" pid="15" name="WORDNUMPAGES">
    <vt:lpwstr>3</vt:lpwstr>
  </property>
  <property fmtid="{D5CDD505-2E9C-101B-9397-08002B2CF9AE}" pid="16" name="TYPE_ABS_DATE">
    <vt:lpwstr>380020161123</vt:lpwstr>
  </property>
  <property fmtid="{D5CDD505-2E9C-101B-9397-08002B2CF9AE}" pid="17" name="LAWLISTTMP1">
    <vt:lpwstr>4216/007.a;007.c</vt:lpwstr>
  </property>
</Properties>
</file>