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1406C" w:rsidRPr="00592AF7" w14:paraId="606AD836" w14:textId="77777777">
        <w:trPr>
          <w:trHeight w:hRule="exact" w:val="418"/>
          <w:jc w:val="center"/>
        </w:trPr>
        <w:tc>
          <w:tcPr>
            <w:tcW w:w="8720" w:type="dxa"/>
            <w:gridSpan w:val="3"/>
          </w:tcPr>
          <w:p w14:paraId="509E352D" w14:textId="77777777" w:rsidR="0031406C" w:rsidRPr="00592AF7" w:rsidRDefault="00592AF7">
            <w:pPr>
              <w:pStyle w:val="a5"/>
              <w:tabs>
                <w:tab w:val="clear" w:pos="8306"/>
              </w:tabs>
              <w:jc w:val="center"/>
              <w:rPr>
                <w:rFonts w:ascii="Tahoma" w:hAnsi="Tahoma" w:cs="Tahoma"/>
                <w:b/>
                <w:bCs/>
                <w:color w:val="000080"/>
                <w:sz w:val="20"/>
                <w:szCs w:val="20"/>
                <w:rtl/>
              </w:rPr>
            </w:pPr>
            <w:bookmarkStart w:id="0" w:name="LastJudge"/>
            <w:r w:rsidRPr="00592AF7">
              <w:rPr>
                <w:rFonts w:ascii="Tahoma" w:hAnsi="Tahoma" w:cs="Tahoma"/>
                <w:b/>
                <w:bCs/>
                <w:color w:val="000080"/>
                <w:sz w:val="20"/>
                <w:szCs w:val="20"/>
                <w:rtl/>
              </w:rPr>
              <w:t>בית משפט השלום בראשון לציון</w:t>
            </w:r>
          </w:p>
        </w:tc>
      </w:tr>
      <w:tr w:rsidR="0031406C" w:rsidRPr="00592AF7" w14:paraId="3934E0A9" w14:textId="77777777">
        <w:trPr>
          <w:trHeight w:val="337"/>
          <w:jc w:val="center"/>
        </w:trPr>
        <w:tc>
          <w:tcPr>
            <w:tcW w:w="6396" w:type="dxa"/>
          </w:tcPr>
          <w:p w14:paraId="7DF579CA" w14:textId="77777777" w:rsidR="0031406C" w:rsidRPr="00592AF7" w:rsidRDefault="00592AF7">
            <w:pPr>
              <w:rPr>
                <w:b/>
                <w:bCs/>
                <w:sz w:val="26"/>
                <w:szCs w:val="26"/>
                <w:rtl/>
              </w:rPr>
            </w:pPr>
            <w:r w:rsidRPr="00592AF7">
              <w:rPr>
                <w:b/>
                <w:bCs/>
                <w:sz w:val="26"/>
                <w:szCs w:val="26"/>
                <w:rtl/>
              </w:rPr>
              <w:t>ת"פ</w:t>
            </w:r>
            <w:r w:rsidRPr="00592AF7">
              <w:rPr>
                <w:rFonts w:hint="cs"/>
                <w:b/>
                <w:bCs/>
                <w:sz w:val="26"/>
                <w:szCs w:val="26"/>
                <w:rtl/>
              </w:rPr>
              <w:t xml:space="preserve"> </w:t>
            </w:r>
            <w:r w:rsidRPr="00592AF7">
              <w:rPr>
                <w:b/>
                <w:bCs/>
                <w:sz w:val="26"/>
                <w:szCs w:val="26"/>
                <w:rtl/>
              </w:rPr>
              <w:t>3720-03-15</w:t>
            </w:r>
            <w:r w:rsidRPr="00592AF7">
              <w:rPr>
                <w:rFonts w:hint="cs"/>
                <w:b/>
                <w:bCs/>
                <w:sz w:val="26"/>
                <w:szCs w:val="26"/>
                <w:rtl/>
              </w:rPr>
              <w:t xml:space="preserve"> </w:t>
            </w:r>
            <w:r w:rsidRPr="00592AF7">
              <w:rPr>
                <w:b/>
                <w:bCs/>
                <w:sz w:val="26"/>
                <w:szCs w:val="26"/>
                <w:rtl/>
              </w:rPr>
              <w:t>מדינת ישראל נ' דוידוב</w:t>
            </w:r>
          </w:p>
          <w:p w14:paraId="4D4E22FB" w14:textId="77777777" w:rsidR="0031406C" w:rsidRPr="00592AF7" w:rsidRDefault="0031406C">
            <w:pPr>
              <w:rPr>
                <w:b/>
                <w:bCs/>
                <w:sz w:val="26"/>
                <w:szCs w:val="26"/>
                <w:rtl/>
              </w:rPr>
            </w:pPr>
          </w:p>
        </w:tc>
        <w:tc>
          <w:tcPr>
            <w:tcW w:w="236" w:type="dxa"/>
          </w:tcPr>
          <w:p w14:paraId="49A0E6E7" w14:textId="77777777" w:rsidR="0031406C" w:rsidRPr="00592AF7" w:rsidRDefault="0031406C">
            <w:pPr>
              <w:pStyle w:val="a5"/>
              <w:jc w:val="right"/>
              <w:rPr>
                <w:b/>
                <w:bCs/>
                <w:sz w:val="26"/>
                <w:szCs w:val="26"/>
                <w:rtl/>
              </w:rPr>
            </w:pPr>
          </w:p>
        </w:tc>
        <w:tc>
          <w:tcPr>
            <w:tcW w:w="2088" w:type="dxa"/>
          </w:tcPr>
          <w:p w14:paraId="3CC6FF17" w14:textId="77777777" w:rsidR="0031406C" w:rsidRPr="00592AF7" w:rsidRDefault="00592AF7">
            <w:pPr>
              <w:pStyle w:val="a5"/>
              <w:tabs>
                <w:tab w:val="clear" w:pos="4153"/>
              </w:tabs>
              <w:jc w:val="right"/>
              <w:rPr>
                <w:b/>
                <w:bCs/>
                <w:sz w:val="26"/>
                <w:szCs w:val="26"/>
                <w:rtl/>
              </w:rPr>
            </w:pPr>
            <w:r w:rsidRPr="00592AF7">
              <w:rPr>
                <w:b/>
                <w:bCs/>
                <w:sz w:val="26"/>
                <w:szCs w:val="26"/>
                <w:rtl/>
              </w:rPr>
              <w:t>25 אוקטובר 2015</w:t>
            </w:r>
          </w:p>
        </w:tc>
      </w:tr>
    </w:tbl>
    <w:p w14:paraId="3C9B7BED" w14:textId="77777777" w:rsidR="0031406C" w:rsidRPr="00592AF7" w:rsidRDefault="0031406C">
      <w:pPr>
        <w:pStyle w:val="a5"/>
        <w:jc w:val="center"/>
        <w:rPr>
          <w:rFonts w:ascii="Tahoma" w:hAnsi="Tahoma" w:cs="Tahoma"/>
          <w:b/>
          <w:bCs/>
          <w:color w:val="000080"/>
          <w:sz w:val="20"/>
          <w:szCs w:val="20"/>
          <w:rtl/>
        </w:rPr>
      </w:pPr>
    </w:p>
    <w:p w14:paraId="33EE0658" w14:textId="77777777" w:rsidR="0031406C" w:rsidRPr="00592AF7" w:rsidRDefault="0031406C">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31406C" w:rsidRPr="00592AF7" w14:paraId="1B836A72" w14:textId="77777777">
        <w:trPr>
          <w:trHeight w:val="337"/>
          <w:jc w:val="center"/>
        </w:trPr>
        <w:tc>
          <w:tcPr>
            <w:tcW w:w="1592" w:type="dxa"/>
          </w:tcPr>
          <w:p w14:paraId="4D76303D" w14:textId="77777777" w:rsidR="0031406C" w:rsidRPr="00592AF7" w:rsidRDefault="00592AF7">
            <w:pPr>
              <w:pStyle w:val="a5"/>
              <w:bidi w:val="0"/>
              <w:spacing w:line="360" w:lineRule="auto"/>
              <w:jc w:val="both"/>
              <w:rPr>
                <w:rFonts w:ascii="Times New Roman" w:hAnsi="Times New Roman"/>
              </w:rPr>
            </w:pPr>
            <w:r w:rsidRPr="00592AF7">
              <w:rPr>
                <w:rFonts w:ascii="Times New Roman" w:hAnsi="Times New Roman"/>
              </w:rPr>
              <w:t xml:space="preserve">  </w:t>
            </w:r>
          </w:p>
        </w:tc>
        <w:tc>
          <w:tcPr>
            <w:tcW w:w="7128" w:type="dxa"/>
          </w:tcPr>
          <w:p w14:paraId="4A257EEF" w14:textId="77777777" w:rsidR="0031406C" w:rsidRPr="00592AF7" w:rsidRDefault="00592AF7">
            <w:pPr>
              <w:pStyle w:val="a5"/>
              <w:jc w:val="right"/>
              <w:rPr>
                <w:b/>
                <w:bCs/>
                <w:sz w:val="26"/>
                <w:szCs w:val="26"/>
                <w:rtl/>
              </w:rPr>
            </w:pPr>
            <w:r w:rsidRPr="00592AF7">
              <w:rPr>
                <w:rFonts w:hint="cs"/>
                <w:rtl/>
              </w:rPr>
              <w:t xml:space="preserve"> 3741-03-15</w:t>
            </w:r>
          </w:p>
        </w:tc>
      </w:tr>
    </w:tbl>
    <w:p w14:paraId="1B97662B" w14:textId="77777777" w:rsidR="0031406C" w:rsidRPr="00592AF7" w:rsidRDefault="0031406C">
      <w:pPr>
        <w:spacing w:line="360" w:lineRule="auto"/>
        <w:jc w:val="both"/>
        <w:rPr>
          <w:rFonts w:ascii="Arial" w:hAnsi="Arial"/>
          <w:rtl/>
        </w:rPr>
      </w:pPr>
    </w:p>
    <w:p w14:paraId="1A372F6E" w14:textId="77777777" w:rsidR="0031406C" w:rsidRPr="00592AF7" w:rsidRDefault="0031406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1406C" w:rsidRPr="00592AF7" w14:paraId="2D11DBDD" w14:textId="77777777">
        <w:trPr>
          <w:gridAfter w:val="1"/>
          <w:wAfter w:w="55" w:type="dxa"/>
        </w:trPr>
        <w:tc>
          <w:tcPr>
            <w:tcW w:w="8719" w:type="dxa"/>
            <w:gridSpan w:val="2"/>
            <w:shd w:val="clear" w:color="auto" w:fill="auto"/>
          </w:tcPr>
          <w:p w14:paraId="52233E17" w14:textId="77777777" w:rsidR="0031406C" w:rsidRPr="00592AF7" w:rsidRDefault="00592AF7">
            <w:pPr>
              <w:spacing w:line="360" w:lineRule="auto"/>
              <w:rPr>
                <w:rFonts w:ascii="Times New Roman" w:eastAsia="Times New Roman" w:hAnsi="Times New Roman"/>
                <w:b/>
                <w:bCs/>
                <w:sz w:val="26"/>
                <w:szCs w:val="26"/>
                <w:rtl/>
              </w:rPr>
            </w:pPr>
            <w:r w:rsidRPr="00592AF7">
              <w:rPr>
                <w:rFonts w:ascii="Times New Roman" w:eastAsia="Times New Roman" w:hAnsi="Times New Roman" w:hint="cs"/>
                <w:b/>
                <w:bCs/>
                <w:sz w:val="26"/>
                <w:szCs w:val="26"/>
                <w:rtl/>
              </w:rPr>
              <w:t>לפני כבוד ה</w:t>
            </w:r>
            <w:r w:rsidRPr="00592AF7">
              <w:rPr>
                <w:rFonts w:ascii="Times New Roman" w:eastAsia="Times New Roman" w:hAnsi="Times New Roman" w:hint="cs"/>
                <w:rtl/>
              </w:rPr>
              <w:t>שופטת שירלי דקל נוה</w:t>
            </w:r>
            <w:r w:rsidRPr="00592AF7">
              <w:rPr>
                <w:rStyle w:val="TimesNewRomanTimesNewRoman"/>
                <w:rFonts w:eastAsia="Times New Roman"/>
                <w:rtl/>
              </w:rPr>
              <w:t xml:space="preserve"> </w:t>
            </w:r>
          </w:p>
        </w:tc>
      </w:tr>
      <w:tr w:rsidR="0031406C" w:rsidRPr="00592AF7" w14:paraId="7DBF8E1D" w14:textId="77777777">
        <w:tc>
          <w:tcPr>
            <w:tcW w:w="2880" w:type="dxa"/>
            <w:shd w:val="clear" w:color="auto" w:fill="auto"/>
          </w:tcPr>
          <w:p w14:paraId="212C6928" w14:textId="77777777" w:rsidR="0031406C" w:rsidRPr="00592AF7" w:rsidRDefault="00592AF7">
            <w:pPr>
              <w:ind w:left="26"/>
              <w:rPr>
                <w:rFonts w:ascii="Times New Roman" w:eastAsia="Times New Roman" w:hAnsi="Times New Roman"/>
                <w:b/>
                <w:bCs/>
                <w:sz w:val="26"/>
                <w:szCs w:val="26"/>
                <w:rtl/>
              </w:rPr>
            </w:pPr>
            <w:bookmarkStart w:id="1" w:name="FirstAppellant"/>
            <w:r w:rsidRPr="00592AF7">
              <w:rPr>
                <w:rFonts w:ascii="Times New Roman" w:eastAsia="Times New Roman" w:hAnsi="Times New Roman" w:hint="cs"/>
                <w:b/>
                <w:bCs/>
                <w:sz w:val="26"/>
                <w:szCs w:val="26"/>
                <w:rtl/>
              </w:rPr>
              <w:t>ה</w:t>
            </w:r>
            <w:r w:rsidRPr="00592AF7">
              <w:rPr>
                <w:rFonts w:ascii="Times New Roman" w:eastAsia="Times New Roman" w:hAnsi="Times New Roman" w:hint="cs"/>
                <w:rtl/>
              </w:rPr>
              <w:t>מאשימה</w:t>
            </w:r>
          </w:p>
        </w:tc>
        <w:tc>
          <w:tcPr>
            <w:tcW w:w="5922" w:type="dxa"/>
            <w:gridSpan w:val="2"/>
            <w:shd w:val="clear" w:color="auto" w:fill="auto"/>
          </w:tcPr>
          <w:p w14:paraId="3FCADC07" w14:textId="77777777" w:rsidR="0031406C" w:rsidRPr="00592AF7" w:rsidRDefault="00592AF7">
            <w:pPr>
              <w:rPr>
                <w:rFonts w:ascii="Times New Roman" w:eastAsia="Times New Roman" w:hAnsi="Times New Roman"/>
                <w:b/>
                <w:bCs/>
                <w:sz w:val="26"/>
                <w:szCs w:val="26"/>
                <w:rtl/>
              </w:rPr>
            </w:pPr>
            <w:r w:rsidRPr="00592AF7">
              <w:rPr>
                <w:rFonts w:ascii="Times New Roman" w:eastAsia="Times New Roman" w:hAnsi="Times New Roman" w:hint="cs"/>
                <w:rtl/>
              </w:rPr>
              <w:t>מדינת ישראל</w:t>
            </w:r>
          </w:p>
          <w:p w14:paraId="6467D0BB" w14:textId="77777777" w:rsidR="0031406C" w:rsidRPr="00592AF7" w:rsidRDefault="0031406C">
            <w:pPr>
              <w:rPr>
                <w:rFonts w:ascii="Times New Roman" w:eastAsia="Times New Roman" w:hAnsi="Times New Roman"/>
                <w:b/>
                <w:bCs/>
                <w:sz w:val="26"/>
                <w:szCs w:val="26"/>
                <w:rtl/>
              </w:rPr>
            </w:pPr>
          </w:p>
        </w:tc>
      </w:tr>
      <w:bookmarkEnd w:id="1"/>
      <w:tr w:rsidR="0031406C" w:rsidRPr="00592AF7" w14:paraId="7A2CDC75" w14:textId="77777777">
        <w:tc>
          <w:tcPr>
            <w:tcW w:w="8802" w:type="dxa"/>
            <w:gridSpan w:val="3"/>
            <w:shd w:val="clear" w:color="auto" w:fill="auto"/>
          </w:tcPr>
          <w:p w14:paraId="38BBFC3A" w14:textId="77777777" w:rsidR="0031406C" w:rsidRPr="00592AF7" w:rsidRDefault="00592AF7">
            <w:pPr>
              <w:jc w:val="center"/>
              <w:rPr>
                <w:rFonts w:ascii="Arial" w:eastAsia="Times New Roman" w:hAnsi="Arial"/>
                <w:b/>
                <w:bCs/>
                <w:sz w:val="26"/>
                <w:szCs w:val="26"/>
                <w:rtl/>
              </w:rPr>
            </w:pPr>
            <w:r w:rsidRPr="00592AF7">
              <w:rPr>
                <w:rFonts w:ascii="Arial" w:eastAsia="Times New Roman" w:hAnsi="Arial"/>
                <w:b/>
                <w:bCs/>
                <w:sz w:val="26"/>
                <w:szCs w:val="26"/>
                <w:rtl/>
              </w:rPr>
              <w:t>נגד</w:t>
            </w:r>
          </w:p>
          <w:p w14:paraId="1EC80321" w14:textId="77777777" w:rsidR="0031406C" w:rsidRPr="00592AF7" w:rsidRDefault="0031406C">
            <w:pPr>
              <w:jc w:val="center"/>
              <w:rPr>
                <w:rFonts w:ascii="Arial" w:eastAsia="Times New Roman" w:hAnsi="Arial"/>
                <w:b/>
                <w:bCs/>
                <w:sz w:val="26"/>
                <w:szCs w:val="26"/>
              </w:rPr>
            </w:pPr>
          </w:p>
        </w:tc>
      </w:tr>
      <w:tr w:rsidR="0031406C" w:rsidRPr="00592AF7" w14:paraId="4D9BB14D" w14:textId="77777777">
        <w:tc>
          <w:tcPr>
            <w:tcW w:w="2880" w:type="dxa"/>
            <w:shd w:val="clear" w:color="auto" w:fill="auto"/>
          </w:tcPr>
          <w:p w14:paraId="26125BAF" w14:textId="77777777" w:rsidR="0031406C" w:rsidRPr="00592AF7" w:rsidRDefault="00592AF7">
            <w:pPr>
              <w:ind w:left="26"/>
              <w:rPr>
                <w:rFonts w:ascii="Times New Roman" w:eastAsia="Times New Roman" w:hAnsi="Times New Roman"/>
                <w:b/>
                <w:bCs/>
                <w:sz w:val="26"/>
                <w:szCs w:val="26"/>
                <w:rtl/>
              </w:rPr>
            </w:pPr>
            <w:r w:rsidRPr="00592AF7">
              <w:rPr>
                <w:rFonts w:ascii="Times New Roman" w:eastAsia="Times New Roman" w:hAnsi="Times New Roman" w:hint="cs"/>
                <w:b/>
                <w:bCs/>
                <w:sz w:val="26"/>
                <w:szCs w:val="26"/>
                <w:rtl/>
              </w:rPr>
              <w:t>ה</w:t>
            </w:r>
            <w:r w:rsidRPr="00592AF7">
              <w:rPr>
                <w:rFonts w:ascii="Times New Roman" w:eastAsia="Times New Roman" w:hAnsi="Times New Roman" w:hint="cs"/>
                <w:rtl/>
              </w:rPr>
              <w:t>נאשם</w:t>
            </w:r>
          </w:p>
        </w:tc>
        <w:tc>
          <w:tcPr>
            <w:tcW w:w="5922" w:type="dxa"/>
            <w:gridSpan w:val="2"/>
            <w:shd w:val="clear" w:color="auto" w:fill="auto"/>
          </w:tcPr>
          <w:p w14:paraId="295400B2" w14:textId="77777777" w:rsidR="0031406C" w:rsidRPr="00592AF7" w:rsidRDefault="00592AF7">
            <w:pPr>
              <w:rPr>
                <w:rFonts w:ascii="Times New Roman" w:eastAsia="Times New Roman" w:hAnsi="Times New Roman"/>
                <w:b/>
                <w:bCs/>
                <w:sz w:val="26"/>
                <w:szCs w:val="26"/>
                <w:rtl/>
              </w:rPr>
            </w:pPr>
            <w:r w:rsidRPr="00592AF7">
              <w:rPr>
                <w:rFonts w:ascii="Times New Roman" w:eastAsia="Times New Roman" w:hAnsi="Times New Roman" w:hint="cs"/>
                <w:rtl/>
              </w:rPr>
              <w:t>משה דוידוב</w:t>
            </w:r>
          </w:p>
          <w:p w14:paraId="16AB8861" w14:textId="77777777" w:rsidR="0031406C" w:rsidRPr="00592AF7" w:rsidRDefault="0031406C">
            <w:pPr>
              <w:rPr>
                <w:rFonts w:ascii="Times New Roman" w:eastAsia="Times New Roman" w:hAnsi="Times New Roman"/>
                <w:b/>
                <w:bCs/>
                <w:sz w:val="26"/>
                <w:szCs w:val="26"/>
                <w:rtl/>
              </w:rPr>
            </w:pPr>
          </w:p>
        </w:tc>
      </w:tr>
    </w:tbl>
    <w:p w14:paraId="68EDBC6C" w14:textId="77777777" w:rsidR="0031406C" w:rsidRPr="00592AF7" w:rsidRDefault="00592AF7">
      <w:pPr>
        <w:spacing w:line="360" w:lineRule="auto"/>
        <w:jc w:val="both"/>
        <w:rPr>
          <w:sz w:val="6"/>
          <w:szCs w:val="6"/>
          <w:rtl/>
        </w:rPr>
      </w:pPr>
      <w:r w:rsidRPr="00592AF7">
        <w:rPr>
          <w:sz w:val="6"/>
          <w:szCs w:val="6"/>
          <w:rtl/>
        </w:rPr>
        <w:t>&lt;#1#&gt;</w:t>
      </w:r>
    </w:p>
    <w:p w14:paraId="03627931" w14:textId="77777777" w:rsidR="0031406C" w:rsidRPr="00592AF7" w:rsidRDefault="00592AF7">
      <w:pPr>
        <w:pStyle w:val="12"/>
        <w:rPr>
          <w:u w:val="none"/>
          <w:rtl/>
        </w:rPr>
      </w:pPr>
      <w:r w:rsidRPr="00592AF7">
        <w:rPr>
          <w:rFonts w:hint="cs"/>
          <w:u w:val="none"/>
          <w:rtl/>
        </w:rPr>
        <w:t>נוכחים:</w:t>
      </w:r>
    </w:p>
    <w:p w14:paraId="73D00D3C" w14:textId="77777777" w:rsidR="0031406C" w:rsidRPr="00592AF7" w:rsidRDefault="00592AF7">
      <w:pPr>
        <w:pStyle w:val="12"/>
        <w:rPr>
          <w:b w:val="0"/>
          <w:bCs w:val="0"/>
          <w:u w:val="none"/>
          <w:rtl/>
        </w:rPr>
      </w:pPr>
      <w:bookmarkStart w:id="2" w:name="FirstLawyer"/>
      <w:r w:rsidRPr="00592AF7">
        <w:rPr>
          <w:rFonts w:hint="cs"/>
          <w:b w:val="0"/>
          <w:bCs w:val="0"/>
          <w:u w:val="none"/>
          <w:rtl/>
        </w:rPr>
        <w:t>ב"כ</w:t>
      </w:r>
      <w:bookmarkEnd w:id="2"/>
      <w:r w:rsidRPr="00592AF7">
        <w:rPr>
          <w:rFonts w:hint="cs"/>
          <w:b w:val="0"/>
          <w:bCs w:val="0"/>
          <w:u w:val="none"/>
          <w:rtl/>
        </w:rPr>
        <w:t xml:space="preserve"> המאשימה עו"ד אוראל רוזנצויג</w:t>
      </w:r>
    </w:p>
    <w:p w14:paraId="0F98BF18" w14:textId="77777777" w:rsidR="0031406C" w:rsidRPr="00592AF7" w:rsidRDefault="00592AF7">
      <w:pPr>
        <w:pStyle w:val="12"/>
        <w:rPr>
          <w:b w:val="0"/>
          <w:bCs w:val="0"/>
          <w:u w:val="none"/>
          <w:rtl/>
        </w:rPr>
      </w:pPr>
      <w:r w:rsidRPr="00592AF7">
        <w:rPr>
          <w:rFonts w:hint="cs"/>
          <w:b w:val="0"/>
          <w:bCs w:val="0"/>
          <w:u w:val="none"/>
          <w:rtl/>
        </w:rPr>
        <w:t xml:space="preserve">הנאשם ובא כוחו עו"ד סוחמי </w:t>
      </w:r>
    </w:p>
    <w:p w14:paraId="71E7BEC7" w14:textId="77777777" w:rsidR="0031406C" w:rsidRPr="00592AF7" w:rsidRDefault="0031406C">
      <w:pPr>
        <w:pStyle w:val="12"/>
        <w:rPr>
          <w:b w:val="0"/>
          <w:bCs w:val="0"/>
          <w:u w:val="none"/>
          <w:rtl/>
        </w:rPr>
      </w:pPr>
    </w:p>
    <w:p w14:paraId="628EC7EF" w14:textId="77777777" w:rsidR="00644C01" w:rsidRDefault="00592AF7">
      <w:pPr>
        <w:spacing w:line="360" w:lineRule="auto"/>
        <w:jc w:val="center"/>
        <w:rPr>
          <w:rFonts w:ascii="Arial" w:hAnsi="Arial"/>
          <w:sz w:val="28"/>
          <w:szCs w:val="28"/>
          <w:rtl/>
        </w:rPr>
      </w:pPr>
      <w:r w:rsidRPr="00592AF7">
        <w:rPr>
          <w:rFonts w:ascii="Arial" w:hAnsi="Arial"/>
          <w:b/>
          <w:color w:val="FF0000"/>
          <w:sz w:val="28"/>
          <w:rtl/>
        </w:rPr>
        <w:t>במסמך זה הושמטו פרוטוקולים</w:t>
      </w:r>
      <w:bookmarkStart w:id="3" w:name="LawTable"/>
      <w:bookmarkEnd w:id="3"/>
    </w:p>
    <w:p w14:paraId="1A990E8B" w14:textId="77777777" w:rsidR="00644C01" w:rsidRPr="00644C01" w:rsidRDefault="00644C01" w:rsidP="00644C01">
      <w:pPr>
        <w:spacing w:after="120" w:line="240" w:lineRule="exact"/>
        <w:ind w:left="283" w:hanging="283"/>
        <w:jc w:val="both"/>
        <w:rPr>
          <w:rFonts w:ascii="FrankRuehl" w:hAnsi="FrankRuehl" w:cs="FrankRuehl"/>
          <w:rtl/>
        </w:rPr>
      </w:pPr>
    </w:p>
    <w:p w14:paraId="7CCFA17D" w14:textId="77777777" w:rsidR="00644C01" w:rsidRPr="00644C01" w:rsidRDefault="00644C01" w:rsidP="00644C01">
      <w:pPr>
        <w:spacing w:after="120" w:line="240" w:lineRule="exact"/>
        <w:ind w:left="283" w:hanging="283"/>
        <w:jc w:val="both"/>
        <w:rPr>
          <w:rFonts w:ascii="FrankRuehl" w:hAnsi="FrankRuehl" w:cs="FrankRuehl"/>
          <w:rtl/>
        </w:rPr>
      </w:pPr>
      <w:r w:rsidRPr="00644C01">
        <w:rPr>
          <w:rFonts w:ascii="FrankRuehl" w:hAnsi="FrankRuehl" w:cs="FrankRuehl"/>
          <w:rtl/>
        </w:rPr>
        <w:t xml:space="preserve">חקיקה שאוזכרה: </w:t>
      </w:r>
    </w:p>
    <w:p w14:paraId="4473450D" w14:textId="77777777" w:rsidR="00644C01" w:rsidRPr="00644C01" w:rsidRDefault="00644C01" w:rsidP="00644C01">
      <w:pPr>
        <w:spacing w:after="120" w:line="240" w:lineRule="exact"/>
        <w:ind w:left="283" w:hanging="283"/>
        <w:jc w:val="both"/>
        <w:rPr>
          <w:rFonts w:ascii="FrankRuehl" w:hAnsi="FrankRuehl" w:cs="FrankRuehl"/>
          <w:rtl/>
        </w:rPr>
      </w:pPr>
      <w:hyperlink r:id="rId7" w:history="1">
        <w:r w:rsidRPr="00644C01">
          <w:rPr>
            <w:rFonts w:ascii="FrankRuehl" w:hAnsi="FrankRuehl" w:cs="FrankRuehl"/>
            <w:color w:val="0000FF"/>
            <w:u w:val="single"/>
            <w:rtl/>
          </w:rPr>
          <w:t>פקודת הסמים המסוכנים [נוסח חדש], תשל"ג-1973</w:t>
        </w:r>
      </w:hyperlink>
      <w:r w:rsidRPr="00644C01">
        <w:rPr>
          <w:rFonts w:ascii="FrankRuehl" w:hAnsi="FrankRuehl" w:cs="FrankRuehl"/>
          <w:rtl/>
        </w:rPr>
        <w:t xml:space="preserve">: סע'  </w:t>
      </w:r>
      <w:hyperlink r:id="rId8" w:history="1">
        <w:r w:rsidRPr="00644C01">
          <w:rPr>
            <w:rFonts w:ascii="FrankRuehl" w:hAnsi="FrankRuehl" w:cs="FrankRuehl"/>
            <w:color w:val="0000FF"/>
            <w:u w:val="single"/>
            <w:rtl/>
          </w:rPr>
          <w:t>7.א.</w:t>
        </w:r>
      </w:hyperlink>
      <w:r w:rsidRPr="00644C01">
        <w:rPr>
          <w:rFonts w:ascii="FrankRuehl" w:hAnsi="FrankRuehl" w:cs="FrankRuehl"/>
          <w:rtl/>
        </w:rPr>
        <w:t xml:space="preserve">, </w:t>
      </w:r>
      <w:hyperlink r:id="rId9" w:history="1">
        <w:r w:rsidRPr="00644C01">
          <w:rPr>
            <w:rFonts w:ascii="FrankRuehl" w:hAnsi="FrankRuehl" w:cs="FrankRuehl"/>
            <w:color w:val="0000FF"/>
            <w:u w:val="single"/>
            <w:rtl/>
          </w:rPr>
          <w:t>7.ג</w:t>
        </w:r>
      </w:hyperlink>
      <w:r w:rsidRPr="00644C01">
        <w:rPr>
          <w:rFonts w:ascii="FrankRuehl" w:hAnsi="FrankRuehl" w:cs="FrankRuehl"/>
          <w:rtl/>
        </w:rPr>
        <w:t xml:space="preserve">, </w:t>
      </w:r>
      <w:hyperlink r:id="rId10" w:history="1">
        <w:r w:rsidRPr="00644C01">
          <w:rPr>
            <w:rFonts w:ascii="FrankRuehl" w:hAnsi="FrankRuehl" w:cs="FrankRuehl"/>
            <w:color w:val="0000FF"/>
            <w:u w:val="single"/>
            <w:rtl/>
          </w:rPr>
          <w:t>13</w:t>
        </w:r>
      </w:hyperlink>
      <w:r w:rsidRPr="00644C01">
        <w:rPr>
          <w:rFonts w:ascii="FrankRuehl" w:hAnsi="FrankRuehl" w:cs="FrankRuehl"/>
          <w:rtl/>
        </w:rPr>
        <w:t xml:space="preserve">, </w:t>
      </w:r>
      <w:hyperlink r:id="rId11" w:history="1">
        <w:r w:rsidRPr="00644C01">
          <w:rPr>
            <w:rFonts w:ascii="FrankRuehl" w:hAnsi="FrankRuehl" w:cs="FrankRuehl"/>
            <w:color w:val="0000FF"/>
            <w:u w:val="single"/>
            <w:rtl/>
          </w:rPr>
          <w:t>19א</w:t>
        </w:r>
      </w:hyperlink>
      <w:r w:rsidRPr="00644C01">
        <w:rPr>
          <w:rFonts w:ascii="FrankRuehl" w:hAnsi="FrankRuehl" w:cs="FrankRuehl"/>
          <w:rtl/>
        </w:rPr>
        <w:t xml:space="preserve">, </w:t>
      </w:r>
      <w:hyperlink r:id="rId12" w:history="1">
        <w:r w:rsidRPr="00644C01">
          <w:rPr>
            <w:rFonts w:ascii="FrankRuehl" w:hAnsi="FrankRuehl" w:cs="FrankRuehl"/>
            <w:color w:val="0000FF"/>
            <w:u w:val="single"/>
            <w:rtl/>
          </w:rPr>
          <w:t>36א(ב)</w:t>
        </w:r>
      </w:hyperlink>
    </w:p>
    <w:p w14:paraId="152CDB51" w14:textId="77777777" w:rsidR="00644C01" w:rsidRPr="00644C01" w:rsidRDefault="00644C01" w:rsidP="00644C01">
      <w:pPr>
        <w:spacing w:after="120" w:line="240" w:lineRule="exact"/>
        <w:ind w:left="283" w:hanging="283"/>
        <w:jc w:val="both"/>
        <w:rPr>
          <w:rFonts w:ascii="FrankRuehl" w:hAnsi="FrankRuehl" w:cs="FrankRuehl"/>
          <w:rtl/>
        </w:rPr>
      </w:pPr>
      <w:hyperlink r:id="rId13" w:history="1">
        <w:r w:rsidRPr="00644C01">
          <w:rPr>
            <w:rFonts w:ascii="FrankRuehl" w:hAnsi="FrankRuehl" w:cs="FrankRuehl"/>
            <w:color w:val="0000FF"/>
            <w:u w:val="single"/>
            <w:rtl/>
          </w:rPr>
          <w:t>חוק העונשין, תשל"ז-1977</w:t>
        </w:r>
      </w:hyperlink>
      <w:r w:rsidRPr="00644C01">
        <w:rPr>
          <w:rFonts w:ascii="FrankRuehl" w:hAnsi="FrankRuehl" w:cs="FrankRuehl"/>
          <w:rtl/>
        </w:rPr>
        <w:t xml:space="preserve">: סע'  </w:t>
      </w:r>
      <w:hyperlink r:id="rId14" w:history="1">
        <w:r w:rsidRPr="00644C01">
          <w:rPr>
            <w:rFonts w:ascii="FrankRuehl" w:hAnsi="FrankRuehl" w:cs="FrankRuehl"/>
            <w:color w:val="0000FF"/>
            <w:u w:val="single"/>
            <w:rtl/>
          </w:rPr>
          <w:t>40 (א)</w:t>
        </w:r>
      </w:hyperlink>
      <w:r w:rsidRPr="00644C01">
        <w:rPr>
          <w:rFonts w:ascii="FrankRuehl" w:hAnsi="FrankRuehl" w:cs="FrankRuehl"/>
          <w:rtl/>
        </w:rPr>
        <w:t xml:space="preserve">, </w:t>
      </w:r>
      <w:hyperlink r:id="rId15" w:history="1">
        <w:r w:rsidRPr="00644C01">
          <w:rPr>
            <w:rFonts w:ascii="FrankRuehl" w:hAnsi="FrankRuehl" w:cs="FrankRuehl"/>
            <w:color w:val="0000FF"/>
            <w:u w:val="single"/>
            <w:rtl/>
          </w:rPr>
          <w:t>40ג (א)</w:t>
        </w:r>
      </w:hyperlink>
      <w:r w:rsidRPr="00644C01">
        <w:rPr>
          <w:rFonts w:ascii="FrankRuehl" w:hAnsi="FrankRuehl" w:cs="FrankRuehl"/>
          <w:rtl/>
        </w:rPr>
        <w:t xml:space="preserve">, </w:t>
      </w:r>
      <w:hyperlink r:id="rId16" w:history="1">
        <w:r w:rsidRPr="00644C01">
          <w:rPr>
            <w:rFonts w:ascii="FrankRuehl" w:hAnsi="FrankRuehl" w:cs="FrankRuehl"/>
            <w:color w:val="0000FF"/>
            <w:u w:val="single"/>
            <w:rtl/>
          </w:rPr>
          <w:t>40יג</w:t>
        </w:r>
      </w:hyperlink>
    </w:p>
    <w:p w14:paraId="74E672DC" w14:textId="77777777" w:rsidR="00644C01" w:rsidRPr="00644C01" w:rsidRDefault="00644C01" w:rsidP="00644C01">
      <w:pPr>
        <w:spacing w:after="120" w:line="240" w:lineRule="exact"/>
        <w:ind w:left="283" w:hanging="283"/>
        <w:jc w:val="both"/>
        <w:rPr>
          <w:rFonts w:ascii="FrankRuehl" w:hAnsi="FrankRuehl" w:cs="FrankRuehl"/>
          <w:rtl/>
        </w:rPr>
      </w:pPr>
      <w:hyperlink r:id="rId17" w:history="1">
        <w:r w:rsidRPr="00644C01">
          <w:rPr>
            <w:rFonts w:ascii="FrankRuehl" w:hAnsi="FrankRuehl" w:cs="FrankRuehl"/>
            <w:color w:val="0000FF"/>
            <w:u w:val="single"/>
            <w:rtl/>
          </w:rPr>
          <w:t>פקודת המבחן [נוסח חדש], תשכ"ט-1969</w:t>
        </w:r>
      </w:hyperlink>
    </w:p>
    <w:p w14:paraId="47D16A37" w14:textId="77777777" w:rsidR="00644C01" w:rsidRPr="00644C01" w:rsidRDefault="00644C01" w:rsidP="00644C01">
      <w:pPr>
        <w:spacing w:after="120" w:line="240" w:lineRule="exact"/>
        <w:ind w:left="283" w:hanging="283"/>
        <w:jc w:val="both"/>
        <w:rPr>
          <w:rFonts w:ascii="FrankRuehl" w:hAnsi="FrankRuehl" w:cs="FrankRuehl"/>
          <w:rtl/>
        </w:rPr>
      </w:pPr>
    </w:p>
    <w:p w14:paraId="47E4A968" w14:textId="77777777" w:rsidR="00592AF7" w:rsidRPr="00592AF7" w:rsidRDefault="00592AF7" w:rsidP="00592AF7">
      <w:pPr>
        <w:spacing w:line="360" w:lineRule="auto"/>
        <w:jc w:val="center"/>
        <w:rPr>
          <w:rFonts w:ascii="Arial" w:hAnsi="Arial"/>
          <w:b/>
          <w:bCs/>
          <w:sz w:val="28"/>
          <w:szCs w:val="28"/>
          <w:u w:val="single"/>
          <w:rtl/>
        </w:rPr>
      </w:pPr>
      <w:bookmarkStart w:id="4" w:name="LawTable_End"/>
      <w:bookmarkStart w:id="5" w:name="PsakDin"/>
      <w:bookmarkEnd w:id="0"/>
      <w:bookmarkEnd w:id="4"/>
      <w:r w:rsidRPr="00592AF7">
        <w:rPr>
          <w:rFonts w:ascii="Arial" w:hAnsi="Arial"/>
          <w:b/>
          <w:bCs/>
          <w:sz w:val="28"/>
          <w:szCs w:val="28"/>
          <w:u w:val="single"/>
          <w:rtl/>
        </w:rPr>
        <w:t>גזר דין</w:t>
      </w:r>
    </w:p>
    <w:bookmarkEnd w:id="5"/>
    <w:p w14:paraId="2A43C410" w14:textId="77777777" w:rsidR="0031406C" w:rsidRDefault="00592AF7">
      <w:pPr>
        <w:spacing w:line="360" w:lineRule="auto"/>
        <w:jc w:val="both"/>
        <w:rPr>
          <w:rtl/>
        </w:rPr>
      </w:pPr>
      <w:r>
        <w:rPr>
          <w:rtl/>
        </w:rPr>
        <w:t xml:space="preserve"> </w:t>
      </w:r>
    </w:p>
    <w:p w14:paraId="04C56605" w14:textId="77777777" w:rsidR="0031406C" w:rsidRDefault="00592AF7">
      <w:pPr>
        <w:pStyle w:val="ListParagraph"/>
        <w:spacing w:line="360" w:lineRule="auto"/>
        <w:ind w:left="0" w:hanging="426"/>
        <w:jc w:val="both"/>
        <w:rPr>
          <w:noProof w:val="0"/>
          <w:rtl/>
        </w:rPr>
      </w:pPr>
      <w:r>
        <w:rPr>
          <w:rFonts w:hint="cs"/>
          <w:noProof w:val="0"/>
          <w:rtl/>
        </w:rPr>
        <w:t>1.</w:t>
      </w:r>
      <w:r>
        <w:rPr>
          <w:rFonts w:hint="cs"/>
          <w:noProof w:val="0"/>
          <w:rtl/>
        </w:rPr>
        <w:tab/>
      </w:r>
      <w:bookmarkStart w:id="6" w:name="ABSTRACT_START"/>
      <w:bookmarkEnd w:id="6"/>
      <w:r>
        <w:rPr>
          <w:rFonts w:hint="cs"/>
          <w:noProof w:val="0"/>
          <w:rtl/>
        </w:rPr>
        <w:t xml:space="preserve">הנאשם הורשע, על פי הודאתו, במסגרת הסדר טיעון, ובהתאם לכתב האישום המתוקן, בשישה אישומים של יצוא, יבוא, מסחר, הספקת סמים מסוכנים, לפי </w:t>
      </w:r>
      <w:hyperlink r:id="rId18" w:history="1">
        <w:r w:rsidR="00644C01" w:rsidRPr="00644C01">
          <w:rPr>
            <w:noProof w:val="0"/>
            <w:color w:val="0000FF"/>
            <w:u w:val="single"/>
            <w:rtl/>
          </w:rPr>
          <w:t>סעיף 13</w:t>
        </w:r>
      </w:hyperlink>
      <w:r>
        <w:rPr>
          <w:rFonts w:hint="cs"/>
          <w:noProof w:val="0"/>
          <w:rtl/>
        </w:rPr>
        <w:t xml:space="preserve"> + </w:t>
      </w:r>
      <w:hyperlink r:id="rId19" w:history="1">
        <w:r w:rsidR="00644C01" w:rsidRPr="00644C01">
          <w:rPr>
            <w:noProof w:val="0"/>
            <w:color w:val="0000FF"/>
            <w:u w:val="single"/>
            <w:rtl/>
          </w:rPr>
          <w:t>19א</w:t>
        </w:r>
      </w:hyperlink>
      <w:r>
        <w:rPr>
          <w:rFonts w:hint="cs"/>
          <w:noProof w:val="0"/>
          <w:rtl/>
        </w:rPr>
        <w:t xml:space="preserve"> ל</w:t>
      </w:r>
      <w:hyperlink r:id="rId20" w:history="1">
        <w:r w:rsidRPr="00592AF7">
          <w:rPr>
            <w:rStyle w:val="Hyperlink"/>
            <w:rFonts w:hint="eastAsia"/>
            <w:noProof w:val="0"/>
            <w:rtl/>
          </w:rPr>
          <w:t>פקודת</w:t>
        </w:r>
        <w:r w:rsidRPr="00592AF7">
          <w:rPr>
            <w:rStyle w:val="Hyperlink"/>
            <w:noProof w:val="0"/>
            <w:rtl/>
          </w:rPr>
          <w:t xml:space="preserve"> הסמים המסוכנים</w:t>
        </w:r>
      </w:hyperlink>
      <w:r>
        <w:rPr>
          <w:rFonts w:hint="cs"/>
          <w:noProof w:val="0"/>
          <w:rtl/>
        </w:rPr>
        <w:t xml:space="preserve"> [נוסח חדש] התשל"ג-1973 (להלן: "</w:t>
      </w:r>
      <w:r>
        <w:rPr>
          <w:rFonts w:hint="cs"/>
          <w:b/>
          <w:bCs/>
          <w:noProof w:val="0"/>
          <w:rtl/>
        </w:rPr>
        <w:t>פקודת הסמים המסוכנים</w:t>
      </w:r>
      <w:r>
        <w:rPr>
          <w:rFonts w:hint="cs"/>
          <w:noProof w:val="0"/>
          <w:rtl/>
        </w:rPr>
        <w:t xml:space="preserve">"), ובאישום נוסף בעבירה של החזקה/שימוש בסמים שלא לצריכה עצמית, לפי </w:t>
      </w:r>
      <w:hyperlink r:id="rId21" w:history="1">
        <w:r w:rsidR="00644C01" w:rsidRPr="00644C01">
          <w:rPr>
            <w:noProof w:val="0"/>
            <w:color w:val="0000FF"/>
            <w:u w:val="single"/>
            <w:rtl/>
          </w:rPr>
          <w:t>סעיף 7(א)+7(ג)</w:t>
        </w:r>
      </w:hyperlink>
      <w:r>
        <w:rPr>
          <w:rFonts w:hint="cs"/>
          <w:noProof w:val="0"/>
          <w:rtl/>
        </w:rPr>
        <w:t xml:space="preserve"> רישא לפקודת הסמים המסוכנים.</w:t>
      </w:r>
    </w:p>
    <w:p w14:paraId="23E776E1" w14:textId="77777777" w:rsidR="0031406C" w:rsidRDefault="0031406C">
      <w:pPr>
        <w:spacing w:line="360" w:lineRule="auto"/>
        <w:jc w:val="both"/>
        <w:rPr>
          <w:b/>
          <w:bCs/>
          <w:u w:val="single"/>
          <w:rtl/>
        </w:rPr>
      </w:pPr>
      <w:bookmarkStart w:id="7" w:name="ABSTRACT_END"/>
      <w:bookmarkEnd w:id="7"/>
    </w:p>
    <w:p w14:paraId="01C85DE6" w14:textId="77777777" w:rsidR="0031406C" w:rsidRDefault="00592AF7">
      <w:pPr>
        <w:spacing w:line="360" w:lineRule="auto"/>
        <w:jc w:val="both"/>
        <w:rPr>
          <w:rtl/>
        </w:rPr>
      </w:pPr>
      <w:r>
        <w:rPr>
          <w:rFonts w:hint="cs"/>
          <w:rtl/>
        </w:rPr>
        <w:t xml:space="preserve">אפרט להלן את עובדות שבעת האישומים בכתב האישום המתוקן – </w:t>
      </w:r>
    </w:p>
    <w:p w14:paraId="7EC6F0F4" w14:textId="77777777" w:rsidR="0031406C" w:rsidRDefault="0031406C">
      <w:pPr>
        <w:spacing w:line="360" w:lineRule="auto"/>
        <w:jc w:val="both"/>
        <w:rPr>
          <w:rtl/>
        </w:rPr>
      </w:pPr>
    </w:p>
    <w:p w14:paraId="3116CDE2" w14:textId="77777777" w:rsidR="0031406C" w:rsidRDefault="00592AF7">
      <w:pPr>
        <w:spacing w:line="360" w:lineRule="auto"/>
        <w:jc w:val="both"/>
        <w:rPr>
          <w:rtl/>
        </w:rPr>
      </w:pPr>
      <w:r>
        <w:rPr>
          <w:rFonts w:hint="cs"/>
          <w:rtl/>
        </w:rPr>
        <w:t>האישום הראשון – בתאריך 25.1.15, ובמועד נוסף בחודש ינואר 2015 שאינו ידוע במדויק למאשימה, רכשה הגב' שרה ברנס מהנאשם סם מסוכן מסוג מריחואנה בתמורה לסך של 100 ₪ ו-200 ₪ בהתאמה, באופן שהתקשרה לנאשם, תיאמה עמו, והגיעה לרכוש את הסם בביתו.</w:t>
      </w:r>
    </w:p>
    <w:p w14:paraId="52E530A4" w14:textId="77777777" w:rsidR="0031406C" w:rsidRDefault="0031406C">
      <w:pPr>
        <w:spacing w:line="360" w:lineRule="auto"/>
        <w:jc w:val="both"/>
        <w:rPr>
          <w:rtl/>
        </w:rPr>
      </w:pPr>
    </w:p>
    <w:p w14:paraId="3D87DFBE" w14:textId="77777777" w:rsidR="0031406C" w:rsidRDefault="00592AF7">
      <w:pPr>
        <w:spacing w:line="360" w:lineRule="auto"/>
        <w:jc w:val="both"/>
        <w:rPr>
          <w:rtl/>
        </w:rPr>
      </w:pPr>
      <w:r>
        <w:rPr>
          <w:rFonts w:hint="cs"/>
          <w:rtl/>
        </w:rPr>
        <w:lastRenderedPageBreak/>
        <w:t>האישום השני – בתאריך 23.12.14, בסמוך לרכבת בראשון-לציון, רכשה הקטינה א.מ. ילידת 1998, מהנאשם סם מסוכן מסוג מריחואנה במשקל של כ-2 גרם בתמורה לסך של 200 ₪.</w:t>
      </w:r>
    </w:p>
    <w:p w14:paraId="209F3F89" w14:textId="77777777" w:rsidR="0031406C" w:rsidRDefault="0031406C">
      <w:pPr>
        <w:spacing w:line="360" w:lineRule="auto"/>
        <w:jc w:val="both"/>
        <w:rPr>
          <w:rtl/>
        </w:rPr>
      </w:pPr>
    </w:p>
    <w:p w14:paraId="18553780" w14:textId="77777777" w:rsidR="0031406C" w:rsidRDefault="00592AF7">
      <w:pPr>
        <w:spacing w:line="360" w:lineRule="auto"/>
        <w:jc w:val="both"/>
        <w:rPr>
          <w:rtl/>
        </w:rPr>
      </w:pPr>
      <w:r>
        <w:rPr>
          <w:rFonts w:hint="cs"/>
          <w:rtl/>
        </w:rPr>
        <w:t>האישום השלישי – במועד שאינו ידוע במדויק למאשימה, כחודשיים עובר לתאריך 15.2.15, מכר הנאשם למר תומר קמחי בהזדמנות אחת סם מסוכן מסוג מריחואנה במשקל של כ-גרם/שניים בתמורה לסך של 100 ₪.</w:t>
      </w:r>
    </w:p>
    <w:p w14:paraId="183EDCFA" w14:textId="77777777" w:rsidR="0031406C" w:rsidRDefault="0031406C">
      <w:pPr>
        <w:spacing w:line="360" w:lineRule="auto"/>
        <w:jc w:val="both"/>
        <w:rPr>
          <w:rtl/>
        </w:rPr>
      </w:pPr>
    </w:p>
    <w:p w14:paraId="3EB0347E" w14:textId="77777777" w:rsidR="0031406C" w:rsidRDefault="00592AF7">
      <w:pPr>
        <w:spacing w:line="360" w:lineRule="auto"/>
        <w:jc w:val="both"/>
        <w:rPr>
          <w:rtl/>
        </w:rPr>
      </w:pPr>
      <w:r>
        <w:rPr>
          <w:rFonts w:hint="cs"/>
          <w:rtl/>
        </w:rPr>
        <w:t>האישום הרביעי – בתאריך 19.1.15 בשעות הלילה, הזמינה גב' צביה דוידוב (להלן: "</w:t>
      </w:r>
      <w:r>
        <w:rPr>
          <w:rFonts w:hint="cs"/>
          <w:b/>
          <w:bCs/>
          <w:rtl/>
        </w:rPr>
        <w:t>צביה</w:t>
      </w:r>
      <w:r>
        <w:rPr>
          <w:rFonts w:hint="cs"/>
          <w:rtl/>
        </w:rPr>
        <w:t xml:space="preserve">") מהנאשם סם מסוכן מסוג מריחואנה במשקל 5 גרם, בתמורה לסך של 400 ₪. הנאשם הגיע לפגוש בצביה במועדון בתל-אביב, ומכר לה את הסמים הנ"ל בתמורה לסך של 400 ₪. </w:t>
      </w:r>
    </w:p>
    <w:p w14:paraId="08DA9F2B" w14:textId="77777777" w:rsidR="0031406C" w:rsidRDefault="00592AF7">
      <w:pPr>
        <w:spacing w:line="360" w:lineRule="auto"/>
        <w:jc w:val="both"/>
        <w:rPr>
          <w:rtl/>
        </w:rPr>
      </w:pPr>
      <w:r>
        <w:rPr>
          <w:rFonts w:hint="cs"/>
          <w:rtl/>
        </w:rPr>
        <w:t>כחודש עובר לתאריך 19.1.15, במועד שאינו ידוע במדויק למאשימה, מכר הנאשם לצביה בבית ברח' כרמי 6 בתל-אביב, סם מסוכן מסוג מריחואנה במשקל של כ-5 גרם בתמורה לסך של 400 ₪.</w:t>
      </w:r>
    </w:p>
    <w:p w14:paraId="4618DC7C" w14:textId="77777777" w:rsidR="0031406C" w:rsidRDefault="0031406C">
      <w:pPr>
        <w:spacing w:line="360" w:lineRule="auto"/>
        <w:jc w:val="both"/>
        <w:rPr>
          <w:rtl/>
        </w:rPr>
      </w:pPr>
    </w:p>
    <w:p w14:paraId="42CF4CCD" w14:textId="77777777" w:rsidR="0031406C" w:rsidRDefault="00592AF7">
      <w:pPr>
        <w:spacing w:line="360" w:lineRule="auto"/>
        <w:jc w:val="both"/>
        <w:rPr>
          <w:rtl/>
        </w:rPr>
      </w:pPr>
      <w:r>
        <w:rPr>
          <w:rFonts w:hint="cs"/>
          <w:rtl/>
        </w:rPr>
        <w:t>האישום החמישי – בתקופה של כחודש עובר לתאריך 17.2.15, בחמש הזדמנויות שונות שמועדיהן המדויקים אינם ידועים למאשימה, מכר הנאשם למר יובל מורדוב סם מסוכן מסוג מריחואנה בראשון-לציון בתמורה לסכומי כסף שאינם ידועים למאשימה במדויק.</w:t>
      </w:r>
    </w:p>
    <w:p w14:paraId="25C22074" w14:textId="77777777" w:rsidR="0031406C" w:rsidRDefault="0031406C">
      <w:pPr>
        <w:spacing w:line="360" w:lineRule="auto"/>
        <w:jc w:val="both"/>
        <w:rPr>
          <w:rtl/>
        </w:rPr>
      </w:pPr>
    </w:p>
    <w:p w14:paraId="2363BCA9" w14:textId="77777777" w:rsidR="0031406C" w:rsidRDefault="00592AF7">
      <w:pPr>
        <w:spacing w:line="360" w:lineRule="auto"/>
        <w:jc w:val="both"/>
        <w:rPr>
          <w:rtl/>
        </w:rPr>
      </w:pPr>
      <w:r>
        <w:rPr>
          <w:rFonts w:hint="cs"/>
          <w:rtl/>
        </w:rPr>
        <w:t>האישום השישי – במהלך חודש פברואר 2015, במועד שאינו ידוע במדויק למאשימה, מכר הנאשם למר דניאל מונסונגו סם מסוכן מסוג מריחואנה במשקל של 1- 2 גרם, בתמורה לסך של 100 ₪ לגרם.</w:t>
      </w:r>
    </w:p>
    <w:p w14:paraId="444973EA" w14:textId="77777777" w:rsidR="0031406C" w:rsidRDefault="0031406C">
      <w:pPr>
        <w:spacing w:line="360" w:lineRule="auto"/>
        <w:jc w:val="both"/>
        <w:rPr>
          <w:rtl/>
        </w:rPr>
      </w:pPr>
    </w:p>
    <w:p w14:paraId="50F0ADA6" w14:textId="77777777" w:rsidR="0031406C" w:rsidRDefault="00592AF7">
      <w:pPr>
        <w:spacing w:line="360" w:lineRule="auto"/>
        <w:jc w:val="both"/>
        <w:rPr>
          <w:rtl/>
        </w:rPr>
      </w:pPr>
      <w:r>
        <w:rPr>
          <w:rFonts w:hint="cs"/>
          <w:rtl/>
        </w:rPr>
        <w:t xml:space="preserve">האישום השביעי – בתאריך 12.2.15, בחיפוש שנערך בביתו של הנאשם בראשון-לציון, החזיק הנאשם בסמוך לדלת הכניסה לבית סם מסוכן מסוג קנבוס שהוסלק במשקל של 65.6 גרם. בנסיבות אלו, החזיק הנאשם סך של 2,950 ₪ במזומן. </w:t>
      </w:r>
    </w:p>
    <w:p w14:paraId="3C42AABF" w14:textId="77777777" w:rsidR="0031406C" w:rsidRDefault="0031406C">
      <w:pPr>
        <w:spacing w:line="360" w:lineRule="auto"/>
        <w:jc w:val="both"/>
        <w:rPr>
          <w:rtl/>
        </w:rPr>
      </w:pPr>
    </w:p>
    <w:p w14:paraId="649D3B60" w14:textId="77777777" w:rsidR="0031406C" w:rsidRDefault="0031406C">
      <w:pPr>
        <w:spacing w:line="360" w:lineRule="auto"/>
        <w:jc w:val="both"/>
        <w:rPr>
          <w:rtl/>
        </w:rPr>
      </w:pPr>
    </w:p>
    <w:p w14:paraId="7EFBB17B" w14:textId="77777777" w:rsidR="0031406C" w:rsidRDefault="0031406C">
      <w:pPr>
        <w:spacing w:line="360" w:lineRule="auto"/>
        <w:jc w:val="both"/>
        <w:rPr>
          <w:rtl/>
        </w:rPr>
      </w:pPr>
    </w:p>
    <w:p w14:paraId="18D4B332" w14:textId="77777777" w:rsidR="0031406C" w:rsidRDefault="00592AF7">
      <w:pPr>
        <w:spacing w:line="360" w:lineRule="auto"/>
        <w:jc w:val="both"/>
        <w:rPr>
          <w:rtl/>
        </w:rPr>
      </w:pPr>
      <w:r>
        <w:rPr>
          <w:rFonts w:hint="cs"/>
          <w:b/>
          <w:bCs/>
          <w:u w:val="single"/>
          <w:rtl/>
        </w:rPr>
        <w:t>ההסדר בין הצדדים</w:t>
      </w:r>
    </w:p>
    <w:p w14:paraId="32EB5437" w14:textId="77777777" w:rsidR="0031406C" w:rsidRDefault="0031406C">
      <w:pPr>
        <w:spacing w:line="360" w:lineRule="auto"/>
        <w:jc w:val="both"/>
        <w:rPr>
          <w:rtl/>
        </w:rPr>
      </w:pPr>
    </w:p>
    <w:p w14:paraId="090A8DA9" w14:textId="77777777" w:rsidR="0031406C" w:rsidRDefault="00592AF7">
      <w:pPr>
        <w:spacing w:line="360" w:lineRule="auto"/>
        <w:ind w:hanging="426"/>
        <w:jc w:val="both"/>
        <w:rPr>
          <w:rtl/>
        </w:rPr>
      </w:pPr>
      <w:r>
        <w:rPr>
          <w:rFonts w:hint="cs"/>
          <w:rtl/>
        </w:rPr>
        <w:t>2.</w:t>
      </w:r>
      <w:r>
        <w:rPr>
          <w:rFonts w:hint="cs"/>
          <w:rtl/>
        </w:rPr>
        <w:tab/>
        <w:t xml:space="preserve">הצדדים הגיעו להסדר, במסגרתו כתב האישום תוקן, והנאשם הודה והורשע בכתב האישום המתוקן כמפורט לעיל. הנאשם נשלח לשירות המבחן לצורך עריכת תסקיר בעניינו,  כאשר היה מדובר בתסקיר חובה לאור גילו של הנאשם.  באותו שלב, לא הייתה הסכמה עונשית בין הצדדים, והמאשימה הצהירה כי בשלב זה עמדתה היא להטלת מאסר בפועל ורכיבים נלווים, אך כי לאחר קבלת התסקיר הצדדים ישובו וישוחחו ביניהם. </w:t>
      </w:r>
    </w:p>
    <w:p w14:paraId="74E95167" w14:textId="77777777" w:rsidR="0031406C" w:rsidRDefault="0031406C">
      <w:pPr>
        <w:pStyle w:val="ListParagraph"/>
        <w:spacing w:line="360" w:lineRule="auto"/>
        <w:ind w:left="0"/>
        <w:jc w:val="both"/>
        <w:rPr>
          <w:noProof w:val="0"/>
        </w:rPr>
      </w:pPr>
    </w:p>
    <w:p w14:paraId="35E4C16C" w14:textId="77777777" w:rsidR="0031406C" w:rsidRDefault="00592AF7">
      <w:pPr>
        <w:pStyle w:val="ListParagraph"/>
        <w:spacing w:line="360" w:lineRule="auto"/>
        <w:ind w:left="0"/>
        <w:jc w:val="both"/>
        <w:rPr>
          <w:noProof w:val="0"/>
          <w:rtl/>
        </w:rPr>
      </w:pPr>
      <w:r>
        <w:rPr>
          <w:rFonts w:hint="cs"/>
          <w:noProof w:val="0"/>
          <w:rtl/>
        </w:rPr>
        <w:t xml:space="preserve">לאחר שהתקבל תסקיר שירות המבחן, הצדדים עתרו בהסכמה כי הנאשם ישלח לקבלת חוות דעת של הממונה על עבודות השירות בשב"ס, והצהירו כי בכפוף לקבלת חוות דעת חיובית, יעתרו </w:t>
      </w:r>
      <w:r>
        <w:rPr>
          <w:rFonts w:hint="cs"/>
          <w:noProof w:val="0"/>
          <w:rtl/>
        </w:rPr>
        <w:lastRenderedPageBreak/>
        <w:t xml:space="preserve">במשותף להשית על הנאשם עונש כולל של 6 חודשי מאסר שירוצו בדרך של עבודות שירות, מאסר על תנאי, קנס בסך של 1,000 ₪, חילוט הכספים והמכשירים שנתפסו על גופו של הנאשם, וכן כי הנאשם יוכרז כ"סוחר סמים".   </w:t>
      </w:r>
    </w:p>
    <w:p w14:paraId="23DD2062" w14:textId="77777777" w:rsidR="0031406C" w:rsidRDefault="0031406C">
      <w:pPr>
        <w:pStyle w:val="ListParagraph"/>
        <w:spacing w:line="360" w:lineRule="auto"/>
        <w:ind w:left="0"/>
        <w:jc w:val="both"/>
        <w:rPr>
          <w:rFonts w:ascii="Arial" w:hAnsi="Arial"/>
          <w:noProof w:val="0"/>
          <w:rtl/>
        </w:rPr>
      </w:pPr>
    </w:p>
    <w:p w14:paraId="75300266" w14:textId="77777777" w:rsidR="0031406C" w:rsidRDefault="00592AF7">
      <w:pPr>
        <w:spacing w:line="360" w:lineRule="auto"/>
        <w:jc w:val="both"/>
        <w:rPr>
          <w:rFonts w:ascii="Arial" w:hAnsi="Arial"/>
          <w:b/>
          <w:bCs/>
          <w:u w:val="single"/>
          <w:rtl/>
        </w:rPr>
      </w:pPr>
      <w:r>
        <w:rPr>
          <w:rFonts w:ascii="Arial" w:hAnsi="Arial" w:hint="cs"/>
          <w:b/>
          <w:bCs/>
          <w:u w:val="single"/>
          <w:rtl/>
        </w:rPr>
        <w:t>תסקיר שירות המבחן</w:t>
      </w:r>
    </w:p>
    <w:p w14:paraId="4DD9091A" w14:textId="77777777" w:rsidR="0031406C" w:rsidRDefault="0031406C">
      <w:pPr>
        <w:spacing w:line="360" w:lineRule="auto"/>
        <w:jc w:val="both"/>
        <w:rPr>
          <w:rFonts w:ascii="Arial" w:hAnsi="Arial"/>
          <w:b/>
          <w:bCs/>
          <w:u w:val="single"/>
          <w:rtl/>
        </w:rPr>
      </w:pPr>
    </w:p>
    <w:p w14:paraId="1A3F02A3" w14:textId="77777777" w:rsidR="0031406C" w:rsidRDefault="00592AF7">
      <w:pPr>
        <w:pStyle w:val="ListParagraph"/>
        <w:spacing w:line="360" w:lineRule="auto"/>
        <w:ind w:left="0" w:hanging="426"/>
        <w:jc w:val="both"/>
        <w:rPr>
          <w:rFonts w:ascii="Arial" w:hAnsi="Arial"/>
          <w:rtl/>
        </w:rPr>
      </w:pPr>
      <w:r>
        <w:rPr>
          <w:rFonts w:ascii="Arial" w:hAnsi="Arial" w:hint="cs"/>
          <w:noProof w:val="0"/>
          <w:rtl/>
        </w:rPr>
        <w:t>3.</w:t>
      </w:r>
      <w:r>
        <w:rPr>
          <w:rFonts w:ascii="Arial" w:hAnsi="Arial" w:hint="cs"/>
          <w:noProof w:val="0"/>
          <w:rtl/>
        </w:rPr>
        <w:tab/>
        <w:t xml:space="preserve">אפרט להלן בתמצית את תוכנו והמלצותיו של תסקיר שרות המבחן. </w:t>
      </w:r>
    </w:p>
    <w:p w14:paraId="7E54F908" w14:textId="77777777" w:rsidR="0031406C" w:rsidRDefault="0031406C">
      <w:pPr>
        <w:pStyle w:val="ListParagraph"/>
        <w:spacing w:line="360" w:lineRule="auto"/>
        <w:ind w:left="0" w:hanging="426"/>
        <w:jc w:val="both"/>
        <w:rPr>
          <w:noProof w:val="0"/>
          <w:u w:val="single"/>
        </w:rPr>
      </w:pPr>
    </w:p>
    <w:p w14:paraId="1CE2B599"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הנאשם בן כ- 18 שנים, רווק, ומתגורר עם הוריו בבית משפחתו בראשון לציון. טרם מעצרו התגורר הנאשם בגפו בראשון-לציון ועבד כטבח. הנאשם סיים 11 שנות לימוד. לדברי הנאשם, תקופת לימודיו הייתה חיובית והוא שלל אירועי משמעת והתנהגות חריגים. הנאשם מסר כי החליט לעזוב את מסגרת לימודיו לאור רצונו לעסוק בתחום הטבחות, וכי עסק בתחום זה ברציפות עד למעצרו. שירות המבחן ציין כי הנאשם לא גויס לשירות צבאי נוכח ההליך המשפטי המתנהל נגדו.</w:t>
      </w:r>
    </w:p>
    <w:p w14:paraId="405D74A4" w14:textId="77777777" w:rsidR="0031406C" w:rsidRDefault="0031406C">
      <w:pPr>
        <w:pStyle w:val="ListParagraph"/>
        <w:spacing w:line="360" w:lineRule="auto"/>
        <w:ind w:left="0"/>
        <w:jc w:val="both"/>
        <w:rPr>
          <w:rFonts w:ascii="Arial" w:hAnsi="Arial"/>
          <w:noProof w:val="0"/>
          <w:rtl/>
        </w:rPr>
      </w:pPr>
    </w:p>
    <w:p w14:paraId="5C508B0C"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שירות המבחן התרשם כי הנאשם ביצע את העבירות על רקע חבירתו לחברה שולית, בתקופת ההתבגרות בה התגלו בינו לבין הוריו קונפליקטים, והוא עזב את הבית והתגורר בגפו, כשתיאר את ביצוע העבירות כדרך לשייכות חברתית וכהצגת יכולות גבריות. ברקע לביצוע העבירות עמד רצונו של הנאשם להשיג רווחים כלכליים מיידים, בעקבות קשייו למממן את מחויבויותיו הכלכליות הגוברות, לצד קושי להיעזר בהוריו באותה עת. הנאשם הביע בפני שירות המבחן צער על ביצוע העבירות, לקח אחריות להתנהגותו ומוכן לשאת בתוצאות מעשיו. עוד מסר הנאשם כי בעקבות מעצרו החליט לנתק את קשריו השוליים. אשר לשימוש בסמים, הנאשם תיאר התנסות שימוש בסמים מסוג קנאביס באופן מזדמן ומצומצם בנסיבות חברתיות. לדברי הנאשם, לאחר מעצרו הפסיק לחלוטין את צריכת הסמים ושלל צורך בטיפול. בדיקות השתן שערך שרות המבחן לנאשם נמצאו נקיות משרידי סם.</w:t>
      </w:r>
    </w:p>
    <w:p w14:paraId="18F3328A" w14:textId="77777777" w:rsidR="0031406C" w:rsidRDefault="0031406C">
      <w:pPr>
        <w:pStyle w:val="ListParagraph"/>
        <w:spacing w:line="360" w:lineRule="auto"/>
        <w:ind w:left="0"/>
        <w:jc w:val="both"/>
        <w:rPr>
          <w:rFonts w:ascii="Arial" w:hAnsi="Arial"/>
          <w:noProof w:val="0"/>
          <w:rtl/>
        </w:rPr>
      </w:pPr>
    </w:p>
    <w:p w14:paraId="44E6902E"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 xml:space="preserve">במסגרת הליך המעצר שולב הנאשם בקבוצה טיפולית ייעודית לעצורי בית במשך כ-4 חודשים, אשר הסתיימה בספטמבר 2015, ומטרתה חיזוק יכולת ההתמודדות מול המעצר והשלכותיו. הנאשם לקח חלק פעיל במפגשי הקבוצה, תוך שהוא שיתף באופן כן ובוגר במעורבותו השולית שקדמה לביצוע העבירות ולקשייו בתקשורת מול משפחתו. כמו כן עלו קשייו הרגשיים, הכוללים דימו עצמי ירוד, אימפולסיביות, קשיים בהפעלת שיקול דעת וקושי בהצבת גבולות פנימיים. הנאשם הביע רצון להמשך קשר טיפולי סביב חיזוק יכולתו בהתמודדות מול מצבי סיכון אפשריים והעמקת התנהגותו ודפוסי התנהגותו הלקויים. </w:t>
      </w:r>
    </w:p>
    <w:p w14:paraId="5C360974" w14:textId="77777777" w:rsidR="0031406C" w:rsidRDefault="0031406C">
      <w:pPr>
        <w:pStyle w:val="ListParagraph"/>
        <w:spacing w:line="360" w:lineRule="auto"/>
        <w:ind w:left="0"/>
        <w:jc w:val="both"/>
        <w:rPr>
          <w:rFonts w:ascii="Arial" w:hAnsi="Arial"/>
          <w:noProof w:val="0"/>
          <w:rtl/>
        </w:rPr>
      </w:pPr>
    </w:p>
    <w:p w14:paraId="201591B1"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שירות המבחן התרשם כי הנאשם הינו בחור צעיר, נבון ובעל כוחות ויכולות, שגדל במשפחה מתפקדת בעלת מאפיינים נורמטיביים. להערכת שירות המבחן, בשנה אשר קדמה למעצרו, הנאשם היה מצוי בהליך הדרדרות על רקע אורח החיים העצמאי וחסר בתמיכה משפחתית, אשר דרש ממנו יכולות שעמדו בפער לגילו הצעיר ולחוסר בשלותו. כמו כן, בתקופה זו חבר הנאשם לסביבה שולית שענתה על צרכיו הרגשיים, שכללו צורך בשייכות וקבלה חברתית, לצד דימוי עצמי ירוד, והסביבה החברתית בה שהה, תרמו לבחירתו לבצע את העבירות. שירות המבחן ציין כי לא התרשם מנורמות ודפוסים עברייניים מובהקים ומושרשים.</w:t>
      </w:r>
    </w:p>
    <w:p w14:paraId="7682F203"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 xml:space="preserve"> </w:t>
      </w:r>
    </w:p>
    <w:p w14:paraId="188B5E92"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 xml:space="preserve">בין גורמי הסיכון להישנות ביצוע עבירות, נימנו חומרת העבירות והיקפן, קשייו הרגשיים המתוארים של הנאשם, תוך קושי בהצבת גבולות פנימיים ודחיית סיפוקיו המידיים. בין גורמי הסיכוי לשיקום נימנו העובדה שהנאשם עומד לדין בפעם הראשונה בחייו, כשניכר שההליך המשפטי מהווה עבורו גורם בולם, מרתיע ומציב גבול, יכולתו של הנאשם בשיתוף פעולה אקטיבי לאורך הליך המעצר, השתלבותו החיובית בטיפול, והיעדר אינדיקציה לשימוש בסמים בעיתוי זה. </w:t>
      </w:r>
    </w:p>
    <w:p w14:paraId="35B7B5B8" w14:textId="77777777" w:rsidR="0031406C" w:rsidRDefault="0031406C">
      <w:pPr>
        <w:pStyle w:val="ListParagraph"/>
        <w:spacing w:line="360" w:lineRule="auto"/>
        <w:ind w:left="0"/>
        <w:jc w:val="both"/>
        <w:rPr>
          <w:rFonts w:ascii="Arial" w:hAnsi="Arial"/>
          <w:noProof w:val="0"/>
          <w:rtl/>
        </w:rPr>
      </w:pPr>
    </w:p>
    <w:p w14:paraId="63C333E6" w14:textId="77777777" w:rsidR="0031406C" w:rsidRDefault="00592AF7">
      <w:pPr>
        <w:pStyle w:val="ListParagraph"/>
        <w:spacing w:line="360" w:lineRule="auto"/>
        <w:ind w:left="0"/>
        <w:jc w:val="both"/>
        <w:rPr>
          <w:rFonts w:ascii="Arial" w:hAnsi="Arial"/>
          <w:noProof w:val="0"/>
          <w:rtl/>
        </w:rPr>
      </w:pPr>
      <w:r>
        <w:rPr>
          <w:rFonts w:ascii="Arial" w:hAnsi="Arial" w:hint="cs"/>
          <w:noProof w:val="0"/>
          <w:rtl/>
        </w:rPr>
        <w:t>נוכח כל האמור, שירות המבחן המליץ להעמיד את הנאשם בצו מבחן למשך שנה. להערכת שירות המבחן, הטלת עונש מאסר בפועל בעיתוי זה, בייחוד נוכח גילו הצעיר של הנאשם והשלב ההתפתחותי הרגיש המאפיין גיל זה בהיבט הרגשי, הקוגניטיבי והחברתי, עלול לפגוע  (או עלול לגדוע את הליך שיקומו) בתהליך שיקומו ולחשוף אותו להתמודדות עם דפוסי התנהגות כוחניים ועבריינים. במקביל, וכענישה קונקרטית מוחשית, המליץ שירות המבחן על הטלת צו של"צ בהיקף של 250 שעות לצד מאסר על תנאי, זאת נוכח הערכת שירות המבחן כי יש בעונשים אלו כדי לחדד גבול ברור להתנהגות עבור הנאשם, לחזק את חלקיו המתפקדים, ולהוות גורם מדרבן להמשך טיפול.</w:t>
      </w:r>
    </w:p>
    <w:p w14:paraId="52AAF983" w14:textId="77777777" w:rsidR="0031406C" w:rsidRDefault="00592AF7">
      <w:pPr>
        <w:spacing w:line="360" w:lineRule="auto"/>
        <w:jc w:val="both"/>
        <w:rPr>
          <w:rFonts w:ascii="Times New Roman" w:hAnsi="Times New Roman"/>
          <w:highlight w:val="yellow"/>
          <w:rtl/>
        </w:rPr>
      </w:pPr>
      <w:r>
        <w:rPr>
          <w:rFonts w:hint="cs"/>
          <w:b/>
          <w:bCs/>
          <w:u w:val="single"/>
          <w:rtl/>
        </w:rPr>
        <w:t>דיון והכרעה</w:t>
      </w:r>
    </w:p>
    <w:p w14:paraId="0432F335" w14:textId="77777777" w:rsidR="0031406C" w:rsidRDefault="0031406C">
      <w:pPr>
        <w:spacing w:line="360" w:lineRule="auto"/>
        <w:jc w:val="both"/>
        <w:rPr>
          <w:highlight w:val="yellow"/>
          <w:rtl/>
        </w:rPr>
      </w:pPr>
    </w:p>
    <w:p w14:paraId="31A8D8D9" w14:textId="77777777" w:rsidR="0031406C" w:rsidRDefault="00592AF7">
      <w:pPr>
        <w:spacing w:line="360" w:lineRule="auto"/>
        <w:ind w:hanging="426"/>
        <w:jc w:val="both"/>
        <w:rPr>
          <w:noProof/>
          <w:rtl/>
        </w:rPr>
      </w:pPr>
      <w:r>
        <w:rPr>
          <w:rFonts w:hint="cs"/>
          <w:rtl/>
        </w:rPr>
        <w:t>4.</w:t>
      </w:r>
      <w:r>
        <w:rPr>
          <w:rFonts w:hint="cs"/>
          <w:rtl/>
        </w:rPr>
        <w:tab/>
        <w:t>בהתאם לתיקון 113 ל</w:t>
      </w:r>
      <w:hyperlink r:id="rId22" w:history="1">
        <w:r w:rsidRPr="00592AF7">
          <w:rPr>
            <w:rStyle w:val="Hyperlink"/>
            <w:rFonts w:hint="eastAsia"/>
            <w:rtl/>
          </w:rPr>
          <w:t>חוק</w:t>
        </w:r>
        <w:r w:rsidRPr="00592AF7">
          <w:rPr>
            <w:rStyle w:val="Hyperlink"/>
            <w:rtl/>
          </w:rPr>
          <w:t xml:space="preserve"> העונשין</w:t>
        </w:r>
      </w:hyperlink>
      <w:r>
        <w:rPr>
          <w:rFonts w:hint="cs"/>
          <w:rtl/>
        </w:rPr>
        <w:t xml:space="preserve">, התשע"ב-2012 (להלן: </w:t>
      </w:r>
      <w:r>
        <w:rPr>
          <w:rFonts w:hint="cs"/>
          <w:b/>
          <w:bCs/>
          <w:rtl/>
        </w:rPr>
        <w:t>"תיקון 113</w:t>
      </w:r>
      <w:r>
        <w:rPr>
          <w:rFonts w:hint="cs"/>
          <w:rtl/>
        </w:rPr>
        <w:t xml:space="preserve"> </w:t>
      </w:r>
      <w:r>
        <w:rPr>
          <w:rFonts w:hint="cs"/>
          <w:b/>
          <w:bCs/>
          <w:rtl/>
        </w:rPr>
        <w:t>לחוק העונשין</w:t>
      </w:r>
      <w:r>
        <w:rPr>
          <w:rFonts w:hint="cs"/>
          <w:rtl/>
        </w:rPr>
        <w:t>"), על בית המשפט לערוך בחינה רב שלבית לצורך גזירת העונש (לניתוח תיקון 113 לחוק העונשין והשלכותיו ראו –עמי</w:t>
      </w:r>
      <w:r>
        <w:rPr>
          <w:rFonts w:hint="cs"/>
        </w:rPr>
        <w:t xml:space="preserve"> </w:t>
      </w:r>
      <w:r>
        <w:rPr>
          <w:rFonts w:hint="cs"/>
          <w:rtl/>
        </w:rPr>
        <w:t>קובו</w:t>
      </w:r>
      <w:r>
        <w:rPr>
          <w:rFonts w:hint="cs"/>
        </w:rPr>
        <w:t xml:space="preserve"> </w:t>
      </w:r>
      <w:r>
        <w:rPr>
          <w:rFonts w:hint="cs"/>
          <w:rtl/>
        </w:rPr>
        <w:t>"פירוש</w:t>
      </w:r>
      <w:r>
        <w:rPr>
          <w:rFonts w:hint="cs"/>
        </w:rPr>
        <w:t xml:space="preserve"> </w:t>
      </w:r>
      <w:r>
        <w:rPr>
          <w:rFonts w:hint="cs"/>
          <w:rtl/>
        </w:rPr>
        <w:t>לתיקון</w:t>
      </w:r>
      <w:r>
        <w:rPr>
          <w:rFonts w:hint="cs"/>
        </w:rPr>
        <w:t xml:space="preserve"> </w:t>
      </w:r>
      <w:r>
        <w:rPr>
          <w:rFonts w:hint="cs"/>
          <w:rtl/>
        </w:rPr>
        <w:t>113 לחוק העונשין</w:t>
      </w:r>
      <w:r>
        <w:rPr>
          <w:rFonts w:hint="cs"/>
        </w:rPr>
        <w:t xml:space="preserve"> </w:t>
      </w:r>
      <w:r>
        <w:rPr>
          <w:rFonts w:hint="cs"/>
          <w:rtl/>
        </w:rPr>
        <w:t>בעניין</w:t>
      </w:r>
      <w:r>
        <w:rPr>
          <w:rFonts w:hint="cs"/>
        </w:rPr>
        <w:t xml:space="preserve"> </w:t>
      </w:r>
      <w:r>
        <w:rPr>
          <w:rFonts w:hint="cs"/>
          <w:rtl/>
        </w:rPr>
        <w:t>הבניית שיקול</w:t>
      </w:r>
      <w:r>
        <w:rPr>
          <w:rFonts w:hint="cs"/>
        </w:rPr>
        <w:t xml:space="preserve"> </w:t>
      </w:r>
      <w:r>
        <w:rPr>
          <w:rFonts w:hint="cs"/>
          <w:rtl/>
        </w:rPr>
        <w:t>הדעת</w:t>
      </w:r>
      <w:r>
        <w:rPr>
          <w:rFonts w:hint="cs"/>
        </w:rPr>
        <w:t xml:space="preserve"> </w:t>
      </w:r>
      <w:r>
        <w:rPr>
          <w:rFonts w:hint="cs"/>
          <w:rtl/>
        </w:rPr>
        <w:t xml:space="preserve">בענישה" </w:t>
      </w:r>
      <w:r>
        <w:rPr>
          <w:rFonts w:hint="cs"/>
          <w:b/>
          <w:bCs/>
          <w:rtl/>
        </w:rPr>
        <w:t>עלון השופטים</w:t>
      </w:r>
      <w:r>
        <w:rPr>
          <w:rFonts w:hint="cs"/>
          <w:b/>
          <w:bCs/>
        </w:rPr>
        <w:t xml:space="preserve"> </w:t>
      </w:r>
      <w:r>
        <w:rPr>
          <w:rFonts w:hint="cs"/>
          <w:b/>
          <w:bCs/>
          <w:rtl/>
        </w:rPr>
        <w:t>ע"ש</w:t>
      </w:r>
      <w:r>
        <w:rPr>
          <w:rFonts w:hint="cs"/>
          <w:b/>
          <w:bCs/>
        </w:rPr>
        <w:t xml:space="preserve"> </w:t>
      </w:r>
      <w:r>
        <w:rPr>
          <w:rFonts w:hint="cs"/>
          <w:b/>
          <w:bCs/>
          <w:rtl/>
        </w:rPr>
        <w:t>השופט</w:t>
      </w:r>
      <w:r>
        <w:rPr>
          <w:rFonts w:hint="cs"/>
          <w:b/>
          <w:bCs/>
        </w:rPr>
        <w:t xml:space="preserve"> </w:t>
      </w:r>
      <w:r>
        <w:rPr>
          <w:rFonts w:hint="cs"/>
          <w:b/>
          <w:bCs/>
          <w:rtl/>
        </w:rPr>
        <w:t>ברוך</w:t>
      </w:r>
      <w:r>
        <w:rPr>
          <w:rFonts w:hint="cs"/>
          <w:b/>
          <w:bCs/>
        </w:rPr>
        <w:t xml:space="preserve"> </w:t>
      </w:r>
      <w:r>
        <w:rPr>
          <w:rFonts w:hint="cs"/>
          <w:b/>
          <w:bCs/>
          <w:rtl/>
        </w:rPr>
        <w:t>ז"ל</w:t>
      </w:r>
      <w:r>
        <w:rPr>
          <w:rFonts w:hint="cs"/>
          <w:rtl/>
        </w:rPr>
        <w:t xml:space="preserve"> 14, 3 (2012) וכן </w:t>
      </w:r>
      <w:hyperlink r:id="rId23" w:history="1">
        <w:r w:rsidRPr="00592AF7">
          <w:rPr>
            <w:rStyle w:val="Hyperlink"/>
            <w:rFonts w:hint="eastAsia"/>
            <w:rtl/>
          </w:rPr>
          <w:t>ע</w:t>
        </w:r>
        <w:r w:rsidRPr="00592AF7">
          <w:rPr>
            <w:rStyle w:val="Hyperlink"/>
            <w:rtl/>
          </w:rPr>
          <w:t>"פ 8641/12</w:t>
        </w:r>
      </w:hyperlink>
      <w:r>
        <w:rPr>
          <w:rFonts w:hint="cs"/>
          <w:rtl/>
        </w:rPr>
        <w:t xml:space="preserve"> </w:t>
      </w:r>
      <w:r>
        <w:rPr>
          <w:rFonts w:hint="cs"/>
          <w:b/>
          <w:bCs/>
          <w:rtl/>
        </w:rPr>
        <w:t xml:space="preserve">מוחמד סעד נ' מדינת ישראל </w:t>
      </w:r>
      <w:r>
        <w:rPr>
          <w:rFonts w:hint="cs"/>
          <w:rtl/>
        </w:rPr>
        <w:t>(5.8.13)).</w:t>
      </w:r>
    </w:p>
    <w:p w14:paraId="3593D732" w14:textId="77777777" w:rsidR="0031406C" w:rsidRDefault="0031406C">
      <w:pPr>
        <w:pStyle w:val="1"/>
        <w:bidi/>
        <w:spacing w:after="0" w:line="360" w:lineRule="auto"/>
        <w:ind w:left="-66"/>
        <w:jc w:val="both"/>
        <w:rPr>
          <w:rFonts w:cs="David"/>
          <w:sz w:val="24"/>
          <w:szCs w:val="24"/>
        </w:rPr>
      </w:pPr>
    </w:p>
    <w:p w14:paraId="03B37541" w14:textId="77777777" w:rsidR="0031406C" w:rsidRDefault="00592AF7">
      <w:pPr>
        <w:spacing w:line="360" w:lineRule="auto"/>
        <w:jc w:val="both"/>
        <w:rPr>
          <w:b/>
          <w:bCs/>
          <w:u w:val="single"/>
          <w:rtl/>
        </w:rPr>
      </w:pPr>
      <w:r>
        <w:rPr>
          <w:rFonts w:hint="cs"/>
          <w:b/>
          <w:bCs/>
          <w:u w:val="single"/>
          <w:rtl/>
        </w:rPr>
        <w:t>ריבוי עבירות</w:t>
      </w:r>
    </w:p>
    <w:p w14:paraId="16A5FB28" w14:textId="77777777" w:rsidR="0031406C" w:rsidRDefault="0031406C">
      <w:pPr>
        <w:spacing w:line="360" w:lineRule="auto"/>
        <w:jc w:val="both"/>
      </w:pPr>
    </w:p>
    <w:p w14:paraId="78A0FE60" w14:textId="77777777" w:rsidR="0031406C" w:rsidRDefault="00592AF7">
      <w:pPr>
        <w:spacing w:line="360" w:lineRule="auto"/>
        <w:jc w:val="both"/>
        <w:rPr>
          <w:rtl/>
        </w:rPr>
      </w:pPr>
      <w:r>
        <w:rPr>
          <w:rFonts w:hint="cs"/>
          <w:rtl/>
        </w:rPr>
        <w:t>השאלה הראשונה הניצבת בפני בית המשפט נוכח תיקון 113 ל</w:t>
      </w:r>
      <w:hyperlink r:id="rId24" w:history="1">
        <w:r w:rsidRPr="00592AF7">
          <w:rPr>
            <w:rStyle w:val="Hyperlink"/>
            <w:rFonts w:hint="eastAsia"/>
            <w:rtl/>
          </w:rPr>
          <w:t>חוק</w:t>
        </w:r>
        <w:r w:rsidRPr="00592AF7">
          <w:rPr>
            <w:rStyle w:val="Hyperlink"/>
            <w:rtl/>
          </w:rPr>
          <w:t xml:space="preserve"> העונשין</w:t>
        </w:r>
      </w:hyperlink>
      <w:r>
        <w:rPr>
          <w:rFonts w:hint="cs"/>
          <w:rtl/>
        </w:rPr>
        <w:t>, היא כיצד יש לקבוע את מתחם העונש ההולם שעה שקיימים מספר סעיפי אישום, כלומר, האם יש לראות בהם כ"אירוע אחד" או כ"מספר אירועים נפרדים".</w:t>
      </w:r>
    </w:p>
    <w:p w14:paraId="534BA8B4" w14:textId="77777777" w:rsidR="0031406C" w:rsidRDefault="00592AF7">
      <w:pPr>
        <w:spacing w:line="360" w:lineRule="auto"/>
        <w:jc w:val="both"/>
        <w:rPr>
          <w:rtl/>
        </w:rPr>
      </w:pPr>
      <w:r>
        <w:rPr>
          <w:rFonts w:hint="cs"/>
          <w:rtl/>
        </w:rPr>
        <w:t xml:space="preserve"> </w:t>
      </w:r>
    </w:p>
    <w:p w14:paraId="1893D6BD" w14:textId="77777777" w:rsidR="0031406C" w:rsidRDefault="00644C01">
      <w:pPr>
        <w:spacing w:line="360" w:lineRule="auto"/>
        <w:jc w:val="both"/>
      </w:pPr>
      <w:hyperlink r:id="rId25" w:history="1">
        <w:r w:rsidRPr="00644C01">
          <w:rPr>
            <w:color w:val="0000FF"/>
            <w:u w:val="single"/>
            <w:rtl/>
          </w:rPr>
          <w:t>סעיף 40יג</w:t>
        </w:r>
      </w:hyperlink>
      <w:r w:rsidR="00592AF7">
        <w:rPr>
          <w:rFonts w:hint="cs"/>
          <w:rtl/>
        </w:rPr>
        <w:t xml:space="preserve"> ל</w:t>
      </w:r>
      <w:hyperlink r:id="rId26" w:history="1">
        <w:r w:rsidR="00592AF7" w:rsidRPr="00592AF7">
          <w:rPr>
            <w:rStyle w:val="Hyperlink"/>
            <w:rFonts w:hint="eastAsia"/>
            <w:rtl/>
          </w:rPr>
          <w:t>חוק</w:t>
        </w:r>
        <w:r w:rsidR="00592AF7" w:rsidRPr="00592AF7">
          <w:rPr>
            <w:rStyle w:val="Hyperlink"/>
            <w:rtl/>
          </w:rPr>
          <w:t xml:space="preserve"> העונשין</w:t>
        </w:r>
      </w:hyperlink>
      <w:r w:rsidR="00592AF7">
        <w:rPr>
          <w:rFonts w:hint="cs"/>
          <w:rtl/>
        </w:rPr>
        <w:t>, שנחקק במסגרת תיקון 113 לחוק העונשין, דן במצב של ריבוי עבירות, וקובע כי כאשר מדובר במספר עבירות המהוות אירוע אחד, יקבע בית המשפט עונש הולם לאירוע כולו ויגזור עונש אחד לכלל העבירות שבוצעו, בעוד שאם עסקינן במספר עבירות שניתן לראותן כמספר אירועים שונים, אזי יקבע בית המשפט מתחם עונש הולם לכל אירוע ואירוע, ולאחר מכן, יגזור עונש נפרד לכל אירוע או עונש כולל לכל האירועים.</w:t>
      </w:r>
    </w:p>
    <w:p w14:paraId="7AA1BFDD" w14:textId="77777777" w:rsidR="0031406C" w:rsidRDefault="0031406C">
      <w:pPr>
        <w:suppressAutoHyphens/>
        <w:spacing w:line="360" w:lineRule="auto"/>
        <w:ind w:left="-66"/>
        <w:jc w:val="both"/>
        <w:rPr>
          <w:rFonts w:ascii="Calibri" w:hAnsi="Calibri"/>
          <w:kern w:val="2"/>
          <w:rtl/>
        </w:rPr>
      </w:pPr>
    </w:p>
    <w:p w14:paraId="2A4A6BC3" w14:textId="77777777" w:rsidR="0031406C" w:rsidRDefault="00592AF7">
      <w:pPr>
        <w:suppressAutoHyphens/>
        <w:spacing w:line="360" w:lineRule="auto"/>
        <w:jc w:val="both"/>
        <w:rPr>
          <w:rFonts w:ascii="Times New Roman" w:hAnsi="Times New Roman"/>
          <w:rtl/>
        </w:rPr>
      </w:pPr>
      <w:r>
        <w:rPr>
          <w:rFonts w:ascii="Calibri" w:hAnsi="Calibri" w:hint="cs"/>
          <w:kern w:val="2"/>
          <w:rtl/>
        </w:rPr>
        <w:t xml:space="preserve">בענייננו, מדובר בסחר בסמים מסוכנים בשש עסקאות נפרדות, שבוצעו על ידי הנאשם במספר מועדים, לאורך מספר חודשים, במסגרתן הנאשם מכר סמים לקונים שונים, תמורת סכומי כסף שונים ובמקומות שונים, ועל אף שבכל המקרים המדובר בסחר, ועל כן הדמיון ביניהם, אין לראות אותם כאירוע אחד כולל, וכמו כן, במקרה נוסף המדובר בהחזקת סמים מסוכנים שלא לצריכה עצמית. </w:t>
      </w:r>
      <w:r>
        <w:rPr>
          <w:rFonts w:hint="cs"/>
          <w:rtl/>
        </w:rPr>
        <w:t xml:space="preserve">לפיכך, יהיה נכון וראוי לקבוע מתחם עונש הולם לכל אירוע בנפרד, ולגזור עונש כולל לכל האירועים. </w:t>
      </w:r>
    </w:p>
    <w:p w14:paraId="0414CFAA" w14:textId="77777777" w:rsidR="0031406C" w:rsidRDefault="0031406C">
      <w:pPr>
        <w:spacing w:line="360" w:lineRule="auto"/>
        <w:jc w:val="both"/>
        <w:rPr>
          <w:u w:val="single"/>
          <w:rtl/>
        </w:rPr>
      </w:pPr>
    </w:p>
    <w:p w14:paraId="2D6F6C99" w14:textId="77777777" w:rsidR="0031406C" w:rsidRDefault="00592AF7">
      <w:pPr>
        <w:spacing w:line="360" w:lineRule="auto"/>
        <w:jc w:val="both"/>
        <w:rPr>
          <w:b/>
          <w:bCs/>
          <w:u w:val="single"/>
          <w:rtl/>
        </w:rPr>
      </w:pPr>
      <w:r>
        <w:rPr>
          <w:rFonts w:hint="cs"/>
          <w:b/>
          <w:bCs/>
          <w:u w:val="single"/>
          <w:rtl/>
        </w:rPr>
        <w:t>מתחם העונש ההולם</w:t>
      </w:r>
    </w:p>
    <w:p w14:paraId="26A5FA22" w14:textId="77777777" w:rsidR="0031406C" w:rsidRDefault="0031406C">
      <w:pPr>
        <w:spacing w:line="360" w:lineRule="auto"/>
        <w:jc w:val="both"/>
        <w:rPr>
          <w:rtl/>
        </w:rPr>
      </w:pPr>
    </w:p>
    <w:p w14:paraId="4879A7F1" w14:textId="77777777" w:rsidR="0031406C" w:rsidRDefault="00592AF7">
      <w:pPr>
        <w:pStyle w:val="ListParagraph"/>
        <w:spacing w:line="360" w:lineRule="auto"/>
        <w:ind w:left="0"/>
        <w:jc w:val="both"/>
        <w:rPr>
          <w:u w:val="single"/>
          <w:rtl/>
        </w:rPr>
      </w:pPr>
      <w:r>
        <w:rPr>
          <w:rFonts w:hint="cs"/>
          <w:noProof w:val="0"/>
          <w:rtl/>
        </w:rPr>
        <w:t>לשם קביעת עונשו של הנאשם, על בית-המשפט להתחשב בעקרון המנחה בענישה, שהינו עקרון ההלימה, כלומר, קיום יחס הולם בין חומרת העבירות בנסיבותיהן ומידת אשמו של הנאשם, לבין סוג ומידת העונש שיוטל עליו.</w:t>
      </w:r>
      <w:r>
        <w:rPr>
          <w:rFonts w:hint="cs"/>
          <w:noProof w:val="0"/>
          <w:u w:val="single"/>
          <w:rtl/>
        </w:rPr>
        <w:t xml:space="preserve"> </w:t>
      </w:r>
    </w:p>
    <w:p w14:paraId="7E2CAE3A" w14:textId="77777777" w:rsidR="0031406C" w:rsidRDefault="0031406C">
      <w:pPr>
        <w:pStyle w:val="ListParagraph"/>
        <w:spacing w:line="360" w:lineRule="auto"/>
        <w:ind w:left="0"/>
        <w:jc w:val="both"/>
        <w:rPr>
          <w:noProof w:val="0"/>
        </w:rPr>
      </w:pPr>
    </w:p>
    <w:p w14:paraId="1324D392" w14:textId="77777777" w:rsidR="0031406C" w:rsidRDefault="00592AF7">
      <w:pPr>
        <w:pStyle w:val="ListParagraph"/>
        <w:spacing w:line="360" w:lineRule="auto"/>
        <w:ind w:left="0"/>
        <w:jc w:val="both"/>
        <w:rPr>
          <w:noProof w:val="0"/>
          <w:rtl/>
        </w:rPr>
      </w:pPr>
      <w:r>
        <w:rPr>
          <w:rFonts w:hint="cs"/>
          <w:noProof w:val="0"/>
          <w:rtl/>
        </w:rPr>
        <w:t xml:space="preserve">בקביעת מתחם העונש ההולם את העבירות בהתאם לעקרון ההלימה, יש להתחשב בשלושה פרמטרים: האחד, הערכים החברתיים שנפגעו מביצוע העבירות ומידת הפגיעה בהם, השני, מדיניות הענישה הנהוגה, והשלישי, הנסיבות הקשורות בביצוע העבירות, כמפורט בסעיף </w:t>
      </w:r>
      <w:hyperlink r:id="rId27" w:history="1">
        <w:r w:rsidR="00644C01" w:rsidRPr="00644C01">
          <w:rPr>
            <w:noProof w:val="0"/>
            <w:color w:val="0000FF"/>
            <w:u w:val="single"/>
            <w:rtl/>
          </w:rPr>
          <w:t>40ג (א)</w:t>
        </w:r>
      </w:hyperlink>
      <w:r>
        <w:rPr>
          <w:rFonts w:hint="cs"/>
          <w:noProof w:val="0"/>
          <w:rtl/>
        </w:rPr>
        <w:t xml:space="preserve"> ל</w:t>
      </w:r>
      <w:hyperlink r:id="rId28" w:history="1">
        <w:r w:rsidRPr="00592AF7">
          <w:rPr>
            <w:rStyle w:val="Hyperlink"/>
            <w:rFonts w:hint="eastAsia"/>
            <w:noProof w:val="0"/>
            <w:rtl/>
          </w:rPr>
          <w:t>חוק</w:t>
        </w:r>
        <w:r w:rsidRPr="00592AF7">
          <w:rPr>
            <w:rStyle w:val="Hyperlink"/>
            <w:noProof w:val="0"/>
            <w:rtl/>
          </w:rPr>
          <w:t xml:space="preserve"> העונשין</w:t>
        </w:r>
      </w:hyperlink>
      <w:r>
        <w:rPr>
          <w:rFonts w:hint="cs"/>
          <w:noProof w:val="0"/>
          <w:rtl/>
        </w:rPr>
        <w:t>.</w:t>
      </w:r>
    </w:p>
    <w:p w14:paraId="06D53C1E" w14:textId="77777777" w:rsidR="0031406C" w:rsidRDefault="0031406C">
      <w:pPr>
        <w:pStyle w:val="ListParagraph"/>
        <w:spacing w:line="360" w:lineRule="auto"/>
        <w:ind w:left="-66"/>
        <w:jc w:val="both"/>
        <w:rPr>
          <w:noProof w:val="0"/>
          <w:rtl/>
        </w:rPr>
      </w:pPr>
    </w:p>
    <w:p w14:paraId="3D700797" w14:textId="77777777" w:rsidR="0031406C" w:rsidRDefault="00592AF7">
      <w:pPr>
        <w:pStyle w:val="ListParagraph"/>
        <w:spacing w:line="360" w:lineRule="auto"/>
        <w:ind w:left="-66"/>
        <w:jc w:val="both"/>
        <w:rPr>
          <w:noProof w:val="0"/>
          <w:u w:val="single"/>
          <w:rtl/>
        </w:rPr>
      </w:pPr>
      <w:r>
        <w:rPr>
          <w:rFonts w:hint="cs"/>
          <w:noProof w:val="0"/>
          <w:u w:val="single"/>
          <w:rtl/>
        </w:rPr>
        <w:t>הערכים החברתיים שנפגעו כתוצאה ממעשיו של הנאשם ומידת הפגיעה בהם</w:t>
      </w:r>
    </w:p>
    <w:p w14:paraId="0DE00AA5" w14:textId="77777777" w:rsidR="0031406C" w:rsidRDefault="0031406C">
      <w:pPr>
        <w:spacing w:line="360" w:lineRule="auto"/>
        <w:jc w:val="both"/>
        <w:rPr>
          <w:rtl/>
        </w:rPr>
      </w:pPr>
    </w:p>
    <w:p w14:paraId="670506CC" w14:textId="77777777" w:rsidR="0031406C" w:rsidRDefault="00592AF7">
      <w:pPr>
        <w:spacing w:line="360" w:lineRule="auto"/>
        <w:jc w:val="both"/>
        <w:rPr>
          <w:rtl/>
        </w:rPr>
      </w:pPr>
      <w:r>
        <w:rPr>
          <w:rFonts w:hint="cs"/>
          <w:rtl/>
        </w:rPr>
        <w:t xml:space="preserve">הערכים החברתיים אשר נפגעו כתוצאה ממעשיו של הנאשם הינם ההגנה על המשתמשים בסמים מסוכנים והנזקים הכלכליים והחברתיים העקיפים כתוצאה מהסחר בסמים מסוכנים. </w:t>
      </w:r>
    </w:p>
    <w:p w14:paraId="46E2BC6A" w14:textId="77777777" w:rsidR="0031406C" w:rsidRDefault="0031406C">
      <w:pPr>
        <w:spacing w:line="360" w:lineRule="auto"/>
        <w:jc w:val="both"/>
        <w:rPr>
          <w:rtl/>
        </w:rPr>
      </w:pPr>
    </w:p>
    <w:p w14:paraId="03631577" w14:textId="77777777" w:rsidR="0031406C" w:rsidRDefault="00592AF7">
      <w:pPr>
        <w:spacing w:line="360" w:lineRule="auto"/>
        <w:jc w:val="both"/>
        <w:rPr>
          <w:rtl/>
        </w:rPr>
      </w:pPr>
      <w:r>
        <w:rPr>
          <w:rFonts w:hint="cs"/>
          <w:rtl/>
        </w:rPr>
        <w:t>יפים לעניין זה דברי בית-המשפט העליון ב-רע"פ 6373/06 מדינת ישראל נ' אלנשמי (6.9.06):</w:t>
      </w:r>
    </w:p>
    <w:p w14:paraId="0B3B1960" w14:textId="77777777" w:rsidR="0031406C" w:rsidRDefault="0031406C">
      <w:pPr>
        <w:pStyle w:val="a"/>
        <w:numPr>
          <w:ilvl w:val="0"/>
          <w:numId w:val="0"/>
        </w:numPr>
        <w:tabs>
          <w:tab w:val="left" w:pos="720"/>
        </w:tabs>
        <w:ind w:right="0"/>
        <w:rPr>
          <w:rtl/>
        </w:rPr>
      </w:pPr>
    </w:p>
    <w:p w14:paraId="7549329E" w14:textId="77777777" w:rsidR="0031406C" w:rsidRDefault="00592AF7">
      <w:pPr>
        <w:pStyle w:val="a"/>
        <w:numPr>
          <w:ilvl w:val="0"/>
          <w:numId w:val="0"/>
        </w:numPr>
        <w:tabs>
          <w:tab w:val="left" w:pos="720"/>
        </w:tabs>
        <w:ind w:left="720" w:right="851"/>
        <w:rPr>
          <w:rtl/>
        </w:rPr>
      </w:pPr>
      <w:r>
        <w:rPr>
          <w:rFonts w:hint="cs"/>
          <w:rtl/>
        </w:rPr>
        <w:t>"</w:t>
      </w:r>
      <w:r>
        <w:rPr>
          <w:rFonts w:hint="cs"/>
          <w:b/>
          <w:bCs/>
          <w:rtl/>
        </w:rPr>
        <w:t>כאשר</w:t>
      </w:r>
      <w:r>
        <w:rPr>
          <w:rFonts w:hint="cs"/>
          <w:b/>
          <w:bCs/>
        </w:rPr>
        <w:t xml:space="preserve"> </w:t>
      </w:r>
      <w:r>
        <w:rPr>
          <w:rFonts w:hint="cs"/>
          <w:b/>
          <w:bCs/>
          <w:rtl/>
        </w:rPr>
        <w:t>בעבירות</w:t>
      </w:r>
      <w:r>
        <w:rPr>
          <w:rFonts w:hint="cs"/>
          <w:b/>
          <w:bCs/>
        </w:rPr>
        <w:t xml:space="preserve"> </w:t>
      </w:r>
      <w:r>
        <w:rPr>
          <w:rFonts w:hint="cs"/>
          <w:b/>
          <w:bCs/>
          <w:rtl/>
        </w:rPr>
        <w:t>סמים</w:t>
      </w:r>
      <w:r>
        <w:rPr>
          <w:rFonts w:hint="cs"/>
          <w:b/>
          <w:bCs/>
        </w:rPr>
        <w:t xml:space="preserve"> </w:t>
      </w:r>
      <w:r>
        <w:rPr>
          <w:rFonts w:hint="cs"/>
          <w:b/>
          <w:bCs/>
          <w:rtl/>
        </w:rPr>
        <w:t>עסקינן, לא</w:t>
      </w:r>
      <w:r>
        <w:rPr>
          <w:rFonts w:hint="cs"/>
          <w:b/>
          <w:bCs/>
        </w:rPr>
        <w:t xml:space="preserve"> </w:t>
      </w:r>
      <w:r>
        <w:rPr>
          <w:rFonts w:hint="cs"/>
          <w:b/>
          <w:bCs/>
          <w:rtl/>
        </w:rPr>
        <w:t>ניתן</w:t>
      </w:r>
      <w:r>
        <w:rPr>
          <w:rFonts w:hint="cs"/>
          <w:b/>
          <w:bCs/>
        </w:rPr>
        <w:t xml:space="preserve"> </w:t>
      </w:r>
      <w:r>
        <w:rPr>
          <w:rFonts w:hint="cs"/>
          <w:b/>
          <w:bCs/>
          <w:rtl/>
        </w:rPr>
        <w:t>להתעלם</w:t>
      </w:r>
      <w:r>
        <w:rPr>
          <w:rFonts w:hint="cs"/>
          <w:b/>
          <w:bCs/>
        </w:rPr>
        <w:t xml:space="preserve"> </w:t>
      </w:r>
      <w:r>
        <w:rPr>
          <w:rFonts w:hint="cs"/>
          <w:b/>
          <w:bCs/>
          <w:rtl/>
        </w:rPr>
        <w:t>מהחובה</w:t>
      </w:r>
      <w:r>
        <w:rPr>
          <w:rFonts w:hint="cs"/>
          <w:b/>
          <w:bCs/>
        </w:rPr>
        <w:t xml:space="preserve"> </w:t>
      </w:r>
      <w:r>
        <w:rPr>
          <w:rFonts w:hint="cs"/>
          <w:b/>
          <w:bCs/>
          <w:rtl/>
        </w:rPr>
        <w:t>המוטלת</w:t>
      </w:r>
      <w:r>
        <w:rPr>
          <w:rFonts w:hint="cs"/>
          <w:b/>
          <w:bCs/>
        </w:rPr>
        <w:t xml:space="preserve"> </w:t>
      </w:r>
      <w:r>
        <w:rPr>
          <w:rFonts w:hint="cs"/>
          <w:b/>
          <w:bCs/>
          <w:rtl/>
        </w:rPr>
        <w:t>עלינו</w:t>
      </w:r>
      <w:r>
        <w:rPr>
          <w:rFonts w:hint="cs"/>
          <w:b/>
          <w:bCs/>
        </w:rPr>
        <w:t xml:space="preserve"> </w:t>
      </w:r>
      <w:r>
        <w:rPr>
          <w:rFonts w:hint="cs"/>
          <w:b/>
          <w:bCs/>
          <w:rtl/>
        </w:rPr>
        <w:t>כמערכת</w:t>
      </w:r>
      <w:r>
        <w:rPr>
          <w:rFonts w:hint="cs"/>
          <w:b/>
          <w:bCs/>
        </w:rPr>
        <w:t xml:space="preserve"> </w:t>
      </w:r>
      <w:r>
        <w:rPr>
          <w:rFonts w:hint="cs"/>
          <w:b/>
          <w:bCs/>
          <w:rtl/>
        </w:rPr>
        <w:t>וכחברה</w:t>
      </w:r>
      <w:r>
        <w:rPr>
          <w:rFonts w:hint="cs"/>
          <w:b/>
          <w:bCs/>
        </w:rPr>
        <w:t xml:space="preserve"> </w:t>
      </w:r>
      <w:r>
        <w:rPr>
          <w:rFonts w:hint="cs"/>
          <w:b/>
          <w:bCs/>
          <w:rtl/>
        </w:rPr>
        <w:t>להיאבק</w:t>
      </w:r>
      <w:r>
        <w:rPr>
          <w:rFonts w:hint="cs"/>
          <w:b/>
          <w:bCs/>
        </w:rPr>
        <w:t xml:space="preserve"> </w:t>
      </w:r>
      <w:r>
        <w:rPr>
          <w:rFonts w:hint="cs"/>
          <w:b/>
          <w:bCs/>
          <w:rtl/>
        </w:rPr>
        <w:t>בנגע</w:t>
      </w:r>
      <w:r>
        <w:rPr>
          <w:rFonts w:hint="cs"/>
          <w:b/>
          <w:bCs/>
        </w:rPr>
        <w:t xml:space="preserve"> </w:t>
      </w:r>
      <w:r>
        <w:rPr>
          <w:rFonts w:hint="cs"/>
          <w:b/>
          <w:bCs/>
          <w:rtl/>
        </w:rPr>
        <w:t>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hint="cs"/>
          <w:rtl/>
        </w:rPr>
        <w:t>"</w:t>
      </w:r>
      <w:r>
        <w:rPr>
          <w:rFonts w:hint="cs"/>
          <w:b/>
          <w:bCs/>
          <w:rtl/>
        </w:rPr>
        <w:t xml:space="preserve"> </w:t>
      </w:r>
    </w:p>
    <w:p w14:paraId="1427C0D3" w14:textId="77777777" w:rsidR="0031406C" w:rsidRDefault="0031406C">
      <w:pPr>
        <w:spacing w:line="360" w:lineRule="auto"/>
        <w:jc w:val="both"/>
        <w:rPr>
          <w:rtl/>
        </w:rPr>
      </w:pPr>
    </w:p>
    <w:p w14:paraId="541D2802" w14:textId="77777777" w:rsidR="0031406C" w:rsidRDefault="00592AF7">
      <w:pPr>
        <w:spacing w:line="360" w:lineRule="auto"/>
        <w:jc w:val="both"/>
        <w:rPr>
          <w:rtl/>
        </w:rPr>
      </w:pPr>
      <w:r>
        <w:rPr>
          <w:rFonts w:hint="cs"/>
          <w:rtl/>
        </w:rPr>
        <w:t xml:space="preserve">בענייננו, מידת הפגיעה בערכים המוגנים היא משמעותית, שעה שהנאשם סחר בסמים מסוכנים  לאורך זמן, והסמים נמכרו לאנשים שונים במספר לא מבוטל של הזדמנויות. </w:t>
      </w:r>
    </w:p>
    <w:p w14:paraId="7D94A7E5" w14:textId="77777777" w:rsidR="0031406C" w:rsidRDefault="00592AF7">
      <w:pPr>
        <w:spacing w:line="360" w:lineRule="auto"/>
        <w:jc w:val="both"/>
        <w:rPr>
          <w:rtl/>
        </w:rPr>
      </w:pPr>
      <w:r>
        <w:rPr>
          <w:rFonts w:hint="cs"/>
          <w:rtl/>
        </w:rPr>
        <w:t xml:space="preserve">עם זאת, בהקשר זה יש לקחת בחשבון כי הסמים המסוכנים בהם סחר הנאשם היו מסוג מריחואנה וכן כי ההיקף הכספי של כלל העסקאות היה נמוך באופן יחסי, אולם, גם סמים "קלים" פוגעים בערכים החברתיים המוגנים באופן משמעותי, כדברי בית-המשפט העליון, ב-ע"פ 407/97 </w:t>
      </w:r>
      <w:r>
        <w:rPr>
          <w:rFonts w:hint="cs"/>
          <w:b/>
          <w:bCs/>
          <w:rtl/>
        </w:rPr>
        <w:t xml:space="preserve">אמויאל נ' מדינת ישראל </w:t>
      </w:r>
      <w:r>
        <w:rPr>
          <w:rFonts w:hint="cs"/>
          <w:rtl/>
        </w:rPr>
        <w:t>(15.4.97):</w:t>
      </w:r>
    </w:p>
    <w:p w14:paraId="4AF9EDDB" w14:textId="77777777" w:rsidR="0031406C" w:rsidRDefault="0031406C">
      <w:pPr>
        <w:pStyle w:val="ListParagraph"/>
        <w:spacing w:line="360" w:lineRule="auto"/>
        <w:ind w:left="0"/>
        <w:jc w:val="both"/>
        <w:rPr>
          <w:noProof w:val="0"/>
          <w:rtl/>
        </w:rPr>
      </w:pPr>
    </w:p>
    <w:p w14:paraId="7126D986" w14:textId="77777777" w:rsidR="0031406C" w:rsidRDefault="00592AF7">
      <w:pPr>
        <w:pStyle w:val="ListParagraph"/>
        <w:spacing w:line="360" w:lineRule="auto"/>
        <w:ind w:right="1134"/>
        <w:jc w:val="both"/>
        <w:rPr>
          <w:noProof w:val="0"/>
          <w:rtl/>
        </w:rPr>
      </w:pPr>
      <w:r>
        <w:rPr>
          <w:rFonts w:hint="cs"/>
          <w:noProof w:val="0"/>
          <w:rtl/>
        </w:rPr>
        <w:t>"</w:t>
      </w:r>
      <w:r>
        <w:rPr>
          <w:rFonts w:hint="cs"/>
          <w:b/>
          <w:bCs/>
          <w:noProof w:val="0"/>
          <w:rtl/>
        </w:rPr>
        <w:t>המאבק בהפצת הסמים כולל גם הפצתם של סמים קלים יחסית, דוגמת הקנבוס; ולמיותר יהיה להזכיר את המעבר הקל – והטבעי – מצריכתם של סמים קלים לכבדים יותר</w:t>
      </w:r>
      <w:r>
        <w:rPr>
          <w:rFonts w:hint="cs"/>
          <w:noProof w:val="0"/>
          <w:rtl/>
        </w:rPr>
        <w:t>".</w:t>
      </w:r>
    </w:p>
    <w:p w14:paraId="7A73EA41" w14:textId="77777777" w:rsidR="0031406C" w:rsidRDefault="0031406C">
      <w:pPr>
        <w:spacing w:line="360" w:lineRule="auto"/>
        <w:jc w:val="both"/>
        <w:rPr>
          <w:rtl/>
        </w:rPr>
      </w:pPr>
    </w:p>
    <w:p w14:paraId="4BEEB420" w14:textId="77777777" w:rsidR="0031406C" w:rsidRDefault="00592AF7">
      <w:pPr>
        <w:spacing w:line="360" w:lineRule="auto"/>
        <w:jc w:val="both"/>
        <w:rPr>
          <w:noProof/>
          <w:rtl/>
        </w:rPr>
      </w:pPr>
      <w:r>
        <w:rPr>
          <w:rFonts w:hint="cs"/>
          <w:rtl/>
        </w:rPr>
        <w:t>לעניין הערכים החברתיים שנפגעו כתוצאה מהחזקת הנאשם בסמים שלא לצריכה עצמית, יפים הם דבריו של בית המשפט העליון ב</w:t>
      </w:r>
      <w:hyperlink r:id="rId29" w:history="1">
        <w:r w:rsidRPr="00592AF7">
          <w:rPr>
            <w:rStyle w:val="Hyperlink"/>
            <w:rFonts w:hint="eastAsia"/>
            <w:rtl/>
          </w:rPr>
          <w:t>ע</w:t>
        </w:r>
        <w:r w:rsidRPr="00592AF7">
          <w:rPr>
            <w:rStyle w:val="Hyperlink"/>
            <w:rtl/>
          </w:rPr>
          <w:t>"פ 211/09</w:t>
        </w:r>
      </w:hyperlink>
      <w:r>
        <w:rPr>
          <w:rFonts w:hint="cs"/>
          <w:rtl/>
        </w:rPr>
        <w:t xml:space="preserve"> </w:t>
      </w:r>
      <w:r>
        <w:rPr>
          <w:rFonts w:hint="cs"/>
          <w:b/>
          <w:bCs/>
          <w:rtl/>
        </w:rPr>
        <w:t xml:space="preserve">אזולאי נ' מדינת ישראל </w:t>
      </w:r>
      <w:r>
        <w:rPr>
          <w:rFonts w:hint="cs"/>
          <w:rtl/>
        </w:rPr>
        <w:t>(22.6.10):</w:t>
      </w:r>
    </w:p>
    <w:p w14:paraId="1F811ADA" w14:textId="77777777" w:rsidR="0031406C" w:rsidRDefault="0031406C">
      <w:pPr>
        <w:spacing w:line="360" w:lineRule="auto"/>
        <w:jc w:val="both"/>
        <w:rPr>
          <w:rtl/>
        </w:rPr>
      </w:pPr>
    </w:p>
    <w:p w14:paraId="36EFCDE6" w14:textId="77777777" w:rsidR="0031406C" w:rsidRDefault="00592AF7">
      <w:pPr>
        <w:pStyle w:val="Ruller40"/>
        <w:ind w:left="720" w:right="993"/>
        <w:rPr>
          <w:rFonts w:ascii="Times New Roman" w:hAnsi="Times New Roman" w:cs="David"/>
          <w:b/>
          <w:bCs/>
          <w:spacing w:val="0"/>
          <w:sz w:val="24"/>
          <w:szCs w:val="24"/>
        </w:rPr>
      </w:pPr>
      <w:r>
        <w:rPr>
          <w:rFonts w:cs="David" w:hint="cs"/>
          <w:b/>
          <w:bCs/>
          <w:sz w:val="24"/>
          <w:szCs w:val="24"/>
          <w:rtl/>
        </w:rPr>
        <w:t>"</w:t>
      </w:r>
      <w:r>
        <w:rPr>
          <w:rFonts w:ascii="Times New Roman" w:hAnsi="Times New Roman" w:cs="David" w:hint="cs"/>
          <w:b/>
          <w:bCs/>
          <w:spacing w:val="0"/>
          <w:sz w:val="24"/>
          <w:szCs w:val="24"/>
          <w:rtl/>
        </w:rPr>
        <w:t>על חומרתה המופלגת של עבירת החזקת סמים מסוכנים שלא לצריכה עצמית אין צורך להכביר מילים...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28BACCF1" w14:textId="77777777" w:rsidR="0031406C" w:rsidRDefault="0031406C">
      <w:pPr>
        <w:pStyle w:val="NormalWeb"/>
        <w:bidi/>
        <w:spacing w:line="360" w:lineRule="auto"/>
        <w:jc w:val="both"/>
        <w:rPr>
          <w:rFonts w:cs="David"/>
          <w:rtl/>
        </w:rPr>
      </w:pPr>
    </w:p>
    <w:p w14:paraId="215511F8" w14:textId="77777777" w:rsidR="0031406C" w:rsidRDefault="00592AF7">
      <w:pPr>
        <w:pStyle w:val="NormalWeb"/>
        <w:bidi/>
        <w:spacing w:line="360" w:lineRule="auto"/>
        <w:jc w:val="both"/>
        <w:rPr>
          <w:rFonts w:cs="David"/>
          <w:rtl/>
        </w:rPr>
      </w:pPr>
      <w:r>
        <w:rPr>
          <w:rFonts w:cs="David" w:hint="cs"/>
          <w:rtl/>
        </w:rPr>
        <w:t>בית המשפט העליון ציין באשר ליחס בין עבירת החזקת סמים שלא לצריכה עצמית לבין עבירת הסחר בסמים –</w:t>
      </w:r>
    </w:p>
    <w:p w14:paraId="579F1775" w14:textId="77777777" w:rsidR="0031406C" w:rsidRDefault="0031406C">
      <w:pPr>
        <w:pStyle w:val="NormalWeb"/>
        <w:bidi/>
        <w:spacing w:line="360" w:lineRule="auto"/>
        <w:jc w:val="both"/>
        <w:rPr>
          <w:rFonts w:cs="David"/>
          <w:rtl/>
        </w:rPr>
      </w:pPr>
    </w:p>
    <w:p w14:paraId="0D53BE78" w14:textId="77777777" w:rsidR="0031406C" w:rsidRDefault="00592AF7">
      <w:pPr>
        <w:pStyle w:val="NormalWeb"/>
        <w:bidi/>
        <w:spacing w:line="360" w:lineRule="auto"/>
        <w:ind w:left="720" w:right="993"/>
        <w:jc w:val="both"/>
        <w:rPr>
          <w:rFonts w:ascii="Arial" w:hAnsi="Arial" w:cs="David"/>
          <w:color w:val="000000"/>
          <w:highlight w:val="yellow"/>
          <w:rtl/>
        </w:rPr>
      </w:pPr>
      <w:r>
        <w:rPr>
          <w:rFonts w:cs="David" w:hint="cs"/>
          <w:rtl/>
        </w:rPr>
        <w:t>"</w:t>
      </w:r>
      <w:r>
        <w:rPr>
          <w:rFonts w:cs="David" w:hint="cs"/>
          <w:b/>
          <w:bCs/>
          <w:rtl/>
        </w:rPr>
        <w:t>העבירה של אחזקת סמים שלא לצריכה עצמית היא אחותה של עבירת הסחר בסמים, והעונש המירבי לגביהן שוה – עד עשרים שנות מאסר או קנס פי עשרים וחמישה מן הקנס האמור בסעיף 16(א)(4) ל</w:t>
      </w:r>
      <w:hyperlink r:id="rId30" w:history="1">
        <w:r w:rsidRPr="00592AF7">
          <w:rPr>
            <w:rStyle w:val="Hyperlink"/>
            <w:rFonts w:cs="David" w:hint="eastAsia"/>
            <w:b/>
            <w:bCs/>
            <w:rtl/>
          </w:rPr>
          <w:t>חוק</w:t>
        </w:r>
        <w:r w:rsidRPr="00592AF7">
          <w:rPr>
            <w:rStyle w:val="Hyperlink"/>
            <w:rFonts w:cs="David"/>
            <w:b/>
            <w:bCs/>
            <w:rtl/>
          </w:rPr>
          <w:t xml:space="preserve"> העונשין</w:t>
        </w:r>
      </w:hyperlink>
      <w:r>
        <w:rPr>
          <w:rFonts w:cs="David" w:hint="cs"/>
          <w:b/>
          <w:bCs/>
          <w:rtl/>
        </w:rPr>
        <w:t xml:space="preserve">, תשל"ז-1977 (סעיף 7(ג) לפקודת הסמים לעניין החזקת סמים שלא לצריכה עצמית, וסעיף 19א לעניין יבוא וסחר). ראו גם קדמי, </w:t>
      </w:r>
      <w:r>
        <w:rPr>
          <w:rFonts w:ascii="Times New Roman" w:hAnsi="Times New Roman" w:cs="David" w:hint="cs"/>
          <w:b/>
          <w:bCs/>
          <w:sz w:val="28"/>
          <w:rtl/>
        </w:rPr>
        <w:t xml:space="preserve">על </w:t>
      </w:r>
      <w:hyperlink r:id="rId31" w:history="1">
        <w:r w:rsidRPr="00592AF7">
          <w:rPr>
            <w:rStyle w:val="Hyperlink"/>
            <w:rFonts w:ascii="Times New Roman" w:hAnsi="Times New Roman" w:cs="David" w:hint="eastAsia"/>
            <w:b/>
            <w:bCs/>
            <w:sz w:val="28"/>
            <w:rtl/>
          </w:rPr>
          <w:t>פקודת</w:t>
        </w:r>
        <w:r w:rsidRPr="00592AF7">
          <w:rPr>
            <w:rStyle w:val="Hyperlink"/>
            <w:rFonts w:ascii="Times New Roman" w:hAnsi="Times New Roman" w:cs="David"/>
            <w:b/>
            <w:bCs/>
            <w:sz w:val="28"/>
            <w:rtl/>
          </w:rPr>
          <w:t xml:space="preserve"> הסמים המסוכנים</w:t>
        </w:r>
      </w:hyperlink>
      <w:r>
        <w:rPr>
          <w:rFonts w:ascii="Times New Roman" w:hAnsi="Times New Roman" w:cs="David" w:hint="cs"/>
          <w:b/>
          <w:bCs/>
          <w:sz w:val="28"/>
          <w:rtl/>
        </w:rPr>
        <w:t xml:space="preserve">, הדין בראי הפסיקה, </w:t>
      </w:r>
      <w:r>
        <w:rPr>
          <w:rFonts w:ascii="Times New Roman" w:hAnsi="Times New Roman" w:cs="David" w:hint="cs"/>
          <w:b/>
          <w:bCs/>
          <w:rtl/>
        </w:rPr>
        <w:t xml:space="preserve">מהדורת תשס"ז - עמ' 86, 185, 198. </w:t>
      </w:r>
      <w:r>
        <w:rPr>
          <w:rFonts w:cs="David" w:hint="cs"/>
          <w:b/>
          <w:bCs/>
          <w:rtl/>
        </w:rPr>
        <w:t>הצד השוה בין שתי העבירות הוא הזיקה להפצת הסמים לזולת, בפוטנציאל או בפועל, בין בתמורה (סחר) ובין אם אחרת</w:t>
      </w:r>
      <w:r>
        <w:rPr>
          <w:rFonts w:cs="David" w:hint="cs"/>
          <w:rtl/>
        </w:rPr>
        <w:t>".</w:t>
      </w:r>
    </w:p>
    <w:p w14:paraId="60BEC8B3" w14:textId="77777777" w:rsidR="0031406C" w:rsidRDefault="00592AF7">
      <w:pPr>
        <w:pStyle w:val="NormalWeb"/>
        <w:bidi/>
        <w:spacing w:line="360" w:lineRule="auto"/>
        <w:ind w:firstLine="720"/>
        <w:jc w:val="both"/>
        <w:rPr>
          <w:rFonts w:cs="David"/>
          <w:rtl/>
        </w:rPr>
      </w:pPr>
      <w:hyperlink r:id="rId32" w:history="1">
        <w:r w:rsidRPr="00592AF7">
          <w:rPr>
            <w:rStyle w:val="Hyperlink"/>
            <w:rFonts w:cs="David" w:hint="eastAsia"/>
            <w:rtl/>
          </w:rPr>
          <w:t>בש</w:t>
        </w:r>
        <w:r w:rsidRPr="00592AF7">
          <w:rPr>
            <w:rStyle w:val="Hyperlink"/>
            <w:rFonts w:cs="David"/>
            <w:rtl/>
          </w:rPr>
          <w:t>"פ 10638/08</w:t>
        </w:r>
      </w:hyperlink>
      <w:r>
        <w:rPr>
          <w:rFonts w:cs="David" w:hint="cs"/>
          <w:rtl/>
        </w:rPr>
        <w:t xml:space="preserve"> </w:t>
      </w:r>
      <w:r>
        <w:rPr>
          <w:rFonts w:cs="David" w:hint="cs"/>
          <w:b/>
          <w:bCs/>
          <w:rtl/>
        </w:rPr>
        <w:t xml:space="preserve">ויצמן נ' מדינת ישראל </w:t>
      </w:r>
      <w:r>
        <w:rPr>
          <w:rFonts w:cs="David" w:hint="cs"/>
          <w:rtl/>
        </w:rPr>
        <w:t>(23.12.08).</w:t>
      </w:r>
    </w:p>
    <w:p w14:paraId="12266355" w14:textId="77777777" w:rsidR="0031406C" w:rsidRDefault="0031406C">
      <w:pPr>
        <w:pStyle w:val="NormalWeb"/>
        <w:bidi/>
        <w:spacing w:line="360" w:lineRule="auto"/>
        <w:ind w:left="720" w:right="993"/>
        <w:jc w:val="both"/>
        <w:rPr>
          <w:rFonts w:ascii="Arial" w:hAnsi="Arial" w:cs="David"/>
          <w:color w:val="000000"/>
          <w:highlight w:val="yellow"/>
          <w:u w:val="single"/>
          <w:rtl/>
        </w:rPr>
      </w:pPr>
    </w:p>
    <w:p w14:paraId="65BD615C" w14:textId="77777777" w:rsidR="0031406C" w:rsidRDefault="00592AF7">
      <w:pPr>
        <w:spacing w:line="360" w:lineRule="auto"/>
        <w:jc w:val="both"/>
        <w:rPr>
          <w:rFonts w:ascii="Times New Roman" w:hAnsi="Times New Roman"/>
          <w:rtl/>
        </w:rPr>
      </w:pPr>
      <w:r>
        <w:rPr>
          <w:rFonts w:hint="cs"/>
          <w:rtl/>
        </w:rPr>
        <w:t>במקרה זה, מדובר באחזקת סם מסוכן מסוג קנבוס במשקל של 65.6 גרם, כלומר, לא סם בכמות גדולה, ומכאן שהפגיעה בערכים החברתיים המוגנים אינה במידה גבוהה.</w:t>
      </w:r>
    </w:p>
    <w:p w14:paraId="2D4CEA14" w14:textId="77777777" w:rsidR="0031406C" w:rsidRDefault="0031406C">
      <w:pPr>
        <w:spacing w:line="360" w:lineRule="auto"/>
        <w:jc w:val="both"/>
        <w:rPr>
          <w:rFonts w:ascii="Times New Roman" w:hAnsi="Times New Roman"/>
          <w:rtl/>
        </w:rPr>
      </w:pPr>
    </w:p>
    <w:p w14:paraId="7ABCCB11" w14:textId="77777777" w:rsidR="0031406C" w:rsidRDefault="0031406C">
      <w:pPr>
        <w:spacing w:line="360" w:lineRule="auto"/>
        <w:jc w:val="both"/>
        <w:rPr>
          <w:u w:val="single"/>
          <w:rtl/>
        </w:rPr>
      </w:pPr>
    </w:p>
    <w:p w14:paraId="37C74828" w14:textId="77777777" w:rsidR="0031406C" w:rsidRDefault="00592AF7">
      <w:pPr>
        <w:spacing w:line="360" w:lineRule="auto"/>
        <w:jc w:val="both"/>
        <w:rPr>
          <w:rtl/>
        </w:rPr>
      </w:pPr>
      <w:r>
        <w:rPr>
          <w:rFonts w:hint="cs"/>
          <w:u w:val="single"/>
          <w:rtl/>
        </w:rPr>
        <w:t>הנסיבות הקשורות בביצוע העבירות</w:t>
      </w:r>
    </w:p>
    <w:p w14:paraId="7327FF78" w14:textId="77777777" w:rsidR="0031406C" w:rsidRDefault="0031406C">
      <w:pPr>
        <w:spacing w:line="360" w:lineRule="auto"/>
        <w:ind w:left="567" w:hanging="567"/>
        <w:jc w:val="both"/>
        <w:rPr>
          <w:rtl/>
        </w:rPr>
      </w:pPr>
    </w:p>
    <w:p w14:paraId="60808FBC" w14:textId="77777777" w:rsidR="0031406C" w:rsidRDefault="00592AF7">
      <w:pPr>
        <w:spacing w:line="360" w:lineRule="auto"/>
        <w:ind w:left="567" w:hanging="567"/>
        <w:jc w:val="both"/>
        <w:rPr>
          <w:rtl/>
        </w:rPr>
      </w:pPr>
      <w:r>
        <w:rPr>
          <w:rFonts w:hint="cs"/>
          <w:rtl/>
        </w:rPr>
        <w:t>הנסיבות הקשורות בביצוע העבירות והרלוונטיות לענייננו, הינן כדלקמן:</w:t>
      </w:r>
    </w:p>
    <w:p w14:paraId="3F1703ED" w14:textId="77777777" w:rsidR="0031406C" w:rsidRDefault="0031406C">
      <w:pPr>
        <w:spacing w:line="360" w:lineRule="auto"/>
        <w:ind w:left="567" w:hanging="567"/>
        <w:jc w:val="both"/>
        <w:rPr>
          <w:rtl/>
        </w:rPr>
      </w:pPr>
    </w:p>
    <w:p w14:paraId="70FE72C3" w14:textId="77777777" w:rsidR="0031406C" w:rsidRDefault="00592AF7">
      <w:pPr>
        <w:pStyle w:val="ListParagraph"/>
        <w:numPr>
          <w:ilvl w:val="0"/>
          <w:numId w:val="2"/>
        </w:numPr>
        <w:spacing w:line="360" w:lineRule="auto"/>
        <w:ind w:left="425" w:hanging="425"/>
        <w:jc w:val="both"/>
        <w:rPr>
          <w:rtl/>
        </w:rPr>
      </w:pPr>
      <w:r>
        <w:rPr>
          <w:rFonts w:hint="cs"/>
          <w:b/>
          <w:bCs/>
          <w:noProof w:val="0"/>
          <w:rtl/>
        </w:rPr>
        <w:t xml:space="preserve">התכנון שקדם לביצוע העבירות </w:t>
      </w:r>
      <w:r>
        <w:rPr>
          <w:rFonts w:hint="cs"/>
          <w:noProof w:val="0"/>
          <w:rtl/>
        </w:rPr>
        <w:t>– לאחר תיאום מוקדם עם הקונים, הנאשם הצטייד בסמים המסוכנים אותם העביר לרשות הקונים בתמורה לסכומי הכסף שקיבל מהם.</w:t>
      </w:r>
    </w:p>
    <w:p w14:paraId="6C85909B" w14:textId="77777777" w:rsidR="0031406C" w:rsidRDefault="00592AF7">
      <w:pPr>
        <w:pStyle w:val="ListParagraph"/>
        <w:numPr>
          <w:ilvl w:val="0"/>
          <w:numId w:val="2"/>
        </w:numPr>
        <w:spacing w:line="360" w:lineRule="auto"/>
        <w:ind w:left="425" w:hanging="425"/>
        <w:jc w:val="both"/>
      </w:pPr>
      <w:r>
        <w:rPr>
          <w:rFonts w:hint="cs"/>
          <w:b/>
          <w:bCs/>
          <w:noProof w:val="0"/>
          <w:rtl/>
        </w:rPr>
        <w:t>הנזק שנגרם מביצוע העבירות</w:t>
      </w:r>
      <w:r>
        <w:rPr>
          <w:rFonts w:hint="cs"/>
          <w:noProof w:val="0"/>
          <w:rtl/>
        </w:rPr>
        <w:t xml:space="preserve"> – הפסיקה הדגישה פעמים רבות כי סחר בסמים והחזקה בהם שלא לצריכה עצמית מביאה להתפשטות נגע הסמים בחברה, ופעמים רבות אף לנזק בריאותי קשה כתוצאה מהשימוש בסמים. </w:t>
      </w:r>
    </w:p>
    <w:p w14:paraId="5B098E8E" w14:textId="77777777" w:rsidR="0031406C" w:rsidRDefault="00592AF7">
      <w:pPr>
        <w:pStyle w:val="ListParagraph"/>
        <w:numPr>
          <w:ilvl w:val="0"/>
          <w:numId w:val="2"/>
        </w:numPr>
        <w:spacing w:line="360" w:lineRule="auto"/>
        <w:ind w:left="425" w:hanging="425"/>
        <w:jc w:val="both"/>
      </w:pPr>
      <w:r>
        <w:rPr>
          <w:rFonts w:hint="cs"/>
          <w:b/>
          <w:bCs/>
          <w:noProof w:val="0"/>
          <w:rtl/>
        </w:rPr>
        <w:t xml:space="preserve">הסיבות שהביאו את הנאשם לבצע את העבירות </w:t>
      </w:r>
      <w:r>
        <w:rPr>
          <w:rFonts w:hint="cs"/>
          <w:noProof w:val="0"/>
          <w:rtl/>
        </w:rPr>
        <w:t>– כעולה מתסקיר שרות המבחן, כלל העבירות בוצעו על רקע קשריו השוליים של הנאשם ועל רקע רצונו להרוויח סכומי כסף באופן מהיר.</w:t>
      </w:r>
    </w:p>
    <w:p w14:paraId="18AECE5B" w14:textId="77777777" w:rsidR="0031406C" w:rsidRDefault="00592AF7">
      <w:pPr>
        <w:pStyle w:val="ListParagraph"/>
        <w:numPr>
          <w:ilvl w:val="0"/>
          <w:numId w:val="2"/>
        </w:numPr>
        <w:spacing w:line="360" w:lineRule="auto"/>
        <w:ind w:left="425" w:hanging="425"/>
        <w:jc w:val="both"/>
      </w:pPr>
      <w:r>
        <w:rPr>
          <w:rFonts w:hint="cs"/>
          <w:b/>
          <w:bCs/>
          <w:noProof w:val="0"/>
          <w:rtl/>
        </w:rPr>
        <w:t xml:space="preserve">חלקו של הנאשם בביצוע העבירות </w:t>
      </w:r>
      <w:r>
        <w:rPr>
          <w:rFonts w:hint="cs"/>
          <w:noProof w:val="0"/>
          <w:rtl/>
        </w:rPr>
        <w:t>הוא חלק עיקרי ובלעדי, ולא הייתה השפעה של אחר עליו לשם ביצוען.</w:t>
      </w:r>
    </w:p>
    <w:p w14:paraId="052F3AB3" w14:textId="77777777" w:rsidR="0031406C" w:rsidRDefault="0031406C">
      <w:pPr>
        <w:spacing w:line="360" w:lineRule="auto"/>
        <w:jc w:val="both"/>
      </w:pPr>
    </w:p>
    <w:p w14:paraId="7FEB9CFF" w14:textId="77777777" w:rsidR="0031406C" w:rsidRDefault="00592AF7">
      <w:pPr>
        <w:pStyle w:val="ListParagraph"/>
        <w:spacing w:line="360" w:lineRule="auto"/>
        <w:ind w:left="-66"/>
        <w:jc w:val="both"/>
        <w:rPr>
          <w:noProof w:val="0"/>
          <w:u w:val="single"/>
          <w:rtl/>
        </w:rPr>
      </w:pPr>
      <w:r>
        <w:rPr>
          <w:rFonts w:hint="cs"/>
          <w:noProof w:val="0"/>
          <w:u w:val="single"/>
          <w:rtl/>
        </w:rPr>
        <w:t>הענישה הנוהגת</w:t>
      </w:r>
    </w:p>
    <w:p w14:paraId="0CF2D6C7" w14:textId="77777777" w:rsidR="0031406C" w:rsidRDefault="0031406C">
      <w:pPr>
        <w:spacing w:line="360" w:lineRule="auto"/>
        <w:jc w:val="both"/>
        <w:rPr>
          <w:b/>
          <w:bCs/>
          <w:u w:val="single"/>
          <w:rtl/>
        </w:rPr>
      </w:pPr>
    </w:p>
    <w:p w14:paraId="5B2658BF" w14:textId="77777777" w:rsidR="0031406C" w:rsidRDefault="00592AF7">
      <w:pPr>
        <w:spacing w:line="360" w:lineRule="auto"/>
        <w:jc w:val="both"/>
        <w:rPr>
          <w:rtl/>
        </w:rPr>
      </w:pPr>
      <w:r>
        <w:rPr>
          <w:rFonts w:hint="cs"/>
          <w:rtl/>
        </w:rPr>
        <w:t xml:space="preserve">הפסיקה קבעה כי  בבואו של בית-המשפט לקבוע מתחם עונש הולם בעבירות סמים, קיימת חשיבות לסוג הסם, כמותו, מספר העסקאות שבוצעו וסכום הכסף בו מדובר (ראו לדוגמה: </w:t>
      </w:r>
      <w:hyperlink r:id="rId33" w:history="1">
        <w:r w:rsidRPr="00592AF7">
          <w:rPr>
            <w:rStyle w:val="Hyperlink"/>
            <w:rFonts w:hint="eastAsia"/>
            <w:rtl/>
          </w:rPr>
          <w:t>עפ</w:t>
        </w:r>
        <w:r w:rsidRPr="00592AF7">
          <w:rPr>
            <w:rStyle w:val="Hyperlink"/>
            <w:rtl/>
          </w:rPr>
          <w:t>"ג (מחוזי- ב"ש)31724-10-13</w:t>
        </w:r>
      </w:hyperlink>
      <w:r>
        <w:rPr>
          <w:rFonts w:hint="cs"/>
          <w:rtl/>
        </w:rPr>
        <w:t xml:space="preserve"> </w:t>
      </w:r>
      <w:r>
        <w:rPr>
          <w:rFonts w:hint="cs"/>
          <w:b/>
          <w:bCs/>
          <w:rtl/>
        </w:rPr>
        <w:t>מלכם נ' מדינת ישראל</w:t>
      </w:r>
      <w:r>
        <w:rPr>
          <w:rFonts w:hint="cs"/>
          <w:rtl/>
        </w:rPr>
        <w:t xml:space="preserve"> </w:t>
      </w:r>
      <w:r>
        <w:rPr>
          <w:rFonts w:hint="cs"/>
          <w:sz w:val="22"/>
          <w:rtl/>
        </w:rPr>
        <w:t>(</w:t>
      </w:r>
      <w:r>
        <w:rPr>
          <w:rFonts w:hint="cs"/>
          <w:rtl/>
        </w:rPr>
        <w:t xml:space="preserve">8.1.14)). </w:t>
      </w:r>
    </w:p>
    <w:p w14:paraId="69278A06" w14:textId="77777777" w:rsidR="0031406C" w:rsidRDefault="0031406C">
      <w:pPr>
        <w:ind w:left="720"/>
        <w:jc w:val="both"/>
        <w:rPr>
          <w:rtl/>
        </w:rPr>
      </w:pPr>
    </w:p>
    <w:p w14:paraId="2CE704F0" w14:textId="77777777" w:rsidR="0031406C" w:rsidRDefault="00592AF7">
      <w:pPr>
        <w:spacing w:line="360" w:lineRule="auto"/>
        <w:jc w:val="both"/>
        <w:rPr>
          <w:noProof/>
          <w:rtl/>
        </w:rPr>
      </w:pPr>
      <w:r>
        <w:rPr>
          <w:rFonts w:hint="cs"/>
          <w:rtl/>
          <w:lang w:eastAsia="he-IL"/>
        </w:rPr>
        <w:t xml:space="preserve">בנוסף, יש להתחשב בגדר מתחם הענישה בעקרון </w:t>
      </w:r>
      <w:r>
        <w:rPr>
          <w:rFonts w:hint="cs"/>
          <w:b/>
          <w:bCs/>
          <w:rtl/>
          <w:lang w:eastAsia="he-IL"/>
        </w:rPr>
        <w:t>הרתעת היחיד והרתעת הרבים</w:t>
      </w:r>
      <w:r>
        <w:rPr>
          <w:rFonts w:hint="cs"/>
          <w:rtl/>
          <w:lang w:eastAsia="he-IL"/>
        </w:rPr>
        <w:t xml:space="preserve">. נראה כי בעבירות של סחר בסמים על שיקולי ההרתעה לקבל משנה חשיבות, בשים לב לכך שמדובר בעבירות אשר מבוצעות במרבית הפעמים מתוך מניע כלכלי, ולכן, ענישה הולמת נועדה להעביר מסר בדבר חוסר הכדאיות של ביצוע העבירות. </w:t>
      </w:r>
    </w:p>
    <w:p w14:paraId="35B52F39" w14:textId="77777777" w:rsidR="0031406C" w:rsidRDefault="0031406C">
      <w:pPr>
        <w:pStyle w:val="ListParagraph"/>
        <w:spacing w:line="360" w:lineRule="auto"/>
        <w:ind w:left="0"/>
        <w:jc w:val="both"/>
        <w:rPr>
          <w:noProof w:val="0"/>
        </w:rPr>
      </w:pPr>
    </w:p>
    <w:p w14:paraId="02E174DA" w14:textId="77777777" w:rsidR="0031406C" w:rsidRDefault="00592AF7">
      <w:pPr>
        <w:pStyle w:val="ListParagraph"/>
        <w:spacing w:line="360" w:lineRule="auto"/>
        <w:ind w:left="0"/>
        <w:jc w:val="both"/>
        <w:rPr>
          <w:b/>
          <w:bCs/>
          <w:noProof w:val="0"/>
          <w:rtl/>
        </w:rPr>
      </w:pPr>
      <w:r>
        <w:rPr>
          <w:rFonts w:hint="cs"/>
          <w:noProof w:val="0"/>
          <w:rtl/>
        </w:rPr>
        <w:t xml:space="preserve">בענייננו, כאמור, עסקינן בסחר בסמים מסוג מריחואנה הנחשבים סמים "קלים" (בניגוד לסמים "קשים" כדוגמת הירואין וקוקאין), בהיקף של גרמים בודדים בלבד בכל עסקה, ובעבור סכומי כסף קטנים יחסית. </w:t>
      </w:r>
    </w:p>
    <w:p w14:paraId="1E4C8C30" w14:textId="77777777" w:rsidR="0031406C" w:rsidRDefault="0031406C">
      <w:pPr>
        <w:pStyle w:val="ListParagraph"/>
        <w:spacing w:line="360" w:lineRule="auto"/>
        <w:ind w:left="0"/>
        <w:jc w:val="both"/>
        <w:rPr>
          <w:noProof w:val="0"/>
          <w:rtl/>
        </w:rPr>
      </w:pPr>
    </w:p>
    <w:p w14:paraId="79AAE1BB" w14:textId="77777777" w:rsidR="0031406C" w:rsidRDefault="00592AF7">
      <w:pPr>
        <w:pStyle w:val="ListParagraph"/>
        <w:spacing w:line="360" w:lineRule="auto"/>
        <w:ind w:left="0"/>
        <w:jc w:val="both"/>
        <w:rPr>
          <w:noProof w:val="0"/>
          <w:rtl/>
        </w:rPr>
      </w:pPr>
      <w:r>
        <w:rPr>
          <w:rFonts w:hint="cs"/>
          <w:noProof w:val="0"/>
          <w:rtl/>
        </w:rPr>
        <w:t xml:space="preserve">בחינת מדיניות הענישה במקרים דומים לזה שלפניי מעלה כי מתחם הענישה לכל אחת מעבירות הסחר בסמים בנסיבותיהן נע בין מאסר לתקופה קצרה, שיכול וירוצה בדרך של עבודות שירות לבין 9 חודשי מאסר בפועל וענישה נלווית (ראו לדוגמה – </w:t>
      </w:r>
      <w:hyperlink r:id="rId34" w:history="1">
        <w:r w:rsidRPr="00592AF7">
          <w:rPr>
            <w:rStyle w:val="Hyperlink"/>
            <w:rFonts w:hint="eastAsia"/>
            <w:noProof w:val="0"/>
            <w:rtl/>
          </w:rPr>
          <w:t>עפ</w:t>
        </w:r>
        <w:r w:rsidRPr="00592AF7">
          <w:rPr>
            <w:rStyle w:val="Hyperlink"/>
            <w:noProof w:val="0"/>
            <w:rtl/>
          </w:rPr>
          <w:t>"ג (מחוזי- י-ם) 39261-10-13</w:t>
        </w:r>
      </w:hyperlink>
      <w:r>
        <w:rPr>
          <w:rFonts w:hint="cs"/>
          <w:noProof w:val="0"/>
          <w:rtl/>
        </w:rPr>
        <w:t xml:space="preserve"> </w:t>
      </w:r>
      <w:r>
        <w:rPr>
          <w:rFonts w:hint="cs"/>
          <w:b/>
          <w:bCs/>
          <w:noProof w:val="0"/>
          <w:rtl/>
        </w:rPr>
        <w:t xml:space="preserve">מדינת ישראל נ' הולצמן </w:t>
      </w:r>
      <w:r>
        <w:rPr>
          <w:rFonts w:hint="cs"/>
          <w:noProof w:val="0"/>
          <w:rtl/>
        </w:rPr>
        <w:t xml:space="preserve">(30.12.13); </w:t>
      </w:r>
      <w:hyperlink r:id="rId35" w:history="1">
        <w:r w:rsidRPr="00592AF7">
          <w:rPr>
            <w:rStyle w:val="Hyperlink"/>
            <w:rFonts w:hint="eastAsia"/>
            <w:noProof w:val="0"/>
            <w:rtl/>
          </w:rPr>
          <w:t>ת</w:t>
        </w:r>
        <w:r w:rsidRPr="00592AF7">
          <w:rPr>
            <w:rStyle w:val="Hyperlink"/>
            <w:noProof w:val="0"/>
            <w:rtl/>
          </w:rPr>
          <w:t>"פ (שלום- י-ם) 39699-03-13</w:t>
        </w:r>
      </w:hyperlink>
      <w:r>
        <w:rPr>
          <w:rFonts w:hint="cs"/>
          <w:noProof w:val="0"/>
          <w:rtl/>
        </w:rPr>
        <w:t xml:space="preserve"> </w:t>
      </w:r>
      <w:r>
        <w:rPr>
          <w:rFonts w:hint="cs"/>
          <w:b/>
          <w:bCs/>
          <w:noProof w:val="0"/>
          <w:rtl/>
        </w:rPr>
        <w:t xml:space="preserve">מדינת ישראל נ' ממן </w:t>
      </w:r>
      <w:r>
        <w:rPr>
          <w:rFonts w:hint="cs"/>
          <w:noProof w:val="0"/>
          <w:rtl/>
        </w:rPr>
        <w:t>(12.11.14) ו-</w:t>
      </w:r>
      <w:hyperlink r:id="rId36" w:history="1">
        <w:r w:rsidRPr="00592AF7">
          <w:rPr>
            <w:rStyle w:val="Hyperlink"/>
            <w:rFonts w:hint="eastAsia"/>
            <w:noProof w:val="0"/>
            <w:rtl/>
          </w:rPr>
          <w:t>ת</w:t>
        </w:r>
        <w:r w:rsidRPr="00592AF7">
          <w:rPr>
            <w:rStyle w:val="Hyperlink"/>
            <w:noProof w:val="0"/>
            <w:rtl/>
          </w:rPr>
          <w:t>"פ (שלום-ראשל"צ) 24388-07-14</w:t>
        </w:r>
      </w:hyperlink>
      <w:r>
        <w:rPr>
          <w:rFonts w:hint="cs"/>
          <w:noProof w:val="0"/>
          <w:rtl/>
        </w:rPr>
        <w:t xml:space="preserve"> </w:t>
      </w:r>
      <w:r>
        <w:rPr>
          <w:rFonts w:hint="cs"/>
          <w:b/>
          <w:bCs/>
          <w:noProof w:val="0"/>
          <w:rtl/>
        </w:rPr>
        <w:t xml:space="preserve">מדינת ישראל נ' מדמון </w:t>
      </w:r>
      <w:r>
        <w:rPr>
          <w:rFonts w:hint="cs"/>
          <w:noProof w:val="0"/>
          <w:rtl/>
        </w:rPr>
        <w:t xml:space="preserve">(4.3.15)).  </w:t>
      </w:r>
    </w:p>
    <w:p w14:paraId="2BA2C10A" w14:textId="77777777" w:rsidR="0031406C" w:rsidRDefault="0031406C">
      <w:pPr>
        <w:pStyle w:val="ListParagraph"/>
        <w:spacing w:line="360" w:lineRule="auto"/>
        <w:ind w:left="0"/>
        <w:jc w:val="both"/>
        <w:rPr>
          <w:noProof w:val="0"/>
        </w:rPr>
      </w:pPr>
    </w:p>
    <w:p w14:paraId="1DD46B16" w14:textId="77777777" w:rsidR="0031406C" w:rsidRDefault="00592AF7">
      <w:pPr>
        <w:pStyle w:val="ListParagraph"/>
        <w:spacing w:line="360" w:lineRule="auto"/>
        <w:ind w:left="0"/>
        <w:jc w:val="both"/>
        <w:rPr>
          <w:noProof w:val="0"/>
          <w:rtl/>
        </w:rPr>
      </w:pPr>
      <w:r>
        <w:rPr>
          <w:rFonts w:hint="cs"/>
          <w:noProof w:val="0"/>
          <w:rtl/>
        </w:rPr>
        <w:t xml:space="preserve">אשר לעבירה של החזקה/שימוש בסמים שלא לצריכה עצמית, מבדיקת מדיניות הענישה באשר לסמים "קלים" ובהיקפי החזקה דומים של כעשרות גרמים, עולה כי מתחם הענישה ההולם נע בין מאסר על תנאי לבין מאסר לתקופה קצרה, שיכול וירוצה בדרך של עבודות שירות וענישה נלווית (ראו לדוגמה – </w:t>
      </w:r>
      <w:hyperlink r:id="rId37" w:history="1">
        <w:r w:rsidRPr="00592AF7">
          <w:rPr>
            <w:rStyle w:val="Hyperlink"/>
            <w:rFonts w:hint="eastAsia"/>
            <w:noProof w:val="0"/>
            <w:rtl/>
          </w:rPr>
          <w:t>ת</w:t>
        </w:r>
        <w:r w:rsidRPr="00592AF7">
          <w:rPr>
            <w:rStyle w:val="Hyperlink"/>
            <w:noProof w:val="0"/>
            <w:rtl/>
          </w:rPr>
          <w:t>"פ (שלום- ב"ש) 16006-05-14</w:t>
        </w:r>
      </w:hyperlink>
      <w:r>
        <w:rPr>
          <w:rFonts w:hint="cs"/>
          <w:noProof w:val="0"/>
          <w:rtl/>
        </w:rPr>
        <w:t xml:space="preserve"> </w:t>
      </w:r>
      <w:r>
        <w:rPr>
          <w:rFonts w:hint="cs"/>
          <w:b/>
          <w:bCs/>
          <w:noProof w:val="0"/>
          <w:rtl/>
        </w:rPr>
        <w:t xml:space="preserve">מדינת ישראל נ' אבו צהיבאן </w:t>
      </w:r>
      <w:r>
        <w:rPr>
          <w:rFonts w:hint="cs"/>
          <w:noProof w:val="0"/>
          <w:rtl/>
        </w:rPr>
        <w:t xml:space="preserve">(26.6.14) וכן </w:t>
      </w:r>
      <w:hyperlink r:id="rId38" w:history="1">
        <w:r w:rsidRPr="00592AF7">
          <w:rPr>
            <w:rStyle w:val="Hyperlink"/>
            <w:rFonts w:hint="eastAsia"/>
            <w:noProof w:val="0"/>
            <w:rtl/>
          </w:rPr>
          <w:t>ת</w:t>
        </w:r>
        <w:r w:rsidRPr="00592AF7">
          <w:rPr>
            <w:rStyle w:val="Hyperlink"/>
            <w:noProof w:val="0"/>
            <w:rtl/>
          </w:rPr>
          <w:t>"פ (שלום-פ"ת) 51123-01-12</w:t>
        </w:r>
      </w:hyperlink>
      <w:r>
        <w:rPr>
          <w:rFonts w:hint="cs"/>
          <w:noProof w:val="0"/>
          <w:rtl/>
        </w:rPr>
        <w:t xml:space="preserve"> </w:t>
      </w:r>
      <w:r>
        <w:rPr>
          <w:rFonts w:hint="cs"/>
          <w:b/>
          <w:bCs/>
          <w:noProof w:val="0"/>
          <w:rtl/>
        </w:rPr>
        <w:t>מדינת ישראל נ' חוטוריאנסקי</w:t>
      </w:r>
      <w:r>
        <w:rPr>
          <w:rFonts w:hint="cs"/>
          <w:noProof w:val="0"/>
          <w:rtl/>
        </w:rPr>
        <w:t xml:space="preserve"> (23.3.14) והפסיקה המפורטת שם).</w:t>
      </w:r>
    </w:p>
    <w:p w14:paraId="791CE549" w14:textId="77777777" w:rsidR="0031406C" w:rsidRDefault="0031406C">
      <w:pPr>
        <w:pStyle w:val="ListParagraph"/>
        <w:spacing w:line="360" w:lineRule="auto"/>
        <w:ind w:left="0"/>
        <w:jc w:val="both"/>
        <w:rPr>
          <w:noProof w:val="0"/>
          <w:rtl/>
        </w:rPr>
      </w:pPr>
    </w:p>
    <w:p w14:paraId="6495077F" w14:textId="77777777" w:rsidR="0031406C" w:rsidRDefault="00592AF7">
      <w:pPr>
        <w:pStyle w:val="ListParagraph"/>
        <w:spacing w:line="360" w:lineRule="auto"/>
        <w:ind w:left="0"/>
        <w:jc w:val="both"/>
        <w:rPr>
          <w:noProof w:val="0"/>
          <w:rtl/>
        </w:rPr>
      </w:pPr>
      <w:r>
        <w:rPr>
          <w:rFonts w:hint="cs"/>
          <w:noProof w:val="0"/>
          <w:rtl/>
        </w:rPr>
        <w:t>עם זאת, יש לציין כי ניתן למצוא בפסיקה, לרבות באסמכתאות שפורטו לעיל, ענישה במנעד רחב מאד, לרבות ענישה מקלה שכללה הטלת מאסר על תנאי ושל"צ בלבד, והכל בכפוף לנסיבותיו האישיות של העבריין שעמד לדין, ולפיכך, יש לשקול גם בענייננו את הנסיבות של הנאשם.</w:t>
      </w:r>
    </w:p>
    <w:p w14:paraId="444D7538" w14:textId="77777777" w:rsidR="0031406C" w:rsidRDefault="0031406C">
      <w:pPr>
        <w:pStyle w:val="ListParagraph"/>
        <w:spacing w:line="360" w:lineRule="auto"/>
        <w:ind w:left="0"/>
        <w:jc w:val="both"/>
        <w:rPr>
          <w:noProof w:val="0"/>
          <w:rtl/>
        </w:rPr>
      </w:pPr>
    </w:p>
    <w:p w14:paraId="6A96B644" w14:textId="77777777" w:rsidR="0031406C" w:rsidRDefault="0031406C">
      <w:pPr>
        <w:pStyle w:val="ListParagraph"/>
        <w:spacing w:line="360" w:lineRule="auto"/>
        <w:jc w:val="both"/>
        <w:rPr>
          <w:noProof w:val="0"/>
          <w:rtl/>
        </w:rPr>
      </w:pPr>
    </w:p>
    <w:p w14:paraId="32DB2F23" w14:textId="77777777" w:rsidR="0031406C" w:rsidRDefault="00592AF7">
      <w:pPr>
        <w:spacing w:line="360" w:lineRule="auto"/>
        <w:jc w:val="both"/>
        <w:rPr>
          <w:b/>
          <w:bCs/>
          <w:noProof/>
          <w:u w:val="single"/>
        </w:rPr>
      </w:pPr>
      <w:r>
        <w:rPr>
          <w:rFonts w:hint="cs"/>
          <w:b/>
          <w:bCs/>
          <w:u w:val="single"/>
          <w:rtl/>
        </w:rPr>
        <w:t>חריגה ממתחם העונש ההולם בשל שיקולי שיקום</w:t>
      </w:r>
    </w:p>
    <w:p w14:paraId="1DAC22CA" w14:textId="77777777" w:rsidR="0031406C" w:rsidRDefault="00592AF7">
      <w:pPr>
        <w:spacing w:line="360" w:lineRule="auto"/>
        <w:ind w:left="425"/>
      </w:pPr>
      <w:r>
        <w:rPr>
          <w:rFonts w:hint="cs"/>
          <w:rtl/>
        </w:rPr>
        <w:t xml:space="preserve"> </w:t>
      </w:r>
    </w:p>
    <w:p w14:paraId="6FBF6763" w14:textId="77777777" w:rsidR="0031406C" w:rsidRDefault="00592AF7">
      <w:pPr>
        <w:spacing w:line="360" w:lineRule="auto"/>
        <w:jc w:val="both"/>
      </w:pPr>
      <w:r>
        <w:rPr>
          <w:rFonts w:hint="cs"/>
          <w:rtl/>
        </w:rPr>
        <w:t>על בית המשפט מוטלת החובה לבחון האם ראוי לחרוג לקולא ממתחם העונש ההולם מטעמי שיקום או לחרוג לחומרא ממתחם העונש ההולם מטעמי שלום הציבור (</w:t>
      </w:r>
      <w:hyperlink r:id="rId39" w:history="1">
        <w:r w:rsidRPr="00592AF7">
          <w:rPr>
            <w:rStyle w:val="Hyperlink"/>
            <w:rFonts w:hint="eastAsia"/>
            <w:rtl/>
          </w:rPr>
          <w:t>ע</w:t>
        </w:r>
        <w:r w:rsidRPr="00592AF7">
          <w:rPr>
            <w:rStyle w:val="Hyperlink"/>
            <w:rtl/>
          </w:rPr>
          <w:t>"פ 1903/13</w:t>
        </w:r>
      </w:hyperlink>
      <w:r>
        <w:rPr>
          <w:rFonts w:hint="cs"/>
          <w:rtl/>
        </w:rPr>
        <w:t xml:space="preserve"> </w:t>
      </w:r>
      <w:r>
        <w:rPr>
          <w:rFonts w:hint="cs"/>
          <w:b/>
          <w:bCs/>
          <w:rtl/>
        </w:rPr>
        <w:t>עיאשה נ' מדינת ישראל</w:t>
      </w:r>
      <w:r>
        <w:rPr>
          <w:rFonts w:hint="cs"/>
          <w:rtl/>
        </w:rPr>
        <w:t xml:space="preserve"> (14.7.13)).</w:t>
      </w:r>
    </w:p>
    <w:p w14:paraId="1CEE3029" w14:textId="77777777" w:rsidR="0031406C" w:rsidRDefault="0031406C">
      <w:pPr>
        <w:spacing w:line="360" w:lineRule="auto"/>
        <w:jc w:val="both"/>
        <w:rPr>
          <w:rtl/>
        </w:rPr>
      </w:pPr>
    </w:p>
    <w:p w14:paraId="78BA5DA6" w14:textId="77777777" w:rsidR="0031406C" w:rsidRDefault="00592AF7">
      <w:pPr>
        <w:rPr>
          <w:rtl/>
        </w:rPr>
      </w:pPr>
      <w:r>
        <w:rPr>
          <w:rFonts w:hint="cs"/>
          <w:rtl/>
        </w:rPr>
        <w:t xml:space="preserve">סעיף </w:t>
      </w:r>
      <w:hyperlink r:id="rId40" w:history="1">
        <w:r w:rsidR="00644C01" w:rsidRPr="00644C01">
          <w:rPr>
            <w:color w:val="0000FF"/>
            <w:u w:val="single"/>
            <w:rtl/>
          </w:rPr>
          <w:t>40 (א)</w:t>
        </w:r>
      </w:hyperlink>
      <w:r>
        <w:rPr>
          <w:rFonts w:hint="cs"/>
          <w:rtl/>
        </w:rPr>
        <w:t xml:space="preserve"> ל</w:t>
      </w:r>
      <w:hyperlink r:id="rId41" w:history="1">
        <w:r w:rsidRPr="00592AF7">
          <w:rPr>
            <w:rStyle w:val="Hyperlink"/>
            <w:rFonts w:hint="eastAsia"/>
            <w:rtl/>
          </w:rPr>
          <w:t>חוק</w:t>
        </w:r>
        <w:r w:rsidRPr="00592AF7">
          <w:rPr>
            <w:rStyle w:val="Hyperlink"/>
            <w:rtl/>
          </w:rPr>
          <w:t xml:space="preserve"> העונשין</w:t>
        </w:r>
      </w:hyperlink>
      <w:r>
        <w:rPr>
          <w:rFonts w:hint="cs"/>
          <w:rtl/>
        </w:rPr>
        <w:t xml:space="preserve"> קובע: </w:t>
      </w:r>
    </w:p>
    <w:p w14:paraId="20A79175" w14:textId="77777777" w:rsidR="0031406C" w:rsidRDefault="0031406C">
      <w:pPr>
        <w:rPr>
          <w:rtl/>
        </w:rPr>
      </w:pPr>
    </w:p>
    <w:p w14:paraId="5783FB90" w14:textId="77777777" w:rsidR="0031406C" w:rsidRDefault="00592AF7">
      <w:pPr>
        <w:spacing w:line="360" w:lineRule="auto"/>
        <w:ind w:left="720" w:right="851"/>
        <w:jc w:val="both"/>
        <w:rPr>
          <w:b/>
          <w:bCs/>
          <w:rtl/>
        </w:rPr>
      </w:pPr>
      <w:r>
        <w:rPr>
          <w:rFonts w:hint="cs"/>
          <w:rtl/>
        </w:rPr>
        <w:t>"</w:t>
      </w:r>
      <w:r>
        <w:rPr>
          <w:rFonts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42" w:history="1">
        <w:r w:rsidRPr="00592AF7">
          <w:rPr>
            <w:rStyle w:val="Hyperlink"/>
            <w:rFonts w:hint="eastAsia"/>
            <w:b/>
            <w:bCs/>
            <w:rtl/>
          </w:rPr>
          <w:t>פקודת</w:t>
        </w:r>
        <w:r w:rsidRPr="00592AF7">
          <w:rPr>
            <w:rStyle w:val="Hyperlink"/>
            <w:b/>
            <w:bCs/>
            <w:rtl/>
          </w:rPr>
          <w:t xml:space="preserve"> המבחן</w:t>
        </w:r>
      </w:hyperlink>
      <w:r>
        <w:rPr>
          <w:rFonts w:hint="cs"/>
          <w:b/>
          <w:bCs/>
          <w:rtl/>
        </w:rPr>
        <w:t xml:space="preserve"> [נוסח חדש], התשכ"ט-1969.</w:t>
      </w:r>
      <w:r>
        <w:rPr>
          <w:rFonts w:hint="cs"/>
          <w:rtl/>
        </w:rPr>
        <w:t>"</w:t>
      </w:r>
    </w:p>
    <w:p w14:paraId="7D5696C7" w14:textId="77777777" w:rsidR="0031406C" w:rsidRDefault="0031406C">
      <w:pPr>
        <w:jc w:val="both"/>
        <w:rPr>
          <w:rtl/>
        </w:rPr>
      </w:pPr>
    </w:p>
    <w:p w14:paraId="7DE35DD4" w14:textId="77777777" w:rsidR="0031406C" w:rsidRDefault="00592AF7">
      <w:pPr>
        <w:spacing w:line="360" w:lineRule="auto"/>
        <w:jc w:val="both"/>
        <w:rPr>
          <w:rtl/>
        </w:rPr>
      </w:pPr>
      <w:r>
        <w:rPr>
          <w:rFonts w:hint="cs"/>
          <w:rtl/>
        </w:rPr>
        <w:t xml:space="preserve">להרחבה על השיקולים המנחים את בית המשפט בבואו לחרוג ממתחם העונש ההולם בשל שיקולי שיקום, ראו: אורן גזל-איל "חריגה ממתחם העונש ההולם" </w:t>
      </w:r>
      <w:r>
        <w:rPr>
          <w:rFonts w:hint="cs"/>
          <w:b/>
          <w:bCs/>
          <w:rtl/>
        </w:rPr>
        <w:t>ספר דורית בייניש</w:t>
      </w:r>
      <w:r>
        <w:rPr>
          <w:rFonts w:hint="cs"/>
          <w:rtl/>
        </w:rPr>
        <w:t xml:space="preserve"> (קרן אזולאי, איתי בר-סימן-טוב, אהרון ברק ושחר ליפשיץ עורכים, 2015) וכן יניב ואקי ויורם רבין "הבניית שיקול הדעת בענישה: תמונת מצב והרהורים על העתיד לבוא" </w:t>
      </w:r>
      <w:r>
        <w:rPr>
          <w:rFonts w:hint="cs"/>
          <w:b/>
          <w:bCs/>
          <w:rtl/>
        </w:rPr>
        <w:t xml:space="preserve">הפרקליט </w:t>
      </w:r>
      <w:r>
        <w:rPr>
          <w:rFonts w:hint="cs"/>
          <w:rtl/>
        </w:rPr>
        <w:t>נב 413, 445-446 (2013)).</w:t>
      </w:r>
    </w:p>
    <w:p w14:paraId="169392DE" w14:textId="77777777" w:rsidR="0031406C" w:rsidRDefault="0031406C">
      <w:pPr>
        <w:spacing w:line="360" w:lineRule="auto"/>
        <w:jc w:val="both"/>
        <w:rPr>
          <w:rFonts w:ascii="Arial" w:hAnsi="Arial"/>
          <w:rtl/>
        </w:rPr>
      </w:pPr>
    </w:p>
    <w:p w14:paraId="36760413" w14:textId="77777777" w:rsidR="0031406C" w:rsidRDefault="00592AF7">
      <w:pPr>
        <w:spacing w:line="360" w:lineRule="auto"/>
        <w:jc w:val="both"/>
        <w:rPr>
          <w:rFonts w:ascii="Times New Roman" w:hAnsi="Times New Roman"/>
          <w:rtl/>
        </w:rPr>
      </w:pPr>
      <w:r>
        <w:rPr>
          <w:rFonts w:ascii="Arial" w:hAnsi="Arial" w:hint="cs"/>
          <w:rtl/>
        </w:rPr>
        <w:t xml:space="preserve">לאחר שבחנתי את כלל הנסיבות והשיקולים, ואת המלצות שירות המבחן, אני סבורה כי בעניינו של הנאשם יש </w:t>
      </w:r>
      <w:r>
        <w:rPr>
          <w:rFonts w:hint="cs"/>
          <w:rtl/>
        </w:rPr>
        <w:t>לחרוג לקולא ממתחם הענישה, ולהעדיף את שיקולי השיקום. יודגש כי שילובו של הנאשם במסגרת ההליך הטיפולי בהליך המעצר היה מוצלח, הנאשם הפסיק את השימוש בסמים, מנסה לשקם את יחסיו עם הוריו אשר התגייסו לעזרתו עת גילו על מעשיו ובביתם הוא מתגורר כיום, הנאשם משתף פעולה עם ההליך הטיפולי, ומביע מוטיבציה להמשיך בדרך נורמטיבית לאחר שעבר תקופה משברית בחייו, הכל כמפורט בתסקיר שירות המבחן.</w:t>
      </w:r>
    </w:p>
    <w:p w14:paraId="688713EF" w14:textId="77777777" w:rsidR="0031406C" w:rsidRDefault="0031406C">
      <w:pPr>
        <w:spacing w:line="360" w:lineRule="auto"/>
        <w:jc w:val="both"/>
        <w:rPr>
          <w:rtl/>
        </w:rPr>
      </w:pPr>
    </w:p>
    <w:p w14:paraId="21149929" w14:textId="77777777" w:rsidR="0031406C" w:rsidRDefault="00592AF7">
      <w:pPr>
        <w:spacing w:line="360" w:lineRule="auto"/>
        <w:jc w:val="both"/>
        <w:rPr>
          <w:rFonts w:ascii="Calibri" w:hAnsi="Calibri"/>
          <w:rtl/>
        </w:rPr>
      </w:pPr>
      <w:r>
        <w:rPr>
          <w:rFonts w:ascii="Calibri" w:hAnsi="Calibri" w:hint="cs"/>
          <w:rtl/>
        </w:rPr>
        <w:t xml:space="preserve">לנוכח השיקולים המפורטים לעיל, וכן לאור העובדה שכל מעשי העבירות של הנאשם בוצעו תוך פרק זמן קצר, שלאחריו לא בוצעו על ידו עבירות נוספות, לאור הודיית הנאשם בעבירות המיוחסות לו בכתב האישום והחיסכון בזמן השיפוטי היקר, היעדר עבר פלילי קודם לנאשם, העובדה כי נכון למועד מתן גזר דין זה טרם מלאו לנאשם 19 שנים ובעת ביצוע העבירות היה הנאשם כבן 18 שנים בלבד, קרי הוא היה על סף הקטינות ובמסגרת קבוצת הגיל הייחודית של "בגירים-צעירים" אשר קיבלה הכרה פסיקתית (ראו לדוגמה </w:t>
      </w:r>
      <w:hyperlink r:id="rId43" w:history="1">
        <w:r w:rsidRPr="00592AF7">
          <w:rPr>
            <w:rStyle w:val="Hyperlink"/>
            <w:rFonts w:hint="eastAsia"/>
            <w:rtl/>
          </w:rPr>
          <w:t>ע</w:t>
        </w:r>
        <w:r w:rsidRPr="00592AF7">
          <w:rPr>
            <w:rStyle w:val="Hyperlink"/>
            <w:rtl/>
          </w:rPr>
          <w:t>"פ 7781/12</w:t>
        </w:r>
      </w:hyperlink>
      <w:r>
        <w:rPr>
          <w:rFonts w:hint="cs"/>
          <w:rtl/>
        </w:rPr>
        <w:t xml:space="preserve"> </w:t>
      </w:r>
      <w:r>
        <w:rPr>
          <w:rStyle w:val="normal-h"/>
          <w:rFonts w:hint="cs"/>
          <w:b/>
          <w:bCs/>
          <w:rtl/>
        </w:rPr>
        <w:t>פלוני נ' מדינת ישראל</w:t>
      </w:r>
      <w:r>
        <w:rPr>
          <w:rStyle w:val="normal-h"/>
          <w:rFonts w:hint="cs"/>
          <w:rtl/>
        </w:rPr>
        <w:t xml:space="preserve"> (25.6.13) ולנוכח</w:t>
      </w:r>
      <w:r>
        <w:rPr>
          <w:rFonts w:ascii="Calibri" w:hAnsi="Calibri" w:hint="cs"/>
          <w:rtl/>
        </w:rPr>
        <w:t xml:space="preserve"> קיומו של סיכוי ממשי שהנאשם ישתקם, יש הצדקה לחרוג במידה מסוימת ממתחם העונש הראוי, לא למצות את הדין עם הנאשם, ולגזור עונש כולל לכל האירועים המתוארים בכתב האישום המתוקן, אשר יחפוף באופן משמעותי ויהיה ברף הנמוך של מתחם הענישה אותו ציינתי לעיל. </w:t>
      </w:r>
    </w:p>
    <w:p w14:paraId="2E446B80" w14:textId="77777777" w:rsidR="0031406C" w:rsidRDefault="0031406C">
      <w:pPr>
        <w:spacing w:line="360" w:lineRule="auto"/>
        <w:jc w:val="both"/>
        <w:rPr>
          <w:rFonts w:ascii="Calibri" w:hAnsi="Calibri"/>
          <w:rtl/>
        </w:rPr>
      </w:pPr>
    </w:p>
    <w:p w14:paraId="11DCCA6B" w14:textId="77777777" w:rsidR="0031406C" w:rsidRDefault="00592AF7">
      <w:pPr>
        <w:spacing w:line="360" w:lineRule="auto"/>
        <w:jc w:val="both"/>
        <w:rPr>
          <w:rFonts w:ascii="Times New Roman" w:hAnsi="Times New Roman"/>
          <w:rtl/>
        </w:rPr>
      </w:pPr>
      <w:r>
        <w:rPr>
          <w:rFonts w:ascii="Calibri" w:hAnsi="Calibri" w:hint="cs"/>
          <w:rtl/>
        </w:rPr>
        <w:t>לפיכך, אני מוצאת לקבל את ההסדר בין הצדדים, שאף שהוא חורג לחומרא מהמלצת שרות המבחן, הוא חורג לקולא באופן משמעותי ממתחם העונש ההולם, ולהשית על הנאשם מאסר שירוצה בדרך של עבודות שירות</w:t>
      </w:r>
      <w:r>
        <w:rPr>
          <w:rFonts w:hint="cs"/>
          <w:rtl/>
        </w:rPr>
        <w:t xml:space="preserve">, וכן מאסר על תנאי מרתיע וענישה כספית. </w:t>
      </w:r>
    </w:p>
    <w:p w14:paraId="5E4E3832" w14:textId="77777777" w:rsidR="0031406C" w:rsidRDefault="0031406C">
      <w:pPr>
        <w:pStyle w:val="ListParagraph"/>
        <w:spacing w:line="360" w:lineRule="auto"/>
        <w:ind w:right="1134"/>
        <w:jc w:val="both"/>
        <w:rPr>
          <w:b/>
          <w:bCs/>
          <w:noProof w:val="0"/>
          <w:rtl/>
        </w:rPr>
      </w:pPr>
    </w:p>
    <w:p w14:paraId="79CEC162" w14:textId="77777777" w:rsidR="0031406C" w:rsidRDefault="00592AF7">
      <w:pPr>
        <w:spacing w:line="360" w:lineRule="auto"/>
        <w:jc w:val="both"/>
        <w:rPr>
          <w:b/>
          <w:bCs/>
          <w:u w:val="single"/>
          <w:rtl/>
        </w:rPr>
      </w:pPr>
      <w:r>
        <w:rPr>
          <w:rFonts w:hint="cs"/>
          <w:b/>
          <w:bCs/>
          <w:u w:val="single"/>
          <w:rtl/>
        </w:rPr>
        <w:t>סוף דבר</w:t>
      </w:r>
    </w:p>
    <w:p w14:paraId="0BDDCA09" w14:textId="77777777" w:rsidR="0031406C" w:rsidRDefault="0031406C">
      <w:pPr>
        <w:pStyle w:val="ListParagraph"/>
        <w:spacing w:line="360" w:lineRule="auto"/>
        <w:ind w:left="0" w:hanging="426"/>
        <w:jc w:val="both"/>
        <w:rPr>
          <w:noProof w:val="0"/>
          <w:rtl/>
        </w:rPr>
      </w:pPr>
    </w:p>
    <w:p w14:paraId="569C7171" w14:textId="77777777" w:rsidR="0031406C" w:rsidRDefault="00592AF7">
      <w:pPr>
        <w:pStyle w:val="ListParagraph"/>
        <w:spacing w:line="360" w:lineRule="auto"/>
        <w:ind w:left="0" w:hanging="426"/>
        <w:jc w:val="both"/>
        <w:rPr>
          <w:noProof w:val="0"/>
          <w:rtl/>
        </w:rPr>
      </w:pPr>
      <w:r>
        <w:rPr>
          <w:rFonts w:hint="cs"/>
          <w:noProof w:val="0"/>
          <w:rtl/>
        </w:rPr>
        <w:t>5.</w:t>
      </w:r>
      <w:r>
        <w:rPr>
          <w:rFonts w:hint="cs"/>
          <w:noProof w:val="0"/>
          <w:rtl/>
        </w:rPr>
        <w:tab/>
        <w:t xml:space="preserve">לאור כל האמור לעיל, אני מאמצת את הסדר הטיעון, מכריזה על הנאשם </w:t>
      </w:r>
      <w:r>
        <w:rPr>
          <w:rFonts w:hint="cs"/>
          <w:rtl/>
        </w:rPr>
        <w:t xml:space="preserve">כ"סוחר סמים" כמשמעו </w:t>
      </w:r>
      <w:hyperlink r:id="rId44" w:history="1">
        <w:r w:rsidR="00644C01" w:rsidRPr="00644C01">
          <w:rPr>
            <w:color w:val="0000FF"/>
            <w:u w:val="single"/>
            <w:rtl/>
          </w:rPr>
          <w:t>בסעיף 36א(ב)</w:t>
        </w:r>
      </w:hyperlink>
      <w:r>
        <w:rPr>
          <w:rFonts w:hint="cs"/>
          <w:rtl/>
        </w:rPr>
        <w:t xml:space="preserve"> ל</w:t>
      </w:r>
      <w:hyperlink r:id="rId45" w:history="1">
        <w:r w:rsidRPr="00592AF7">
          <w:rPr>
            <w:rStyle w:val="Hyperlink"/>
            <w:rFonts w:hint="eastAsia"/>
            <w:rtl/>
          </w:rPr>
          <w:t>פקודת</w:t>
        </w:r>
        <w:r w:rsidRPr="00592AF7">
          <w:rPr>
            <w:rStyle w:val="Hyperlink"/>
            <w:rtl/>
          </w:rPr>
          <w:t xml:space="preserve"> הסמים המסוכנים</w:t>
        </w:r>
      </w:hyperlink>
      <w:r>
        <w:rPr>
          <w:rFonts w:hint="cs"/>
          <w:rtl/>
        </w:rPr>
        <w:t xml:space="preserve">, </w:t>
      </w:r>
      <w:r>
        <w:rPr>
          <w:rFonts w:hint="cs"/>
          <w:noProof w:val="0"/>
          <w:rtl/>
        </w:rPr>
        <w:t>וגוזרת עליו את העונשים הבאים:</w:t>
      </w:r>
    </w:p>
    <w:p w14:paraId="4AB8E267" w14:textId="77777777" w:rsidR="0031406C" w:rsidRDefault="0031406C">
      <w:pPr>
        <w:spacing w:line="360" w:lineRule="auto"/>
        <w:ind w:left="425" w:hanging="425"/>
        <w:jc w:val="both"/>
        <w:rPr>
          <w:rtl/>
        </w:rPr>
      </w:pPr>
    </w:p>
    <w:p w14:paraId="31D267E7" w14:textId="77777777" w:rsidR="0031406C" w:rsidRDefault="00592AF7">
      <w:pPr>
        <w:spacing w:line="360" w:lineRule="auto"/>
        <w:ind w:left="424" w:hanging="424"/>
        <w:jc w:val="both"/>
        <w:rPr>
          <w:rtl/>
        </w:rPr>
      </w:pPr>
      <w:r>
        <w:rPr>
          <w:rFonts w:hint="cs"/>
          <w:rtl/>
        </w:rPr>
        <w:t xml:space="preserve">א.   מאסר לתקופה של 6 חודשים, אשר ירוצה בדרך של עבודות שירות, החל מיום 23/12/2015 בעמותת "פתחון לב" ברח' לישנסקי 9 בראשון- לציון, 5 ימים בשבוע, 8.5 שעות עבודה יומיות. בערבי חג וחול המועד הנאשם יועסק במקום העבודה וגם אם לא עבד באותו יום, בין אם מסיבותיו ובין אם בגלל שהמקום סגור, יחויב ביום עבודה מלא. </w:t>
      </w:r>
    </w:p>
    <w:p w14:paraId="6FE8E4A1" w14:textId="77777777" w:rsidR="0031406C" w:rsidRDefault="0031406C">
      <w:pPr>
        <w:spacing w:line="360" w:lineRule="auto"/>
        <w:ind w:left="424" w:hanging="424"/>
        <w:jc w:val="both"/>
        <w:rPr>
          <w:rtl/>
        </w:rPr>
      </w:pPr>
    </w:p>
    <w:p w14:paraId="5497DAEA" w14:textId="77777777" w:rsidR="0031406C" w:rsidRDefault="00592AF7">
      <w:pPr>
        <w:spacing w:line="360" w:lineRule="auto"/>
        <w:ind w:left="424"/>
        <w:jc w:val="both"/>
        <w:rPr>
          <w:rtl/>
        </w:rPr>
      </w:pPr>
      <w:r>
        <w:rPr>
          <w:rFonts w:hint="cs"/>
          <w:rtl/>
        </w:rPr>
        <w:t>הובהר לנאשם, כי עליו לעמוד בתנאי הפיקוח וביקורות הפתע וכן כי עליו למסור דגימות שתן לגילוי סמים ככל שיידרש על-ידי הממונה על עבודות השירות.</w:t>
      </w:r>
    </w:p>
    <w:p w14:paraId="60B62889" w14:textId="77777777" w:rsidR="0031406C" w:rsidRDefault="00592AF7">
      <w:pPr>
        <w:spacing w:line="360" w:lineRule="auto"/>
        <w:ind w:left="424"/>
        <w:jc w:val="both"/>
        <w:rPr>
          <w:rtl/>
        </w:rPr>
      </w:pPr>
      <w:r>
        <w:rPr>
          <w:rFonts w:hint="cs"/>
          <w:rtl/>
        </w:rPr>
        <w:t>כל הפרה בעבודות השירות לרבות גילוי סם בדגימת השתן או ניסיון זיוף דגימת שתן או ביצוע עבירות נוספות, יביאו להפסקה מנהלית וריצוי העונש במאסר ממש.</w:t>
      </w:r>
    </w:p>
    <w:p w14:paraId="473DEE54" w14:textId="77777777" w:rsidR="0031406C" w:rsidRDefault="0031406C">
      <w:pPr>
        <w:spacing w:line="360" w:lineRule="auto"/>
        <w:ind w:left="424" w:hanging="424"/>
        <w:jc w:val="both"/>
        <w:rPr>
          <w:rtl/>
        </w:rPr>
      </w:pPr>
    </w:p>
    <w:p w14:paraId="2DECEF33" w14:textId="77777777" w:rsidR="0031406C" w:rsidRDefault="00592AF7">
      <w:pPr>
        <w:spacing w:line="360" w:lineRule="auto"/>
        <w:ind w:left="424"/>
        <w:jc w:val="both"/>
        <w:rPr>
          <w:rtl/>
        </w:rPr>
      </w:pPr>
      <w:r>
        <w:rPr>
          <w:rFonts w:hint="cs"/>
          <w:rtl/>
        </w:rPr>
        <w:t>על הנאשם להתייצב בתאריך 23/12/2015 בשעה 08:00 לצורך קליטה והצבה בפני המפקח על עבודות השירות במפקדת מחוז מרכז, יחידת עבודות השירות בעיר רמלה.</w:t>
      </w:r>
    </w:p>
    <w:p w14:paraId="75A13378" w14:textId="77777777" w:rsidR="0031406C" w:rsidRDefault="0031406C">
      <w:pPr>
        <w:spacing w:line="360" w:lineRule="auto"/>
        <w:ind w:left="425" w:hanging="425"/>
        <w:jc w:val="both"/>
        <w:rPr>
          <w:rtl/>
        </w:rPr>
      </w:pPr>
    </w:p>
    <w:p w14:paraId="4440686C" w14:textId="77777777" w:rsidR="0031406C" w:rsidRDefault="00592AF7">
      <w:pPr>
        <w:spacing w:line="360" w:lineRule="auto"/>
        <w:ind w:left="425" w:hanging="425"/>
        <w:jc w:val="both"/>
        <w:rPr>
          <w:rtl/>
        </w:rPr>
      </w:pPr>
      <w:r>
        <w:rPr>
          <w:rFonts w:hint="cs"/>
          <w:rtl/>
        </w:rPr>
        <w:t>ב.</w:t>
      </w:r>
      <w:r>
        <w:rPr>
          <w:rFonts w:hint="cs"/>
          <w:rtl/>
        </w:rPr>
        <w:tab/>
        <w:t xml:space="preserve">מאסר על תנאי למשך 6 חודשים, והנאשם לא יישא בעונש זה אלא אם כן יעבור בתוך 3 שנים מהיום כל עבירה על </w:t>
      </w:r>
      <w:hyperlink r:id="rId46" w:history="1">
        <w:r w:rsidRPr="00592AF7">
          <w:rPr>
            <w:rStyle w:val="Hyperlink"/>
            <w:rFonts w:hint="eastAsia"/>
            <w:rtl/>
          </w:rPr>
          <w:t>פקודת</w:t>
        </w:r>
        <w:r w:rsidRPr="00592AF7">
          <w:rPr>
            <w:rStyle w:val="Hyperlink"/>
            <w:rtl/>
          </w:rPr>
          <w:t xml:space="preserve"> הסמים המסוכנים</w:t>
        </w:r>
      </w:hyperlink>
      <w:r>
        <w:rPr>
          <w:rFonts w:hint="cs"/>
          <w:rtl/>
        </w:rPr>
        <w:t xml:space="preserve"> מסוג פשע, לרבות ניסיון או סיוע לבצע עבירה זו. </w:t>
      </w:r>
    </w:p>
    <w:p w14:paraId="75F2CB60" w14:textId="77777777" w:rsidR="0031406C" w:rsidRDefault="0031406C">
      <w:pPr>
        <w:spacing w:line="360" w:lineRule="auto"/>
        <w:ind w:left="425" w:hanging="425"/>
        <w:jc w:val="both"/>
        <w:rPr>
          <w:rtl/>
        </w:rPr>
      </w:pPr>
    </w:p>
    <w:p w14:paraId="7E712166" w14:textId="77777777" w:rsidR="0031406C" w:rsidRDefault="00592AF7">
      <w:pPr>
        <w:spacing w:line="360" w:lineRule="auto"/>
        <w:ind w:left="425" w:hanging="425"/>
        <w:jc w:val="both"/>
        <w:rPr>
          <w:rtl/>
        </w:rPr>
      </w:pPr>
      <w:r>
        <w:rPr>
          <w:rFonts w:hint="cs"/>
          <w:rtl/>
        </w:rPr>
        <w:t>ג.</w:t>
      </w:r>
      <w:r>
        <w:rPr>
          <w:rFonts w:hint="cs"/>
          <w:rtl/>
        </w:rPr>
        <w:tab/>
        <w:t xml:space="preserve">מאסר על תנאי למשך 3 חודשים, והנאשם לא יישא בעונש זה אלא אם כן יעבור בתוך 3 שנים מהיום כל עבירה על </w:t>
      </w:r>
      <w:hyperlink r:id="rId47" w:history="1">
        <w:r w:rsidRPr="00592AF7">
          <w:rPr>
            <w:rStyle w:val="Hyperlink"/>
            <w:rFonts w:hint="eastAsia"/>
            <w:rtl/>
          </w:rPr>
          <w:t>פקודת</w:t>
        </w:r>
        <w:r w:rsidRPr="00592AF7">
          <w:rPr>
            <w:rStyle w:val="Hyperlink"/>
            <w:rtl/>
          </w:rPr>
          <w:t xml:space="preserve"> הסמים המסוכנים</w:t>
        </w:r>
      </w:hyperlink>
      <w:r>
        <w:rPr>
          <w:rFonts w:hint="cs"/>
          <w:rtl/>
        </w:rPr>
        <w:t xml:space="preserve"> מסוג עוון, לרבות ניסיון או סיוע לבצע עבירה זו. </w:t>
      </w:r>
    </w:p>
    <w:p w14:paraId="551B4C40" w14:textId="77777777" w:rsidR="0031406C" w:rsidRDefault="0031406C">
      <w:pPr>
        <w:spacing w:line="360" w:lineRule="auto"/>
        <w:ind w:left="425" w:hanging="425"/>
        <w:jc w:val="both"/>
        <w:rPr>
          <w:rtl/>
        </w:rPr>
      </w:pPr>
    </w:p>
    <w:p w14:paraId="13491961" w14:textId="77777777" w:rsidR="0031406C" w:rsidRDefault="00592AF7">
      <w:pPr>
        <w:spacing w:line="360" w:lineRule="auto"/>
        <w:ind w:left="425" w:hanging="425"/>
        <w:jc w:val="both"/>
        <w:rPr>
          <w:rtl/>
        </w:rPr>
      </w:pPr>
      <w:r>
        <w:rPr>
          <w:rFonts w:hint="cs"/>
          <w:rtl/>
        </w:rPr>
        <w:t xml:space="preserve">ד. </w:t>
      </w:r>
      <w:r>
        <w:rPr>
          <w:rFonts w:hint="cs"/>
          <w:rtl/>
        </w:rPr>
        <w:tab/>
        <w:t>קנס כספי בסך 10,000 ₪ או 50 ימי מאסר תמורתו.</w:t>
      </w:r>
    </w:p>
    <w:p w14:paraId="765F67D1" w14:textId="77777777" w:rsidR="0031406C" w:rsidRDefault="00592AF7">
      <w:pPr>
        <w:spacing w:line="360" w:lineRule="auto"/>
        <w:ind w:left="425" w:hanging="425"/>
        <w:jc w:val="both"/>
        <w:rPr>
          <w:rtl/>
        </w:rPr>
      </w:pPr>
      <w:r>
        <w:rPr>
          <w:rFonts w:hint="cs"/>
          <w:rtl/>
        </w:rPr>
        <w:tab/>
      </w:r>
      <w:r>
        <w:rPr>
          <w:rFonts w:hint="cs"/>
          <w:rtl/>
        </w:rPr>
        <w:tab/>
      </w:r>
    </w:p>
    <w:p w14:paraId="451EA500" w14:textId="77777777" w:rsidR="0031406C" w:rsidRDefault="00592AF7">
      <w:pPr>
        <w:spacing w:line="360" w:lineRule="auto"/>
        <w:ind w:left="425"/>
        <w:jc w:val="both"/>
        <w:rPr>
          <w:rtl/>
        </w:rPr>
      </w:pPr>
      <w:r>
        <w:rPr>
          <w:rFonts w:hint="cs"/>
          <w:rtl/>
        </w:rPr>
        <w:t xml:space="preserve">הקנס ישולם ב-5 תשלומים חודשיים, שווים ורצופים, התשלום הראשון עד ליום 1.11.15, ויתרת התשלומים בכל 1 לחודש שלאחר מכן. אם תשלום אחד מן התשלומים לא יפרע במועדו או במלואו, יעמוד כל הקנס או יתרתו לפירעון מידי.  </w:t>
      </w:r>
    </w:p>
    <w:p w14:paraId="43ACD661" w14:textId="77777777" w:rsidR="0031406C" w:rsidRDefault="0031406C">
      <w:pPr>
        <w:spacing w:line="360" w:lineRule="auto"/>
        <w:ind w:left="425"/>
        <w:jc w:val="both"/>
        <w:rPr>
          <w:rtl/>
        </w:rPr>
      </w:pPr>
    </w:p>
    <w:p w14:paraId="58A917DC" w14:textId="77777777" w:rsidR="0031406C" w:rsidRDefault="00592AF7">
      <w:pPr>
        <w:spacing w:line="360" w:lineRule="auto"/>
        <w:ind w:left="425"/>
        <w:jc w:val="both"/>
        <w:rPr>
          <w:rtl/>
        </w:rPr>
      </w:pPr>
      <w:r>
        <w:rPr>
          <w:rFonts w:hint="cs"/>
          <w:rtl/>
        </w:rPr>
        <w:t xml:space="preserve">ככל שהופקדו כספים על-ידי הנאשם ו/או על-ידי גב' אמו מרגריטה דוידוב ו/או על-ידי אחיו מר אלברט דוידוב במסגרת </w:t>
      </w:r>
      <w:hyperlink r:id="rId48" w:history="1">
        <w:r w:rsidRPr="00592AF7">
          <w:rPr>
            <w:rStyle w:val="Hyperlink"/>
            <w:rFonts w:hint="eastAsia"/>
            <w:rtl/>
          </w:rPr>
          <w:t>מ</w:t>
        </w:r>
        <w:r w:rsidRPr="00592AF7">
          <w:rPr>
            <w:rStyle w:val="Hyperlink"/>
            <w:rtl/>
          </w:rPr>
          <w:t>"ת 3741-03-15</w:t>
        </w:r>
      </w:hyperlink>
      <w:r>
        <w:rPr>
          <w:rFonts w:hint="cs"/>
          <w:rtl/>
        </w:rPr>
        <w:t xml:space="preserve">, הם יקוזזו לטובת הקנס שהוטל ככל שלא קיימת מניעה חוקית אחרת. </w:t>
      </w:r>
    </w:p>
    <w:p w14:paraId="6A053DD8" w14:textId="77777777" w:rsidR="0031406C" w:rsidRDefault="0031406C">
      <w:pPr>
        <w:spacing w:line="360" w:lineRule="auto"/>
        <w:jc w:val="both"/>
        <w:rPr>
          <w:rtl/>
        </w:rPr>
      </w:pPr>
    </w:p>
    <w:p w14:paraId="66226906" w14:textId="77777777" w:rsidR="0031406C" w:rsidRDefault="00592AF7">
      <w:pPr>
        <w:spacing w:line="360" w:lineRule="auto"/>
        <w:ind w:left="425" w:hanging="425"/>
        <w:jc w:val="both"/>
        <w:rPr>
          <w:rtl/>
        </w:rPr>
      </w:pPr>
      <w:r>
        <w:rPr>
          <w:rFonts w:hint="cs"/>
          <w:rtl/>
        </w:rPr>
        <w:t xml:space="preserve">ה.   </w:t>
      </w:r>
      <w:r>
        <w:rPr>
          <w:rtl/>
        </w:rPr>
        <w:tab/>
      </w:r>
      <w:r>
        <w:rPr>
          <w:rFonts w:hint="cs"/>
          <w:rtl/>
        </w:rPr>
        <w:t xml:space="preserve">אני מורה על חילוט הרכוש שנתפס בחזקת הנאשם ותפוס בידי המאשימה, כדלקמן: </w:t>
      </w:r>
    </w:p>
    <w:p w14:paraId="5123F80D" w14:textId="77777777" w:rsidR="0031406C" w:rsidRDefault="00592AF7">
      <w:pPr>
        <w:spacing w:line="360" w:lineRule="auto"/>
        <w:ind w:left="425"/>
        <w:jc w:val="both"/>
        <w:rPr>
          <w:rtl/>
        </w:rPr>
      </w:pPr>
      <w:r>
        <w:rPr>
          <w:rFonts w:hint="cs"/>
          <w:rtl/>
        </w:rPr>
        <w:t xml:space="preserve">סך במזומן של 2,950 ₪, טלפון סלולארי מסוג סמסונג וטלפון סלולארי מסוג ו'או'י. </w:t>
      </w:r>
    </w:p>
    <w:p w14:paraId="6BEFE1A3" w14:textId="77777777" w:rsidR="0031406C" w:rsidRDefault="00592AF7">
      <w:pPr>
        <w:spacing w:line="360" w:lineRule="auto"/>
        <w:ind w:left="425" w:hanging="425"/>
        <w:jc w:val="both"/>
        <w:rPr>
          <w:rtl/>
        </w:rPr>
      </w:pPr>
      <w:r>
        <w:rPr>
          <w:rFonts w:hint="cs"/>
          <w:rtl/>
        </w:rPr>
        <w:tab/>
        <w:t xml:space="preserve">אני מורה על השמדת הסמים, כלים להכנת סם, המשקל האלקטרוני שנתפס ושיק בסך 20,000 ₪. </w:t>
      </w:r>
    </w:p>
    <w:p w14:paraId="6CB01F07" w14:textId="77777777" w:rsidR="0031406C" w:rsidRDefault="00592AF7">
      <w:pPr>
        <w:spacing w:line="360" w:lineRule="auto"/>
        <w:ind w:left="425" w:hanging="425"/>
        <w:jc w:val="both"/>
        <w:rPr>
          <w:rtl/>
        </w:rPr>
      </w:pPr>
      <w:r>
        <w:rPr>
          <w:rtl/>
        </w:rPr>
        <w:tab/>
      </w:r>
      <w:r>
        <w:rPr>
          <w:rFonts w:hint="cs"/>
          <w:rtl/>
        </w:rPr>
        <w:t xml:space="preserve">שיק בסך 740 ₪ ומסמכי בנק יוחזרו לנאשם. </w:t>
      </w:r>
    </w:p>
    <w:p w14:paraId="3BA33047" w14:textId="77777777" w:rsidR="0031406C" w:rsidRDefault="00592AF7">
      <w:pPr>
        <w:jc w:val="both"/>
        <w:rPr>
          <w:rtl/>
        </w:rPr>
      </w:pPr>
      <w:r>
        <w:rPr>
          <w:rFonts w:hint="cs"/>
          <w:rtl/>
        </w:rPr>
        <w:t xml:space="preserve">    </w:t>
      </w:r>
    </w:p>
    <w:p w14:paraId="7E7FDA72" w14:textId="77777777" w:rsidR="0031406C" w:rsidRDefault="0031406C">
      <w:pPr>
        <w:jc w:val="both"/>
        <w:rPr>
          <w:rtl/>
        </w:rPr>
      </w:pPr>
    </w:p>
    <w:p w14:paraId="09EC52A2" w14:textId="77777777" w:rsidR="0031406C" w:rsidRDefault="00592AF7">
      <w:pPr>
        <w:spacing w:line="360" w:lineRule="auto"/>
        <w:jc w:val="both"/>
        <w:rPr>
          <w:u w:val="single"/>
        </w:rPr>
      </w:pPr>
      <w:r>
        <w:rPr>
          <w:rFonts w:hint="cs"/>
          <w:u w:val="single"/>
          <w:rtl/>
        </w:rPr>
        <w:t>המזכירות תשלח עותק גזר הדין לממונה על עבודות השירות בשב"ס ולשירות המבחן.</w:t>
      </w:r>
    </w:p>
    <w:p w14:paraId="4A2AD735" w14:textId="77777777" w:rsidR="0031406C" w:rsidRDefault="0031406C">
      <w:pPr>
        <w:jc w:val="both"/>
        <w:rPr>
          <w:rtl/>
        </w:rPr>
      </w:pPr>
    </w:p>
    <w:p w14:paraId="688EFB98" w14:textId="77777777" w:rsidR="0031406C" w:rsidRDefault="00592AF7">
      <w:pPr>
        <w:spacing w:line="360" w:lineRule="auto"/>
        <w:jc w:val="both"/>
        <w:rPr>
          <w:b/>
          <w:bCs/>
          <w:rtl/>
        </w:rPr>
      </w:pPr>
      <w:r>
        <w:rPr>
          <w:rFonts w:hint="cs"/>
          <w:b/>
          <w:bCs/>
          <w:rtl/>
        </w:rPr>
        <w:t>הנאשם יפנה למזכירות בית-המשפט לקבלת שוברים לתשלום הקנס.</w:t>
      </w:r>
    </w:p>
    <w:p w14:paraId="5056F346" w14:textId="77777777" w:rsidR="0031406C" w:rsidRDefault="0031406C">
      <w:pPr>
        <w:jc w:val="both"/>
        <w:rPr>
          <w:b/>
          <w:bCs/>
          <w:rtl/>
        </w:rPr>
      </w:pPr>
    </w:p>
    <w:p w14:paraId="32BFA457" w14:textId="77777777" w:rsidR="0031406C" w:rsidRDefault="00592AF7">
      <w:pPr>
        <w:spacing w:line="360" w:lineRule="auto"/>
        <w:jc w:val="both"/>
        <w:rPr>
          <w:b/>
          <w:bCs/>
          <w:u w:val="single"/>
          <w:rtl/>
        </w:rPr>
      </w:pPr>
      <w:r>
        <w:rPr>
          <w:rFonts w:hint="cs"/>
          <w:b/>
          <w:bCs/>
          <w:u w:val="single"/>
          <w:rtl/>
        </w:rPr>
        <w:t>זכות ערעור לבית המשפט מחוזי מרכז – לוד תוך 45 ימים.</w:t>
      </w:r>
    </w:p>
    <w:p w14:paraId="7D106442" w14:textId="77777777" w:rsidR="0031406C" w:rsidRDefault="0031406C">
      <w:pPr>
        <w:spacing w:line="360" w:lineRule="auto"/>
        <w:jc w:val="both"/>
        <w:rPr>
          <w:rtl/>
        </w:rPr>
      </w:pPr>
    </w:p>
    <w:p w14:paraId="78E34331" w14:textId="77777777" w:rsidR="0031406C" w:rsidRDefault="00592AF7">
      <w:pPr>
        <w:spacing w:line="360" w:lineRule="auto"/>
        <w:jc w:val="both"/>
        <w:rPr>
          <w:sz w:val="6"/>
          <w:szCs w:val="6"/>
          <w:rtl/>
        </w:rPr>
      </w:pPr>
      <w:r>
        <w:rPr>
          <w:sz w:val="6"/>
          <w:szCs w:val="6"/>
          <w:rtl/>
        </w:rPr>
        <w:t>&lt;#3#&gt;</w:t>
      </w:r>
    </w:p>
    <w:p w14:paraId="41959B86" w14:textId="77777777" w:rsidR="0031406C" w:rsidRDefault="0031406C">
      <w:pPr>
        <w:jc w:val="right"/>
        <w:rPr>
          <w:rtl/>
        </w:rPr>
      </w:pPr>
    </w:p>
    <w:p w14:paraId="237C2CBD" w14:textId="77777777" w:rsidR="0031406C" w:rsidRDefault="00592AF7">
      <w:pPr>
        <w:jc w:val="center"/>
        <w:rPr>
          <w:rtl/>
        </w:rPr>
      </w:pPr>
      <w:r w:rsidRPr="00592AF7">
        <w:rPr>
          <w:b/>
          <w:bCs/>
          <w:color w:val="FFFFFF"/>
          <w:sz w:val="2"/>
          <w:szCs w:val="2"/>
          <w:rtl/>
        </w:rPr>
        <w:t>5129371</w:t>
      </w:r>
      <w:r>
        <w:rPr>
          <w:b/>
          <w:bCs/>
          <w:rtl/>
        </w:rPr>
        <w:t xml:space="preserve">ניתן והודע היום י"ב חשוון תשע"ו, 25/10/2015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1406C" w14:paraId="258329DB" w14:textId="77777777">
        <w:trPr>
          <w:trHeight w:val="316"/>
          <w:jc w:val="right"/>
        </w:trPr>
        <w:tc>
          <w:tcPr>
            <w:tcW w:w="3936" w:type="dxa"/>
            <w:shd w:val="clear" w:color="auto" w:fill="auto"/>
          </w:tcPr>
          <w:p w14:paraId="6DCD05F4" w14:textId="77777777" w:rsidR="0031406C" w:rsidRPr="00592AF7" w:rsidRDefault="00592AF7">
            <w:pPr>
              <w:jc w:val="center"/>
              <w:rPr>
                <w:rFonts w:ascii="Times New Roman" w:eastAsia="Times New Roman" w:hAnsi="Times New Roman" w:cs="Times New Roman"/>
                <w:color w:val="FFFFFF"/>
                <w:sz w:val="2"/>
                <w:szCs w:val="2"/>
              </w:rPr>
            </w:pPr>
            <w:r w:rsidRPr="00592AF7">
              <w:rPr>
                <w:rFonts w:ascii="Times New Roman" w:eastAsia="Times New Roman" w:hAnsi="Times New Roman" w:cs="Times New Roman"/>
                <w:color w:val="FFFFFF"/>
                <w:sz w:val="2"/>
                <w:szCs w:val="2"/>
                <w:rtl/>
              </w:rPr>
              <w:t>54678313</w:t>
            </w:r>
          </w:p>
          <w:p w14:paraId="6D6A63CA" w14:textId="77777777" w:rsidR="0031406C" w:rsidRDefault="0031406C">
            <w:pPr>
              <w:jc w:val="center"/>
              <w:rPr>
                <w:rFonts w:ascii="Times New Roman" w:eastAsia="Times New Roman" w:hAnsi="Times New Roman" w:cs="Times New Roman"/>
                <w:rtl/>
              </w:rPr>
            </w:pPr>
          </w:p>
        </w:tc>
      </w:tr>
      <w:tr w:rsidR="0031406C" w14:paraId="1EC353DB" w14:textId="77777777">
        <w:trPr>
          <w:trHeight w:val="361"/>
          <w:jc w:val="right"/>
        </w:trPr>
        <w:tc>
          <w:tcPr>
            <w:tcW w:w="3936" w:type="dxa"/>
            <w:shd w:val="clear" w:color="auto" w:fill="auto"/>
          </w:tcPr>
          <w:p w14:paraId="33E97892" w14:textId="77777777" w:rsidR="0031406C" w:rsidRDefault="00592AF7">
            <w:pPr>
              <w:jc w:val="center"/>
              <w:rPr>
                <w:rFonts w:ascii="Times New Roman" w:eastAsia="Times New Roman" w:hAnsi="Times New Roman"/>
                <w:b/>
                <w:bCs/>
                <w:rtl/>
              </w:rPr>
            </w:pPr>
            <w:r>
              <w:rPr>
                <w:rFonts w:ascii="Times New Roman" w:eastAsia="Times New Roman" w:hAnsi="Times New Roman" w:hint="cs"/>
                <w:b/>
                <w:bCs/>
                <w:rtl/>
              </w:rPr>
              <w:t>שירלי דקל נוה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674B1BB" w14:textId="77777777" w:rsidR="0031406C" w:rsidRDefault="0031406C">
      <w:pPr>
        <w:spacing w:line="360" w:lineRule="auto"/>
        <w:jc w:val="both"/>
        <w:rPr>
          <w:rtl/>
        </w:rPr>
      </w:pPr>
    </w:p>
    <w:p w14:paraId="05D31D1E" w14:textId="77777777" w:rsidR="0031406C" w:rsidRDefault="00592AF7">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0F10B4A2" w14:textId="77777777" w:rsidR="00592AF7" w:rsidRPr="00592AF7" w:rsidRDefault="00592AF7" w:rsidP="00592AF7">
      <w:pPr>
        <w:keepNext/>
        <w:rPr>
          <w:color w:val="000000"/>
          <w:sz w:val="22"/>
          <w:szCs w:val="22"/>
          <w:rtl/>
        </w:rPr>
      </w:pPr>
    </w:p>
    <w:p w14:paraId="0EEE6F31" w14:textId="77777777" w:rsidR="00592AF7" w:rsidRPr="00592AF7" w:rsidRDefault="00592AF7" w:rsidP="00592AF7">
      <w:pPr>
        <w:keepNext/>
        <w:rPr>
          <w:color w:val="000000"/>
          <w:sz w:val="22"/>
          <w:szCs w:val="22"/>
          <w:rtl/>
        </w:rPr>
      </w:pPr>
      <w:r w:rsidRPr="00592AF7">
        <w:rPr>
          <w:color w:val="000000"/>
          <w:sz w:val="22"/>
          <w:szCs w:val="22"/>
          <w:rtl/>
        </w:rPr>
        <w:t>שירלי דקל נוה 54678313</w:t>
      </w:r>
    </w:p>
    <w:p w14:paraId="6C2C5116" w14:textId="77777777" w:rsidR="00592AF7" w:rsidRDefault="00592AF7" w:rsidP="00592AF7">
      <w:r w:rsidRPr="00592AF7">
        <w:rPr>
          <w:color w:val="000000"/>
          <w:rtl/>
        </w:rPr>
        <w:t>נוסח מסמך זה כפוף לשינויי ניסוח ועריכה</w:t>
      </w:r>
    </w:p>
    <w:p w14:paraId="7B2FB239" w14:textId="77777777" w:rsidR="00592AF7" w:rsidRDefault="00592AF7" w:rsidP="00592AF7">
      <w:pPr>
        <w:rPr>
          <w:rtl/>
        </w:rPr>
      </w:pPr>
    </w:p>
    <w:p w14:paraId="6FD53103" w14:textId="77777777" w:rsidR="00592AF7" w:rsidRDefault="00592AF7" w:rsidP="00592AF7">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60C6271D" w14:textId="77777777" w:rsidR="0031406C" w:rsidRPr="00592AF7" w:rsidRDefault="0031406C" w:rsidP="00592AF7">
      <w:pPr>
        <w:jc w:val="center"/>
        <w:rPr>
          <w:color w:val="0000FF"/>
          <w:u w:val="single"/>
        </w:rPr>
      </w:pPr>
    </w:p>
    <w:sectPr w:rsidR="0031406C" w:rsidRPr="00592AF7" w:rsidSect="00592AF7">
      <w:headerReference w:type="even" r:id="rId50"/>
      <w:headerReference w:type="default" r:id="rId51"/>
      <w:footerReference w:type="even" r:id="rId52"/>
      <w:footerReference w:type="default" r:id="rId5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D4EA8" w14:textId="77777777" w:rsidR="009A06EE" w:rsidRDefault="009A06EE">
      <w:r>
        <w:separator/>
      </w:r>
    </w:p>
  </w:endnote>
  <w:endnote w:type="continuationSeparator" w:id="0">
    <w:p w14:paraId="3F73F656" w14:textId="77777777" w:rsidR="009A06EE" w:rsidRDefault="009A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10AB7" w14:textId="77777777" w:rsidR="009A06EE" w:rsidRDefault="009A06EE" w:rsidP="00592AF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5C4DFEE" w14:textId="77777777" w:rsidR="009A06EE" w:rsidRPr="00592AF7" w:rsidRDefault="009A06EE" w:rsidP="00592AF7">
    <w:pPr>
      <w:pStyle w:val="a6"/>
      <w:pBdr>
        <w:top w:val="single" w:sz="4" w:space="1" w:color="auto"/>
        <w:between w:val="single" w:sz="4" w:space="0" w:color="auto"/>
      </w:pBdr>
      <w:spacing w:after="60"/>
      <w:jc w:val="center"/>
      <w:rPr>
        <w:rFonts w:ascii="FrankRuehl" w:hAnsi="FrankRuehl" w:cs="FrankRuehl"/>
        <w:color w:val="000000"/>
      </w:rPr>
    </w:pPr>
    <w:r w:rsidRPr="00592A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32B80" w14:textId="77777777" w:rsidR="009A06EE" w:rsidRDefault="009A06EE" w:rsidP="00592AF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39FB">
      <w:rPr>
        <w:rFonts w:ascii="FrankRuehl" w:hAnsi="FrankRuehl" w:cs="FrankRuehl"/>
        <w:noProof/>
        <w:rtl/>
      </w:rPr>
      <w:t>1</w:t>
    </w:r>
    <w:r>
      <w:rPr>
        <w:rFonts w:ascii="FrankRuehl" w:hAnsi="FrankRuehl" w:cs="FrankRuehl"/>
        <w:rtl/>
      </w:rPr>
      <w:fldChar w:fldCharType="end"/>
    </w:r>
  </w:p>
  <w:p w14:paraId="2AB8BE92" w14:textId="77777777" w:rsidR="009A06EE" w:rsidRPr="00592AF7" w:rsidRDefault="009A06EE" w:rsidP="00592AF7">
    <w:pPr>
      <w:pStyle w:val="a6"/>
      <w:pBdr>
        <w:top w:val="single" w:sz="4" w:space="1" w:color="auto"/>
        <w:between w:val="single" w:sz="4" w:space="0" w:color="auto"/>
      </w:pBdr>
      <w:spacing w:after="60"/>
      <w:jc w:val="center"/>
      <w:rPr>
        <w:rFonts w:ascii="FrankRuehl" w:hAnsi="FrankRuehl" w:cs="FrankRuehl"/>
        <w:color w:val="000000"/>
      </w:rPr>
    </w:pPr>
    <w:r w:rsidRPr="00592AF7">
      <w:rPr>
        <w:rFonts w:ascii="FrankRuehl" w:hAnsi="FrankRuehl" w:cs="FrankRuehl"/>
        <w:color w:val="000000"/>
      </w:rPr>
      <w:pict w14:anchorId="5BE90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14B5E" w14:textId="77777777" w:rsidR="009A06EE" w:rsidRDefault="009A06EE">
      <w:r>
        <w:separator/>
      </w:r>
    </w:p>
  </w:footnote>
  <w:footnote w:type="continuationSeparator" w:id="0">
    <w:p w14:paraId="6D1E9D25" w14:textId="77777777" w:rsidR="009A06EE" w:rsidRDefault="009A0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AAC61" w14:textId="77777777" w:rsidR="009A06EE" w:rsidRPr="00592AF7" w:rsidRDefault="009A06EE" w:rsidP="00592AF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3720-03-15</w:t>
    </w:r>
    <w:r>
      <w:rPr>
        <w:color w:val="000000"/>
        <w:sz w:val="22"/>
        <w:szCs w:val="22"/>
        <w:rtl/>
      </w:rPr>
      <w:tab/>
      <w:t xml:space="preserve"> מדינת ישראל נ' משה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717A" w14:textId="77777777" w:rsidR="009A06EE" w:rsidRPr="00592AF7" w:rsidRDefault="009A06EE" w:rsidP="00592AF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3720-03-15</w:t>
    </w:r>
    <w:r>
      <w:rPr>
        <w:color w:val="000000"/>
        <w:sz w:val="22"/>
        <w:szCs w:val="22"/>
        <w:rtl/>
      </w:rPr>
      <w:tab/>
      <w:t xml:space="preserve"> מדינת ישראל נ' משה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1506D3E"/>
    <w:lvl w:ilvl="0">
      <w:start w:val="1"/>
      <w:numFmt w:val="decimal"/>
      <w:pStyle w:val="a"/>
      <w:lvlText w:val="%1."/>
      <w:lvlJc w:val="left"/>
      <w:pPr>
        <w:tabs>
          <w:tab w:val="num" w:pos="360"/>
        </w:tabs>
        <w:ind w:left="360" w:hanging="360"/>
      </w:pPr>
      <w:rPr>
        <w:rFonts w:cs="David"/>
        <w:b/>
        <w:bCs w:val="0"/>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3CAD6AD0"/>
    <w:multiLevelType w:val="hybridMultilevel"/>
    <w:tmpl w:val="54EC3BE0"/>
    <w:lvl w:ilvl="0" w:tplc="6546BE2E">
      <w:start w:val="1"/>
      <w:numFmt w:val="hebrew1"/>
      <w:lvlText w:val="%1."/>
      <w:lvlJc w:val="center"/>
      <w:pPr>
        <w:ind w:left="720" w:hanging="36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50529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7920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406C"/>
    <w:rsid w:val="002F1B48"/>
    <w:rsid w:val="0031406C"/>
    <w:rsid w:val="00337E99"/>
    <w:rsid w:val="005639FB"/>
    <w:rsid w:val="00592AF7"/>
    <w:rsid w:val="00644C01"/>
    <w:rsid w:val="006A27EF"/>
    <w:rsid w:val="009A06EE"/>
    <w:rsid w:val="00A76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CAA0EB"/>
  <w15:chartTrackingRefBased/>
  <w15:docId w15:val="{39C9E760-F9EE-47A8-8A60-1C936184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1406C"/>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31406C"/>
  </w:style>
  <w:style w:type="paragraph" w:styleId="a5">
    <w:name w:val="header"/>
    <w:basedOn w:val="a0"/>
    <w:rsid w:val="0031406C"/>
    <w:pPr>
      <w:tabs>
        <w:tab w:val="center" w:pos="4153"/>
        <w:tab w:val="right" w:pos="8306"/>
      </w:tabs>
    </w:pPr>
  </w:style>
  <w:style w:type="paragraph" w:styleId="a6">
    <w:name w:val="footer"/>
    <w:basedOn w:val="a0"/>
    <w:rsid w:val="0031406C"/>
    <w:pPr>
      <w:tabs>
        <w:tab w:val="center" w:pos="4153"/>
        <w:tab w:val="right" w:pos="8306"/>
      </w:tabs>
    </w:pPr>
  </w:style>
  <w:style w:type="character" w:styleId="a7">
    <w:name w:val="page number"/>
    <w:basedOn w:val="a1"/>
    <w:rsid w:val="0031406C"/>
  </w:style>
  <w:style w:type="character" w:customStyle="1" w:styleId="TimesNewRomanTimesNewRoman">
    <w:name w:val="סגנון (לטיני) Times New Roman (עברית ושפות אחרות) Times New Roman..."/>
    <w:rsid w:val="0031406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0"/>
    <w:rsid w:val="0031406C"/>
    <w:rPr>
      <w:rFonts w:ascii="Times New Roman" w:eastAsia="Times New Roman" w:hAnsi="Times New Roman"/>
      <w:b/>
      <w:bCs/>
      <w:u w:val="single"/>
    </w:rPr>
  </w:style>
  <w:style w:type="paragraph" w:styleId="NormalWeb">
    <w:name w:val="Normal (Web)"/>
    <w:basedOn w:val="a0"/>
    <w:rsid w:val="0031406C"/>
    <w:pPr>
      <w:bidi w:val="0"/>
    </w:pPr>
    <w:rPr>
      <w:rFonts w:ascii="Arial Unicode MS" w:eastAsia="Arial Unicode MS" w:hAnsi="Arial Unicode MS" w:cs="Arial Unicode MS"/>
      <w:lang w:eastAsia="he-IL"/>
    </w:rPr>
  </w:style>
  <w:style w:type="paragraph" w:styleId="a">
    <w:name w:val="List Number"/>
    <w:basedOn w:val="a0"/>
    <w:rsid w:val="0031406C"/>
    <w:pPr>
      <w:numPr>
        <w:numId w:val="1"/>
      </w:numPr>
      <w:spacing w:after="120" w:line="360" w:lineRule="auto"/>
      <w:ind w:right="360"/>
      <w:jc w:val="both"/>
    </w:pPr>
    <w:rPr>
      <w:rFonts w:ascii="Times New Roman" w:eastAsia="Times New Roman" w:hAnsi="Times New Roman"/>
    </w:rPr>
  </w:style>
  <w:style w:type="paragraph" w:customStyle="1" w:styleId="ListParagraph">
    <w:name w:val="List Paragraph"/>
    <w:basedOn w:val="a0"/>
    <w:rsid w:val="0031406C"/>
    <w:pPr>
      <w:ind w:left="720"/>
    </w:pPr>
    <w:rPr>
      <w:rFonts w:ascii="Times New Roman" w:eastAsia="Times New Roman" w:hAnsi="Times New Roman"/>
      <w:noProof/>
    </w:rPr>
  </w:style>
  <w:style w:type="paragraph" w:customStyle="1" w:styleId="1">
    <w:name w:val="פיסקת רשימה1"/>
    <w:basedOn w:val="a0"/>
    <w:rsid w:val="0031406C"/>
    <w:pPr>
      <w:suppressAutoHyphens/>
      <w:bidi w:val="0"/>
      <w:spacing w:after="200" w:line="276" w:lineRule="auto"/>
      <w:ind w:left="720"/>
      <w:jc w:val="right"/>
    </w:pPr>
    <w:rPr>
      <w:rFonts w:ascii="Calibri" w:eastAsia="Times New Roman" w:hAnsi="Calibri" w:cs="Arial"/>
      <w:kern w:val="2"/>
      <w:sz w:val="22"/>
      <w:szCs w:val="22"/>
    </w:rPr>
  </w:style>
  <w:style w:type="character" w:customStyle="1" w:styleId="Ruller4">
    <w:name w:val="Ruller4 תו"/>
    <w:link w:val="Ruller40"/>
    <w:locked/>
    <w:rsid w:val="0031406C"/>
    <w:rPr>
      <w:rFonts w:ascii="Arial TUR" w:hAnsi="Arial TUR"/>
      <w:spacing w:val="10"/>
      <w:sz w:val="28"/>
      <w:szCs w:val="28"/>
      <w:lang w:bidi="he-IL"/>
    </w:rPr>
  </w:style>
  <w:style w:type="paragraph" w:customStyle="1" w:styleId="Ruller40">
    <w:name w:val="Ruller4"/>
    <w:basedOn w:val="a0"/>
    <w:link w:val="Ruller4"/>
    <w:rsid w:val="0031406C"/>
    <w:pPr>
      <w:tabs>
        <w:tab w:val="left" w:pos="800"/>
      </w:tabs>
      <w:overflowPunct w:val="0"/>
      <w:autoSpaceDE w:val="0"/>
      <w:autoSpaceDN w:val="0"/>
      <w:adjustRightInd w:val="0"/>
      <w:spacing w:line="360" w:lineRule="auto"/>
      <w:jc w:val="both"/>
    </w:pPr>
    <w:rPr>
      <w:rFonts w:ascii="Arial TUR" w:eastAsia="Times New Roman" w:hAnsi="Arial TUR" w:cs="Times New Roman"/>
      <w:spacing w:val="10"/>
      <w:sz w:val="28"/>
      <w:szCs w:val="28"/>
    </w:rPr>
  </w:style>
  <w:style w:type="character" w:customStyle="1" w:styleId="normal-h">
    <w:name w:val="normal-h"/>
    <w:rsid w:val="0031406C"/>
    <w:rPr>
      <w:rFonts w:ascii="Times New Roman" w:hAnsi="Times New Roman" w:cs="Times New Roman" w:hint="default"/>
    </w:rPr>
  </w:style>
  <w:style w:type="character" w:styleId="Hyperlink">
    <w:name w:val="Hyperlink"/>
    <w:basedOn w:val="a1"/>
    <w:rsid w:val="00592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6824952"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8448705" TargetMode="External"/><Relationship Id="rId42" Type="http://schemas.openxmlformats.org/officeDocument/2006/relationships/hyperlink" Target="http://www.nevo.co.il/law/71553"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172713" TargetMode="External"/><Relationship Id="rId37" Type="http://schemas.openxmlformats.org/officeDocument/2006/relationships/hyperlink" Target="http://www.nevo.co.il/case/16920034" TargetMode="External"/><Relationship Id="rId40" Type="http://schemas.openxmlformats.org/officeDocument/2006/relationships/hyperlink" Target="http://www.nevo.co.il/law/70301/40.a"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44" Type="http://schemas.openxmlformats.org/officeDocument/2006/relationships/hyperlink" Target="http://www.nevo.co.il/law/4216/36a.b"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850525" TargetMode="External"/><Relationship Id="rId43" Type="http://schemas.openxmlformats.org/officeDocument/2006/relationships/hyperlink" Target="http://www.nevo.co.il/case/6248029" TargetMode="External"/><Relationship Id="rId48" Type="http://schemas.openxmlformats.org/officeDocument/2006/relationships/hyperlink" Target="http://www.nevo.co.il/case/20081336"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8441178" TargetMode="External"/><Relationship Id="rId38" Type="http://schemas.openxmlformats.org/officeDocument/2006/relationships/hyperlink" Target="http://www.nevo.co.il/case/5613228"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557341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045299"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3438</Words>
  <Characters>17192</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20589</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3145855</vt:i4>
      </vt:variant>
      <vt:variant>
        <vt:i4>123</vt:i4>
      </vt:variant>
      <vt:variant>
        <vt:i4>0</vt:i4>
      </vt:variant>
      <vt:variant>
        <vt:i4>5</vt:i4>
      </vt:variant>
      <vt:variant>
        <vt:lpwstr>http://www.nevo.co.il/case/20081336</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5111890</vt:i4>
      </vt:variant>
      <vt:variant>
        <vt:i4>111</vt:i4>
      </vt:variant>
      <vt:variant>
        <vt:i4>0</vt:i4>
      </vt:variant>
      <vt:variant>
        <vt:i4>5</vt:i4>
      </vt:variant>
      <vt:variant>
        <vt:lpwstr>http://www.nevo.co.il/law/4216/36a.b</vt:lpwstr>
      </vt:variant>
      <vt:variant>
        <vt:lpwstr/>
      </vt:variant>
      <vt:variant>
        <vt:i4>3866748</vt:i4>
      </vt:variant>
      <vt:variant>
        <vt:i4>108</vt:i4>
      </vt:variant>
      <vt:variant>
        <vt:i4>0</vt:i4>
      </vt:variant>
      <vt:variant>
        <vt:i4>5</vt:i4>
      </vt:variant>
      <vt:variant>
        <vt:lpwstr>http://www.nevo.co.il/case/6248029</vt:lpwstr>
      </vt:variant>
      <vt:variant>
        <vt:lpwstr/>
      </vt:variant>
      <vt:variant>
        <vt:i4>8257634</vt:i4>
      </vt:variant>
      <vt:variant>
        <vt:i4>105</vt:i4>
      </vt:variant>
      <vt:variant>
        <vt:i4>0</vt:i4>
      </vt:variant>
      <vt:variant>
        <vt:i4>5</vt:i4>
      </vt:variant>
      <vt:variant>
        <vt:lpwstr>http://www.nevo.co.il/law/71553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262223</vt:i4>
      </vt:variant>
      <vt:variant>
        <vt:i4>99</vt:i4>
      </vt:variant>
      <vt:variant>
        <vt:i4>0</vt:i4>
      </vt:variant>
      <vt:variant>
        <vt:i4>5</vt:i4>
      </vt:variant>
      <vt:variant>
        <vt:lpwstr>http://www.nevo.co.il/law/70301/40.a</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4063347</vt:i4>
      </vt:variant>
      <vt:variant>
        <vt:i4>93</vt:i4>
      </vt:variant>
      <vt:variant>
        <vt:i4>0</vt:i4>
      </vt:variant>
      <vt:variant>
        <vt:i4>5</vt:i4>
      </vt:variant>
      <vt:variant>
        <vt:lpwstr>http://www.nevo.co.il/case/5613228</vt:lpwstr>
      </vt:variant>
      <vt:variant>
        <vt:lpwstr/>
      </vt:variant>
      <vt:variant>
        <vt:i4>3866736</vt:i4>
      </vt:variant>
      <vt:variant>
        <vt:i4>90</vt:i4>
      </vt:variant>
      <vt:variant>
        <vt:i4>0</vt:i4>
      </vt:variant>
      <vt:variant>
        <vt:i4>5</vt:i4>
      </vt:variant>
      <vt:variant>
        <vt:lpwstr>http://www.nevo.co.il/case/16920034</vt:lpwstr>
      </vt:variant>
      <vt:variant>
        <vt:lpwstr/>
      </vt:variant>
      <vt:variant>
        <vt:i4>3997813</vt:i4>
      </vt:variant>
      <vt:variant>
        <vt:i4>87</vt:i4>
      </vt:variant>
      <vt:variant>
        <vt:i4>0</vt:i4>
      </vt:variant>
      <vt:variant>
        <vt:i4>5</vt:i4>
      </vt:variant>
      <vt:variant>
        <vt:lpwstr>http://www.nevo.co.il/case/17045299</vt:lpwstr>
      </vt:variant>
      <vt:variant>
        <vt:lpwstr/>
      </vt:variant>
      <vt:variant>
        <vt:i4>3342462</vt:i4>
      </vt:variant>
      <vt:variant>
        <vt:i4>84</vt:i4>
      </vt:variant>
      <vt:variant>
        <vt:i4>0</vt:i4>
      </vt:variant>
      <vt:variant>
        <vt:i4>5</vt:i4>
      </vt:variant>
      <vt:variant>
        <vt:lpwstr>http://www.nevo.co.il/case/6850525</vt:lpwstr>
      </vt:variant>
      <vt:variant>
        <vt:lpwstr/>
      </vt:variant>
      <vt:variant>
        <vt:i4>4063352</vt:i4>
      </vt:variant>
      <vt:variant>
        <vt:i4>81</vt:i4>
      </vt:variant>
      <vt:variant>
        <vt:i4>0</vt:i4>
      </vt:variant>
      <vt:variant>
        <vt:i4>5</vt:i4>
      </vt:variant>
      <vt:variant>
        <vt:lpwstr>http://www.nevo.co.il/case/8448705</vt:lpwstr>
      </vt:variant>
      <vt:variant>
        <vt:lpwstr/>
      </vt:variant>
      <vt:variant>
        <vt:i4>3473526</vt:i4>
      </vt:variant>
      <vt:variant>
        <vt:i4>78</vt:i4>
      </vt:variant>
      <vt:variant>
        <vt:i4>0</vt:i4>
      </vt:variant>
      <vt:variant>
        <vt:i4>5</vt:i4>
      </vt:variant>
      <vt:variant>
        <vt:lpwstr>http://www.nevo.co.il/case/8441178</vt:lpwstr>
      </vt:variant>
      <vt:variant>
        <vt:lpwstr/>
      </vt:variant>
      <vt:variant>
        <vt:i4>3473526</vt:i4>
      </vt:variant>
      <vt:variant>
        <vt:i4>75</vt:i4>
      </vt:variant>
      <vt:variant>
        <vt:i4>0</vt:i4>
      </vt:variant>
      <vt:variant>
        <vt:i4>5</vt:i4>
      </vt:variant>
      <vt:variant>
        <vt:lpwstr>http://www.nevo.co.il/case/6172713</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8257634</vt:i4>
      </vt:variant>
      <vt:variant>
        <vt:i4>30</vt:i4>
      </vt:variant>
      <vt:variant>
        <vt:i4>0</vt:i4>
      </vt:variant>
      <vt:variant>
        <vt:i4>5</vt:i4>
      </vt:variant>
      <vt:variant>
        <vt:lpwstr>http://www.nevo.co.il/law/71553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262223</vt:i4>
      </vt:variant>
      <vt:variant>
        <vt:i4>21</vt:i4>
      </vt:variant>
      <vt:variant>
        <vt:i4>0</vt:i4>
      </vt:variant>
      <vt:variant>
        <vt:i4>5</vt:i4>
      </vt:variant>
      <vt:variant>
        <vt:lpwstr>http://www.nevo.co.il/law/70301/40.a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3720</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משה דוידוב</vt:lpwstr>
  </property>
  <property fmtid="{D5CDD505-2E9C-101B-9397-08002B2CF9AE}" pid="10" name="LAWYER">
    <vt:lpwstr>אוראל רוזנצויג</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20151025</vt:lpwstr>
  </property>
  <property fmtid="{D5CDD505-2E9C-101B-9397-08002B2CF9AE}" pid="14" name="TYPE_N_DATE">
    <vt:lpwstr>38020151025</vt:lpwstr>
  </property>
  <property fmtid="{D5CDD505-2E9C-101B-9397-08002B2CF9AE}" pid="15" name="CASESLISTTMP1">
    <vt:lpwstr>5573417;5698919;6172713;8441178;8448705;6850525;17045299;16920034;5613228;6824952;6248029;20081336</vt:lpwstr>
  </property>
  <property fmtid="{D5CDD505-2E9C-101B-9397-08002B2CF9AE}" pid="16" name="CASENOTES1">
    <vt:lpwstr>ProcID=174&amp;PartA=6373&amp;PartC=06</vt:lpwstr>
  </property>
  <property fmtid="{D5CDD505-2E9C-101B-9397-08002B2CF9AE}" pid="17" name="CASENOTES2">
    <vt:lpwstr>ProcID=133;209&amp;PartA=407&amp;PartC=97</vt:lpwstr>
  </property>
  <property fmtid="{D5CDD505-2E9C-101B-9397-08002B2CF9AE}" pid="18" name="WORDNUMPAGES">
    <vt:lpwstr>11</vt:lpwstr>
  </property>
  <property fmtid="{D5CDD505-2E9C-101B-9397-08002B2CF9AE}" pid="19" name="TYPE_ABS_DATE">
    <vt:lpwstr>380020151025</vt:lpwstr>
  </property>
  <property fmtid="{D5CDD505-2E9C-101B-9397-08002B2CF9AE}" pid="20" name="ISABSTRACT">
    <vt:lpwstr>Y</vt:lpwstr>
  </property>
  <property fmtid="{D5CDD505-2E9C-101B-9397-08002B2CF9AE}" pid="21" name="LAWLISTTMP1">
    <vt:lpwstr>4216/013;019a;007.a;007.c;036a.b</vt:lpwstr>
  </property>
  <property fmtid="{D5CDD505-2E9C-101B-9397-08002B2CF9AE}" pid="22" name="LAWLISTTMP2">
    <vt:lpwstr>70301/40jc;040c.a;040.a</vt:lpwstr>
  </property>
  <property fmtid="{D5CDD505-2E9C-101B-9397-08002B2CF9AE}" pid="23" name="LAWLISTTMP3">
    <vt:lpwstr>71553</vt:lpwstr>
  </property>
</Properties>
</file>