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352C2" w:rsidRPr="00CE25CB" w14:paraId="37DA76A4" w14:textId="77777777">
        <w:trPr>
          <w:trHeight w:hRule="exact" w:val="704"/>
          <w:jc w:val="center"/>
        </w:trPr>
        <w:tc>
          <w:tcPr>
            <w:tcW w:w="8721" w:type="dxa"/>
            <w:gridSpan w:val="2"/>
          </w:tcPr>
          <w:p w14:paraId="7F749DE6" w14:textId="77777777" w:rsidR="001352C2" w:rsidRPr="00CE25CB" w:rsidRDefault="001352C2" w:rsidP="00CE25CB">
            <w:pPr>
              <w:pStyle w:val="a4"/>
              <w:jc w:val="center"/>
              <w:rPr>
                <w:rFonts w:ascii="Tahoma" w:hAnsi="Tahoma" w:cs="Tahoma"/>
                <w:noProof w:val="0"/>
                <w:color w:val="000080"/>
                <w:rtl/>
              </w:rPr>
            </w:pPr>
            <w:bookmarkStart w:id="0" w:name="LastJudge"/>
            <w:r w:rsidRPr="00CE25CB">
              <w:rPr>
                <w:rFonts w:ascii="Tahoma" w:hAnsi="Tahoma" w:cs="Tahoma"/>
                <w:b/>
                <w:bCs/>
                <w:color w:val="000080"/>
                <w:rtl/>
              </w:rPr>
              <w:t>בית משפט השלום בפתח תקווה</w:t>
            </w:r>
          </w:p>
        </w:tc>
      </w:tr>
      <w:tr w:rsidR="001352C2" w:rsidRPr="00CE25CB" w14:paraId="1CB10405" w14:textId="77777777">
        <w:trPr>
          <w:trHeight w:val="337"/>
          <w:jc w:val="center"/>
        </w:trPr>
        <w:tc>
          <w:tcPr>
            <w:tcW w:w="5047" w:type="dxa"/>
          </w:tcPr>
          <w:p w14:paraId="5306559B" w14:textId="77777777" w:rsidR="001352C2" w:rsidRPr="00CE25CB" w:rsidRDefault="001352C2" w:rsidP="00CE25CB">
            <w:pPr>
              <w:rPr>
                <w:b/>
                <w:bCs/>
                <w:noProof w:val="0"/>
                <w:sz w:val="26"/>
                <w:szCs w:val="26"/>
                <w:rtl/>
              </w:rPr>
            </w:pPr>
          </w:p>
        </w:tc>
        <w:tc>
          <w:tcPr>
            <w:tcW w:w="3674" w:type="dxa"/>
          </w:tcPr>
          <w:p w14:paraId="350F07F5" w14:textId="77777777" w:rsidR="001352C2" w:rsidRPr="00CE25CB" w:rsidRDefault="001352C2" w:rsidP="00CE25CB">
            <w:pPr>
              <w:pStyle w:val="a4"/>
              <w:jc w:val="right"/>
              <w:rPr>
                <w:b/>
                <w:bCs/>
                <w:noProof w:val="0"/>
                <w:sz w:val="26"/>
                <w:szCs w:val="26"/>
                <w:rtl/>
              </w:rPr>
            </w:pPr>
          </w:p>
        </w:tc>
      </w:tr>
      <w:tr w:rsidR="001352C2" w:rsidRPr="00CE25CB" w14:paraId="538E3FB9" w14:textId="77777777">
        <w:trPr>
          <w:trHeight w:val="337"/>
          <w:jc w:val="center"/>
        </w:trPr>
        <w:tc>
          <w:tcPr>
            <w:tcW w:w="8721" w:type="dxa"/>
            <w:gridSpan w:val="2"/>
          </w:tcPr>
          <w:p w14:paraId="4DF3E844" w14:textId="77777777" w:rsidR="001352C2" w:rsidRPr="00CE25CB" w:rsidRDefault="001352C2" w:rsidP="00CE25CB">
            <w:pPr>
              <w:rPr>
                <w:b/>
                <w:bCs/>
                <w:noProof w:val="0"/>
                <w:sz w:val="26"/>
                <w:szCs w:val="26"/>
                <w:rtl/>
              </w:rPr>
            </w:pPr>
            <w:r w:rsidRPr="00CE25CB">
              <w:rPr>
                <w:b/>
                <w:bCs/>
                <w:noProof w:val="0"/>
                <w:sz w:val="26"/>
                <w:szCs w:val="26"/>
                <w:rtl/>
              </w:rPr>
              <w:t>ת"פ 55163-03-15 מדינת ישראל נ' אלקנה</w:t>
            </w:r>
          </w:p>
          <w:p w14:paraId="2122583D" w14:textId="77777777" w:rsidR="001352C2" w:rsidRPr="00CE25CB" w:rsidRDefault="001352C2" w:rsidP="00CE25CB">
            <w:pPr>
              <w:rPr>
                <w:b/>
                <w:bCs/>
                <w:noProof w:val="0"/>
                <w:sz w:val="2"/>
                <w:szCs w:val="2"/>
                <w:rtl/>
              </w:rPr>
            </w:pPr>
          </w:p>
          <w:p w14:paraId="3D9FE657" w14:textId="77777777" w:rsidR="001352C2" w:rsidRPr="00CE25CB" w:rsidRDefault="001352C2" w:rsidP="00CE25CB">
            <w:pPr>
              <w:rPr>
                <w:sz w:val="20"/>
                <w:szCs w:val="20"/>
                <w:rtl/>
              </w:rPr>
            </w:pPr>
            <w:r w:rsidRPr="00CE25CB">
              <w:rPr>
                <w:rFonts w:hint="cs"/>
                <w:rtl/>
              </w:rPr>
              <w:t xml:space="preserve">                           </w:t>
            </w:r>
            <w:r w:rsidRPr="00CE25CB">
              <w:rPr>
                <w:rFonts w:hint="cs"/>
                <w:sz w:val="20"/>
                <w:szCs w:val="20"/>
                <w:rtl/>
              </w:rPr>
              <w:t xml:space="preserve">                                       </w:t>
            </w:r>
          </w:p>
          <w:p w14:paraId="3A546AB4" w14:textId="77777777" w:rsidR="001352C2" w:rsidRPr="00CE25CB" w:rsidRDefault="001352C2" w:rsidP="00CE25CB">
            <w:pPr>
              <w:rPr>
                <w:sz w:val="20"/>
                <w:szCs w:val="20"/>
                <w:rtl/>
              </w:rPr>
            </w:pPr>
            <w:r w:rsidRPr="00CE25CB">
              <w:rPr>
                <w:rFonts w:hint="cs"/>
                <w:sz w:val="20"/>
                <w:szCs w:val="20"/>
                <w:rtl/>
              </w:rPr>
              <w:t xml:space="preserve">תיק חיצוני: </w:t>
            </w:r>
            <w:r w:rsidRPr="00CE25CB">
              <w:rPr>
                <w:rFonts w:hint="eastAsia"/>
                <w:sz w:val="20"/>
                <w:szCs w:val="20"/>
              </w:rPr>
              <w:t>103315/2015</w:t>
            </w:r>
            <w:r w:rsidRPr="00CE25CB">
              <w:rPr>
                <w:rFonts w:hint="cs"/>
                <w:sz w:val="20"/>
                <w:szCs w:val="20"/>
                <w:rtl/>
              </w:rPr>
              <w:t xml:space="preserve"> </w:t>
            </w:r>
            <w:r w:rsidRPr="00CE25CB">
              <w:rPr>
                <w:sz w:val="20"/>
                <w:szCs w:val="20"/>
                <w:rtl/>
              </w:rPr>
              <w:t xml:space="preserve">  </w:t>
            </w:r>
          </w:p>
        </w:tc>
      </w:tr>
    </w:tbl>
    <w:p w14:paraId="132F8F3A" w14:textId="77777777" w:rsidR="001352C2" w:rsidRPr="00CE25CB" w:rsidRDefault="001352C2" w:rsidP="001352C2">
      <w:pPr>
        <w:pStyle w:val="a4"/>
        <w:rPr>
          <w:noProof w:val="0"/>
          <w:rtl/>
        </w:rPr>
      </w:pPr>
      <w:r w:rsidRPr="00CE25CB">
        <w:rPr>
          <w:noProof w:val="0"/>
          <w:rtl/>
        </w:rPr>
        <w:t xml:space="preserve"> </w:t>
      </w:r>
    </w:p>
    <w:p w14:paraId="22965094" w14:textId="77777777" w:rsidR="001352C2" w:rsidRPr="00CE25CB" w:rsidRDefault="001352C2" w:rsidP="001352C2">
      <w:pPr>
        <w:rPr>
          <w:rtl/>
        </w:rPr>
      </w:pPr>
      <w:r w:rsidRPr="00CE25CB">
        <w:rPr>
          <w:rtl/>
        </w:rPr>
        <w:t xml:space="preserve"> </w:t>
      </w:r>
    </w:p>
    <w:tbl>
      <w:tblPr>
        <w:bidiVisual/>
        <w:tblW w:w="8820" w:type="dxa"/>
        <w:jc w:val="center"/>
        <w:tblLook w:val="01E0" w:firstRow="1" w:lastRow="1" w:firstColumn="1" w:lastColumn="1" w:noHBand="0" w:noVBand="0"/>
      </w:tblPr>
      <w:tblGrid>
        <w:gridCol w:w="743"/>
        <w:gridCol w:w="2506"/>
        <w:gridCol w:w="5571"/>
      </w:tblGrid>
      <w:tr w:rsidR="001352C2" w:rsidRPr="00CE25CB" w14:paraId="495CDEC1" w14:textId="77777777">
        <w:trPr>
          <w:jc w:val="center"/>
        </w:trPr>
        <w:tc>
          <w:tcPr>
            <w:tcW w:w="743" w:type="dxa"/>
            <w:shd w:val="clear" w:color="auto" w:fill="auto"/>
          </w:tcPr>
          <w:p w14:paraId="7B9E138E" w14:textId="77777777" w:rsidR="001352C2" w:rsidRPr="00CE25CB" w:rsidRDefault="001352C2" w:rsidP="00CE25CB">
            <w:pPr>
              <w:jc w:val="both"/>
              <w:rPr>
                <w:rFonts w:ascii="Arial" w:hAnsi="Arial"/>
                <w:b/>
                <w:bCs/>
                <w:rtl/>
              </w:rPr>
            </w:pPr>
            <w:r w:rsidRPr="00CE25CB">
              <w:rPr>
                <w:rFonts w:ascii="Arial" w:hAnsi="Arial" w:hint="cs"/>
                <w:b/>
                <w:bCs/>
                <w:rtl/>
              </w:rPr>
              <w:t>ב</w:t>
            </w:r>
            <w:r w:rsidRPr="00CE25CB">
              <w:rPr>
                <w:rFonts w:ascii="Arial" w:hAnsi="Arial"/>
                <w:b/>
                <w:bCs/>
                <w:rtl/>
              </w:rPr>
              <w:t xml:space="preserve">פני </w:t>
            </w:r>
          </w:p>
        </w:tc>
        <w:tc>
          <w:tcPr>
            <w:tcW w:w="8077" w:type="dxa"/>
            <w:gridSpan w:val="2"/>
            <w:shd w:val="clear" w:color="auto" w:fill="auto"/>
          </w:tcPr>
          <w:p w14:paraId="7A612DF6" w14:textId="77777777" w:rsidR="001352C2" w:rsidRPr="00CE25CB" w:rsidRDefault="001352C2" w:rsidP="00CE25CB">
            <w:pPr>
              <w:rPr>
                <w:rFonts w:ascii="Arial" w:hAnsi="Arial"/>
                <w:b/>
                <w:bCs/>
                <w:rtl/>
              </w:rPr>
            </w:pPr>
            <w:r w:rsidRPr="00CE25CB">
              <w:rPr>
                <w:rFonts w:ascii="Arial" w:hAnsi="Arial" w:hint="cs"/>
                <w:b/>
                <w:bCs/>
                <w:rtl/>
              </w:rPr>
              <w:t>כבוד ה</w:t>
            </w:r>
            <w:r w:rsidRPr="00CE25CB">
              <w:rPr>
                <w:rFonts w:hint="cs"/>
                <w:rtl/>
              </w:rPr>
              <w:t>שופטת</w:t>
            </w:r>
            <w:r w:rsidRPr="00CE25CB">
              <w:rPr>
                <w:rFonts w:ascii="Arial" w:hAnsi="Arial" w:hint="cs"/>
                <w:b/>
                <w:bCs/>
                <w:rtl/>
              </w:rPr>
              <w:t xml:space="preserve">  </w:t>
            </w:r>
            <w:r w:rsidRPr="00CE25CB">
              <w:rPr>
                <w:rFonts w:hint="cs"/>
                <w:rtl/>
              </w:rPr>
              <w:t>אליאנא דניאלי</w:t>
            </w:r>
          </w:p>
          <w:p w14:paraId="7D2D2E79" w14:textId="77777777" w:rsidR="001352C2" w:rsidRPr="00CE25CB" w:rsidRDefault="001352C2" w:rsidP="00CE25CB">
            <w:pPr>
              <w:rPr>
                <w:rFonts w:ascii="Arial" w:hAnsi="Arial" w:cs="FrankRuehl"/>
                <w:sz w:val="28"/>
                <w:szCs w:val="28"/>
                <w:highlight w:val="yellow"/>
              </w:rPr>
            </w:pPr>
          </w:p>
        </w:tc>
      </w:tr>
      <w:tr w:rsidR="001352C2" w:rsidRPr="00CE25CB" w14:paraId="35B6E60B" w14:textId="77777777">
        <w:trPr>
          <w:jc w:val="center"/>
        </w:trPr>
        <w:tc>
          <w:tcPr>
            <w:tcW w:w="3249" w:type="dxa"/>
            <w:gridSpan w:val="2"/>
            <w:shd w:val="clear" w:color="auto" w:fill="auto"/>
          </w:tcPr>
          <w:p w14:paraId="0ADA6344" w14:textId="77777777" w:rsidR="001352C2" w:rsidRPr="00CE25CB" w:rsidRDefault="001352C2" w:rsidP="00CE25CB">
            <w:pPr>
              <w:rPr>
                <w:rFonts w:ascii="Arial" w:hAnsi="Arial"/>
                <w:b/>
                <w:bCs/>
                <w:noProof w:val="0"/>
                <w:sz w:val="26"/>
                <w:szCs w:val="26"/>
              </w:rPr>
            </w:pPr>
            <w:bookmarkStart w:id="1" w:name="FirstAppellant"/>
          </w:p>
          <w:p w14:paraId="771ED050" w14:textId="77777777" w:rsidR="001352C2" w:rsidRPr="00CE25CB" w:rsidRDefault="001352C2" w:rsidP="00CE25CB">
            <w:pPr>
              <w:rPr>
                <w:rFonts w:ascii="Arial" w:hAnsi="Arial"/>
                <w:b/>
                <w:bCs/>
                <w:noProof w:val="0"/>
                <w:sz w:val="26"/>
                <w:szCs w:val="26"/>
                <w:rtl/>
              </w:rPr>
            </w:pPr>
            <w:r w:rsidRPr="00CE25CB">
              <w:rPr>
                <w:rFonts w:hint="cs"/>
                <w:rtl/>
              </w:rPr>
              <w:t>המאשימה</w:t>
            </w:r>
          </w:p>
        </w:tc>
        <w:tc>
          <w:tcPr>
            <w:tcW w:w="5571" w:type="dxa"/>
            <w:shd w:val="clear" w:color="auto" w:fill="auto"/>
          </w:tcPr>
          <w:p w14:paraId="742A7822" w14:textId="77777777" w:rsidR="001352C2" w:rsidRPr="00CE25CB" w:rsidRDefault="001352C2" w:rsidP="00CE25CB">
            <w:pPr>
              <w:rPr>
                <w:rFonts w:ascii="Arial" w:hAnsi="Arial"/>
                <w:b/>
                <w:bCs/>
                <w:noProof w:val="0"/>
                <w:sz w:val="26"/>
                <w:szCs w:val="26"/>
                <w:rtl/>
              </w:rPr>
            </w:pPr>
          </w:p>
          <w:p w14:paraId="1C4F9FEC" w14:textId="77777777" w:rsidR="001352C2" w:rsidRPr="00CE25CB" w:rsidRDefault="001352C2" w:rsidP="00CE25CB">
            <w:pPr>
              <w:rPr>
                <w:b/>
                <w:bCs/>
                <w:noProof w:val="0"/>
                <w:sz w:val="26"/>
                <w:szCs w:val="26"/>
              </w:rPr>
            </w:pPr>
            <w:r w:rsidRPr="00CE25CB">
              <w:rPr>
                <w:rFonts w:hint="cs"/>
                <w:rtl/>
              </w:rPr>
              <w:t>מדינת ישראל</w:t>
            </w:r>
          </w:p>
        </w:tc>
      </w:tr>
      <w:bookmarkEnd w:id="1"/>
      <w:tr w:rsidR="001352C2" w:rsidRPr="00CE25CB" w14:paraId="6541829A" w14:textId="77777777">
        <w:trPr>
          <w:jc w:val="center"/>
        </w:trPr>
        <w:tc>
          <w:tcPr>
            <w:tcW w:w="8820" w:type="dxa"/>
            <w:gridSpan w:val="3"/>
            <w:shd w:val="clear" w:color="auto" w:fill="auto"/>
          </w:tcPr>
          <w:p w14:paraId="44A40E82" w14:textId="77777777" w:rsidR="001352C2" w:rsidRPr="00CE25CB" w:rsidRDefault="001352C2" w:rsidP="00CE25CB">
            <w:pPr>
              <w:rPr>
                <w:rFonts w:ascii="Arial" w:hAnsi="Arial"/>
                <w:b/>
                <w:bCs/>
                <w:noProof w:val="0"/>
                <w:sz w:val="26"/>
                <w:szCs w:val="26"/>
                <w:rtl/>
              </w:rPr>
            </w:pPr>
          </w:p>
          <w:p w14:paraId="64CD7B40" w14:textId="77777777" w:rsidR="001352C2" w:rsidRPr="00CE25CB" w:rsidRDefault="001352C2" w:rsidP="00CE25CB">
            <w:pPr>
              <w:jc w:val="center"/>
              <w:rPr>
                <w:rFonts w:ascii="Arial" w:hAnsi="Arial"/>
                <w:b/>
                <w:bCs/>
                <w:noProof w:val="0"/>
                <w:sz w:val="26"/>
                <w:szCs w:val="26"/>
                <w:rtl/>
              </w:rPr>
            </w:pPr>
            <w:r w:rsidRPr="00CE25CB">
              <w:rPr>
                <w:rFonts w:ascii="Arial" w:hAnsi="Arial"/>
                <w:b/>
                <w:bCs/>
                <w:noProof w:val="0"/>
                <w:sz w:val="26"/>
                <w:szCs w:val="26"/>
                <w:rtl/>
              </w:rPr>
              <w:t>נגד</w:t>
            </w:r>
          </w:p>
          <w:p w14:paraId="39FE20EA" w14:textId="77777777" w:rsidR="001352C2" w:rsidRPr="00CE25CB" w:rsidRDefault="001352C2" w:rsidP="00CE25CB">
            <w:pPr>
              <w:rPr>
                <w:rFonts w:ascii="Arial" w:hAnsi="Arial"/>
                <w:b/>
                <w:bCs/>
                <w:noProof w:val="0"/>
                <w:sz w:val="26"/>
                <w:szCs w:val="26"/>
              </w:rPr>
            </w:pPr>
          </w:p>
        </w:tc>
      </w:tr>
      <w:tr w:rsidR="001352C2" w:rsidRPr="00CE25CB" w14:paraId="198E1C31" w14:textId="77777777">
        <w:trPr>
          <w:jc w:val="center"/>
        </w:trPr>
        <w:tc>
          <w:tcPr>
            <w:tcW w:w="3249" w:type="dxa"/>
            <w:gridSpan w:val="2"/>
            <w:shd w:val="clear" w:color="auto" w:fill="auto"/>
          </w:tcPr>
          <w:p w14:paraId="1D3C46BB" w14:textId="77777777" w:rsidR="001352C2" w:rsidRPr="00CE25CB" w:rsidRDefault="001352C2" w:rsidP="00CE25CB">
            <w:pPr>
              <w:rPr>
                <w:rFonts w:ascii="Arial" w:hAnsi="Arial"/>
                <w:b/>
                <w:bCs/>
                <w:noProof w:val="0"/>
                <w:sz w:val="26"/>
                <w:szCs w:val="26"/>
                <w:rtl/>
              </w:rPr>
            </w:pPr>
          </w:p>
          <w:p w14:paraId="2C724648" w14:textId="77777777" w:rsidR="001352C2" w:rsidRPr="00CE25CB" w:rsidRDefault="001352C2" w:rsidP="00CE25CB">
            <w:pPr>
              <w:rPr>
                <w:rFonts w:ascii="Arial" w:hAnsi="Arial"/>
                <w:b/>
                <w:bCs/>
                <w:noProof w:val="0"/>
                <w:sz w:val="26"/>
                <w:szCs w:val="26"/>
              </w:rPr>
            </w:pPr>
            <w:r w:rsidRPr="00CE25CB">
              <w:rPr>
                <w:rFonts w:hint="cs"/>
                <w:rtl/>
              </w:rPr>
              <w:t>הנאשם</w:t>
            </w:r>
          </w:p>
        </w:tc>
        <w:tc>
          <w:tcPr>
            <w:tcW w:w="5571" w:type="dxa"/>
            <w:shd w:val="clear" w:color="auto" w:fill="auto"/>
          </w:tcPr>
          <w:p w14:paraId="36FF0389" w14:textId="77777777" w:rsidR="001352C2" w:rsidRPr="00CE25CB" w:rsidRDefault="001352C2" w:rsidP="00CE25CB">
            <w:pPr>
              <w:rPr>
                <w:rFonts w:ascii="Arial" w:hAnsi="Arial"/>
                <w:b/>
                <w:bCs/>
                <w:noProof w:val="0"/>
                <w:sz w:val="26"/>
                <w:szCs w:val="26"/>
                <w:rtl/>
              </w:rPr>
            </w:pPr>
          </w:p>
          <w:p w14:paraId="70376E44" w14:textId="77777777" w:rsidR="001352C2" w:rsidRPr="00CE25CB" w:rsidRDefault="001352C2" w:rsidP="00CE25CB">
            <w:pPr>
              <w:rPr>
                <w:b/>
                <w:bCs/>
                <w:noProof w:val="0"/>
                <w:sz w:val="26"/>
                <w:szCs w:val="26"/>
                <w:rtl/>
              </w:rPr>
            </w:pPr>
            <w:r w:rsidRPr="00CE25CB">
              <w:rPr>
                <w:rFonts w:hint="cs"/>
                <w:rtl/>
              </w:rPr>
              <w:t>אודי אלקנה</w:t>
            </w:r>
          </w:p>
        </w:tc>
      </w:tr>
    </w:tbl>
    <w:p w14:paraId="7BDC5672" w14:textId="77777777" w:rsidR="00212346" w:rsidRDefault="00212346" w:rsidP="00CE25CB">
      <w:pPr>
        <w:spacing w:line="360" w:lineRule="auto"/>
        <w:jc w:val="center"/>
        <w:rPr>
          <w:rFonts w:ascii="Arial" w:hAnsi="Arial"/>
          <w:sz w:val="28"/>
          <w:szCs w:val="28"/>
          <w:rtl/>
        </w:rPr>
      </w:pPr>
      <w:bookmarkStart w:id="2" w:name="NGCSBookmark"/>
      <w:bookmarkStart w:id="3" w:name="PsakDin"/>
      <w:bookmarkStart w:id="4" w:name="LawTable"/>
      <w:bookmarkEnd w:id="0"/>
      <w:bookmarkEnd w:id="2"/>
      <w:bookmarkEnd w:id="4"/>
    </w:p>
    <w:p w14:paraId="4EED3AAA" w14:textId="77777777" w:rsidR="00212346" w:rsidRPr="00212346" w:rsidRDefault="00212346" w:rsidP="00212346">
      <w:pPr>
        <w:spacing w:after="120" w:line="240" w:lineRule="exact"/>
        <w:ind w:left="283" w:hanging="283"/>
        <w:jc w:val="both"/>
        <w:rPr>
          <w:rFonts w:ascii="FrankRuehl" w:hAnsi="FrankRuehl" w:cs="FrankRuehl"/>
          <w:rtl/>
        </w:rPr>
      </w:pPr>
    </w:p>
    <w:p w14:paraId="7DF07148" w14:textId="77777777" w:rsidR="00212346" w:rsidRPr="00212346" w:rsidRDefault="00212346" w:rsidP="00212346">
      <w:pPr>
        <w:spacing w:after="120" w:line="240" w:lineRule="exact"/>
        <w:ind w:left="283" w:hanging="283"/>
        <w:jc w:val="both"/>
        <w:rPr>
          <w:rFonts w:ascii="FrankRuehl" w:hAnsi="FrankRuehl" w:cs="FrankRuehl"/>
          <w:rtl/>
        </w:rPr>
      </w:pPr>
      <w:r w:rsidRPr="00212346">
        <w:rPr>
          <w:rFonts w:ascii="FrankRuehl" w:hAnsi="FrankRuehl" w:cs="FrankRuehl"/>
          <w:rtl/>
        </w:rPr>
        <w:t xml:space="preserve">חקיקה שאוזכרה: </w:t>
      </w:r>
    </w:p>
    <w:p w14:paraId="0C36DC15" w14:textId="77777777" w:rsidR="00212346" w:rsidRPr="00212346" w:rsidRDefault="00212346" w:rsidP="00212346">
      <w:pPr>
        <w:spacing w:after="120" w:line="240" w:lineRule="exact"/>
        <w:ind w:left="283" w:hanging="283"/>
        <w:jc w:val="both"/>
        <w:rPr>
          <w:rFonts w:ascii="FrankRuehl" w:hAnsi="FrankRuehl" w:cs="FrankRuehl"/>
          <w:rtl/>
        </w:rPr>
      </w:pPr>
      <w:hyperlink r:id="rId6" w:history="1">
        <w:r w:rsidRPr="00212346">
          <w:rPr>
            <w:rFonts w:ascii="FrankRuehl" w:hAnsi="FrankRuehl" w:cs="FrankRuehl"/>
            <w:color w:val="0000FF"/>
            <w:u w:val="single"/>
            <w:rtl/>
          </w:rPr>
          <w:t>פקודת הסמים המסוכנים [נוסח חדש], תשל"ג-1973</w:t>
        </w:r>
      </w:hyperlink>
      <w:r w:rsidRPr="00212346">
        <w:rPr>
          <w:rFonts w:ascii="FrankRuehl" w:hAnsi="FrankRuehl" w:cs="FrankRuehl"/>
          <w:rtl/>
        </w:rPr>
        <w:t xml:space="preserve">: סע'  </w:t>
      </w:r>
      <w:hyperlink r:id="rId7" w:history="1">
        <w:r w:rsidRPr="00212346">
          <w:rPr>
            <w:rFonts w:ascii="FrankRuehl" w:hAnsi="FrankRuehl" w:cs="FrankRuehl"/>
            <w:color w:val="0000FF"/>
            <w:u w:val="single"/>
            <w:rtl/>
          </w:rPr>
          <w:t>7 (א)</w:t>
        </w:r>
      </w:hyperlink>
      <w:r w:rsidRPr="00212346">
        <w:rPr>
          <w:rFonts w:ascii="FrankRuehl" w:hAnsi="FrankRuehl" w:cs="FrankRuehl"/>
          <w:rtl/>
        </w:rPr>
        <w:t xml:space="preserve">, </w:t>
      </w:r>
      <w:hyperlink r:id="rId8" w:history="1">
        <w:r w:rsidRPr="00212346">
          <w:rPr>
            <w:rFonts w:ascii="FrankRuehl" w:hAnsi="FrankRuehl" w:cs="FrankRuehl"/>
            <w:color w:val="0000FF"/>
            <w:u w:val="single"/>
            <w:rtl/>
          </w:rPr>
          <w:t>7 (ג)</w:t>
        </w:r>
      </w:hyperlink>
    </w:p>
    <w:p w14:paraId="2FA5CE19" w14:textId="77777777" w:rsidR="00212346" w:rsidRPr="00212346" w:rsidRDefault="00212346" w:rsidP="00212346">
      <w:pPr>
        <w:spacing w:after="120" w:line="240" w:lineRule="exact"/>
        <w:ind w:left="283" w:hanging="283"/>
        <w:jc w:val="both"/>
        <w:rPr>
          <w:rFonts w:ascii="FrankRuehl" w:hAnsi="FrankRuehl" w:cs="FrankRuehl"/>
          <w:rtl/>
        </w:rPr>
      </w:pPr>
      <w:hyperlink r:id="rId9" w:history="1">
        <w:r w:rsidRPr="00212346">
          <w:rPr>
            <w:rFonts w:ascii="FrankRuehl" w:hAnsi="FrankRuehl" w:cs="FrankRuehl"/>
            <w:color w:val="0000FF"/>
            <w:u w:val="single"/>
            <w:rtl/>
          </w:rPr>
          <w:t>חוק העונשין, תשל"ז-1977</w:t>
        </w:r>
      </w:hyperlink>
      <w:r w:rsidRPr="00212346">
        <w:rPr>
          <w:rFonts w:ascii="FrankRuehl" w:hAnsi="FrankRuehl" w:cs="FrankRuehl"/>
          <w:rtl/>
        </w:rPr>
        <w:t xml:space="preserve">: סע'  </w:t>
      </w:r>
      <w:hyperlink r:id="rId10" w:history="1">
        <w:r w:rsidRPr="00212346">
          <w:rPr>
            <w:rFonts w:ascii="FrankRuehl" w:hAnsi="FrankRuehl" w:cs="FrankRuehl"/>
            <w:color w:val="0000FF"/>
            <w:u w:val="single"/>
            <w:rtl/>
          </w:rPr>
          <w:t>144 (א)</w:t>
        </w:r>
      </w:hyperlink>
    </w:p>
    <w:p w14:paraId="06E05EF7" w14:textId="77777777" w:rsidR="00212346" w:rsidRPr="00212346" w:rsidRDefault="00212346" w:rsidP="00212346">
      <w:pPr>
        <w:spacing w:after="120" w:line="240" w:lineRule="exact"/>
        <w:ind w:left="283" w:hanging="283"/>
        <w:jc w:val="both"/>
        <w:rPr>
          <w:rFonts w:ascii="FrankRuehl" w:hAnsi="FrankRuehl" w:cs="FrankRuehl"/>
          <w:rtl/>
        </w:rPr>
      </w:pPr>
      <w:hyperlink r:id="rId11" w:history="1">
        <w:r w:rsidRPr="00212346">
          <w:rPr>
            <w:rFonts w:ascii="FrankRuehl" w:hAnsi="FrankRuehl" w:cs="FrankRuehl"/>
            <w:color w:val="0000FF"/>
            <w:u w:val="single"/>
            <w:rtl/>
          </w:rPr>
          <w:t>חוק המאבק בתופעת השימוש בחומרים מסכנים, תשע"ג-2013</w:t>
        </w:r>
      </w:hyperlink>
    </w:p>
    <w:p w14:paraId="68A7E0F3" w14:textId="77777777" w:rsidR="00212346" w:rsidRPr="00212346" w:rsidRDefault="00212346" w:rsidP="00212346">
      <w:pPr>
        <w:spacing w:after="120" w:line="240" w:lineRule="exact"/>
        <w:ind w:left="283" w:hanging="283"/>
        <w:jc w:val="both"/>
        <w:rPr>
          <w:rFonts w:ascii="FrankRuehl" w:hAnsi="FrankRuehl" w:cs="FrankRuehl"/>
          <w:rtl/>
        </w:rPr>
      </w:pPr>
    </w:p>
    <w:p w14:paraId="0B6DC577" w14:textId="77777777" w:rsidR="00212346" w:rsidRPr="00212346" w:rsidRDefault="00212346" w:rsidP="00CE25CB">
      <w:pPr>
        <w:spacing w:line="360" w:lineRule="auto"/>
        <w:jc w:val="center"/>
        <w:rPr>
          <w:rFonts w:ascii="Arial" w:hAnsi="Arial"/>
          <w:sz w:val="28"/>
          <w:szCs w:val="28"/>
          <w:rtl/>
        </w:rPr>
      </w:pPr>
      <w:bookmarkStart w:id="5" w:name="LawTable_End"/>
      <w:bookmarkEnd w:id="5"/>
    </w:p>
    <w:p w14:paraId="0D3D0B06" w14:textId="77777777" w:rsidR="00CE25CB" w:rsidRPr="00CE25CB" w:rsidRDefault="00CE25CB" w:rsidP="00CE25CB">
      <w:pPr>
        <w:spacing w:line="360" w:lineRule="auto"/>
        <w:jc w:val="center"/>
        <w:rPr>
          <w:rFonts w:ascii="Arial" w:hAnsi="Arial"/>
          <w:b/>
          <w:bCs/>
          <w:sz w:val="28"/>
          <w:szCs w:val="28"/>
          <w:u w:val="single"/>
          <w:rtl/>
        </w:rPr>
      </w:pPr>
      <w:r w:rsidRPr="00CE25CB">
        <w:rPr>
          <w:rFonts w:ascii="Arial" w:hAnsi="Arial"/>
          <w:b/>
          <w:bCs/>
          <w:sz w:val="28"/>
          <w:szCs w:val="28"/>
          <w:u w:val="single"/>
          <w:rtl/>
        </w:rPr>
        <w:t>גזר דין</w:t>
      </w:r>
    </w:p>
    <w:bookmarkEnd w:id="3"/>
    <w:p w14:paraId="79DC9FC5" w14:textId="77777777" w:rsidR="001352C2" w:rsidRDefault="001352C2" w:rsidP="001352C2">
      <w:pPr>
        <w:spacing w:line="360" w:lineRule="auto"/>
        <w:jc w:val="both"/>
        <w:rPr>
          <w:rFonts w:ascii="Arial" w:hAnsi="Arial"/>
          <w:rtl/>
        </w:rPr>
      </w:pPr>
    </w:p>
    <w:p w14:paraId="1FEA4A6B" w14:textId="77777777" w:rsidR="001352C2" w:rsidRDefault="001352C2" w:rsidP="001352C2">
      <w:pPr>
        <w:spacing w:line="360" w:lineRule="auto"/>
        <w:jc w:val="both"/>
      </w:pPr>
      <w:bookmarkStart w:id="6" w:name="ABSTRACT_START"/>
      <w:bookmarkEnd w:id="6"/>
      <w:r>
        <w:rPr>
          <w:rFonts w:hint="cs"/>
          <w:rtl/>
        </w:rPr>
        <w:t xml:space="preserve">הנאשם הודה במסגרת הסדר טיעון בכתב אישום מתוקן בשנית בהחזקת סמים שלא לצריכה עצמית בניגוד לסעיף </w:t>
      </w:r>
      <w:hyperlink r:id="rId12" w:history="1">
        <w:r w:rsidR="00291ACE" w:rsidRPr="00291ACE">
          <w:rPr>
            <w:rStyle w:val="Hyperlink"/>
            <w:rtl/>
          </w:rPr>
          <w:t>7 (א)</w:t>
        </w:r>
      </w:hyperlink>
      <w:r>
        <w:rPr>
          <w:rFonts w:hint="cs"/>
          <w:rtl/>
        </w:rPr>
        <w:t xml:space="preserve"> יחד עם סעיף </w:t>
      </w:r>
      <w:hyperlink r:id="rId13" w:history="1">
        <w:r w:rsidR="00291ACE" w:rsidRPr="00291ACE">
          <w:rPr>
            <w:color w:val="0000FF"/>
            <w:u w:val="single"/>
            <w:rtl/>
          </w:rPr>
          <w:t>7 (ג)</w:t>
        </w:r>
      </w:hyperlink>
      <w:r>
        <w:rPr>
          <w:rFonts w:hint="cs"/>
          <w:rtl/>
        </w:rPr>
        <w:t xml:space="preserve"> רישא ל</w:t>
      </w:r>
      <w:hyperlink r:id="rId14" w:history="1">
        <w:r w:rsidR="00CE25CB" w:rsidRPr="00CE25CB">
          <w:rPr>
            <w:color w:val="0000FF"/>
            <w:u w:val="single"/>
            <w:rtl/>
          </w:rPr>
          <w:t>פקודת הסמים המסוכנים</w:t>
        </w:r>
      </w:hyperlink>
      <w:r>
        <w:rPr>
          <w:rFonts w:hint="cs"/>
          <w:rtl/>
        </w:rPr>
        <w:t xml:space="preserve">, ובהחזקת תחמושת בניגוד לסעיף </w:t>
      </w:r>
      <w:hyperlink r:id="rId15" w:history="1">
        <w:r w:rsidR="00291ACE" w:rsidRPr="00291ACE">
          <w:rPr>
            <w:rStyle w:val="Hyperlink"/>
            <w:rtl/>
          </w:rPr>
          <w:t>144 (א)</w:t>
        </w:r>
      </w:hyperlink>
      <w:r>
        <w:rPr>
          <w:rFonts w:hint="cs"/>
          <w:rtl/>
        </w:rPr>
        <w:t xml:space="preserve"> סיפא ב</w:t>
      </w:r>
      <w:hyperlink r:id="rId16" w:history="1">
        <w:r w:rsidR="00CE25CB" w:rsidRPr="00CE25CB">
          <w:rPr>
            <w:color w:val="0000FF"/>
            <w:u w:val="single"/>
            <w:rtl/>
          </w:rPr>
          <w:t>חוק העונשין</w:t>
        </w:r>
      </w:hyperlink>
      <w:r>
        <w:rPr>
          <w:rFonts w:hint="cs"/>
          <w:rtl/>
        </w:rPr>
        <w:t>-התשל"ז 1977.</w:t>
      </w:r>
    </w:p>
    <w:p w14:paraId="7A35BC77" w14:textId="77777777" w:rsidR="001352C2" w:rsidRDefault="001352C2" w:rsidP="001352C2">
      <w:pPr>
        <w:spacing w:line="360" w:lineRule="auto"/>
        <w:jc w:val="both"/>
        <w:rPr>
          <w:rtl/>
        </w:rPr>
      </w:pPr>
      <w:r>
        <w:rPr>
          <w:rFonts w:hint="cs"/>
          <w:rtl/>
        </w:rPr>
        <w:t xml:space="preserve">בהתאם לכתב האישום המתוקן, החזיק הנאשם בדירתו בפתח תקווה ביום 10.3.15, 2.582 ק"ג של החומר </w:t>
      </w:r>
      <w:r>
        <w:t xml:space="preserve">5F-AMB </w:t>
      </w:r>
      <w:r>
        <w:rPr>
          <w:rFonts w:hint="cs"/>
          <w:rtl/>
        </w:rPr>
        <w:t xml:space="preserve"> שהינו נגזרת של הסם המסוכן אינדזול קרבוקסאמיד, בשקית זבל בסלון. כן החזיק הנאשם 9 כדורים המתאימים לכלי נשק מסוגים שונים. </w:t>
      </w:r>
    </w:p>
    <w:p w14:paraId="7A8C1A03" w14:textId="77777777" w:rsidR="001352C2" w:rsidRDefault="001352C2" w:rsidP="001352C2">
      <w:pPr>
        <w:spacing w:line="360" w:lineRule="auto"/>
        <w:ind w:left="360"/>
        <w:jc w:val="both"/>
        <w:rPr>
          <w:rtl/>
        </w:rPr>
      </w:pPr>
      <w:bookmarkStart w:id="7" w:name="ABSTRACT_END"/>
      <w:bookmarkEnd w:id="7"/>
    </w:p>
    <w:p w14:paraId="6BCEDDCC" w14:textId="77777777" w:rsidR="001352C2" w:rsidRDefault="001352C2" w:rsidP="001352C2">
      <w:pPr>
        <w:spacing w:line="360" w:lineRule="auto"/>
        <w:jc w:val="both"/>
        <w:rPr>
          <w:rtl/>
        </w:rPr>
      </w:pPr>
      <w:r>
        <w:rPr>
          <w:rFonts w:hint="cs"/>
          <w:rtl/>
        </w:rPr>
        <w:t>בהתאם להסכמת הצדדים הופנה הנאשם לעריכת תסקיר שירות המבחן בעניינו ללא הסכמה עונשית.</w:t>
      </w:r>
    </w:p>
    <w:p w14:paraId="7A1FCCEC" w14:textId="77777777" w:rsidR="001352C2" w:rsidRDefault="001352C2" w:rsidP="001352C2">
      <w:pPr>
        <w:spacing w:line="360" w:lineRule="auto"/>
        <w:jc w:val="both"/>
        <w:rPr>
          <w:rtl/>
        </w:rPr>
      </w:pPr>
      <w:r>
        <w:rPr>
          <w:rFonts w:hint="cs"/>
          <w:rtl/>
        </w:rPr>
        <w:t>כן הוצהר על ידי ב"כ הנאשם כי ההודאה בהחזקת הסמים שלא לצריכה עצמית נעשית מכח הכמות אותה החזיק הנאשם וללא אינדיקציה אחרת להחזקה שלא לצריכה עצמית.</w:t>
      </w:r>
    </w:p>
    <w:p w14:paraId="310576A4" w14:textId="77777777" w:rsidR="001352C2" w:rsidRDefault="001352C2" w:rsidP="001352C2">
      <w:pPr>
        <w:spacing w:line="360" w:lineRule="auto"/>
        <w:jc w:val="both"/>
        <w:rPr>
          <w:rtl/>
        </w:rPr>
      </w:pPr>
    </w:p>
    <w:p w14:paraId="39A543A0" w14:textId="77777777" w:rsidR="001352C2" w:rsidRDefault="001352C2" w:rsidP="001352C2">
      <w:pPr>
        <w:spacing w:line="360" w:lineRule="auto"/>
        <w:jc w:val="both"/>
        <w:rPr>
          <w:b/>
          <w:bCs/>
          <w:u w:val="single"/>
          <w:rtl/>
        </w:rPr>
      </w:pPr>
      <w:r>
        <w:rPr>
          <w:rFonts w:hint="cs"/>
          <w:b/>
          <w:bCs/>
          <w:u w:val="single"/>
          <w:rtl/>
        </w:rPr>
        <w:t>טיעוני הצדדים</w:t>
      </w:r>
    </w:p>
    <w:p w14:paraId="142026FF" w14:textId="77777777" w:rsidR="001352C2" w:rsidRDefault="001352C2" w:rsidP="001352C2">
      <w:pPr>
        <w:spacing w:line="360" w:lineRule="auto"/>
        <w:jc w:val="both"/>
        <w:rPr>
          <w:u w:val="single"/>
          <w:rtl/>
        </w:rPr>
      </w:pPr>
      <w:r>
        <w:rPr>
          <w:rFonts w:hint="cs"/>
          <w:u w:val="single"/>
          <w:rtl/>
        </w:rPr>
        <w:t>טיעוני המאשימה</w:t>
      </w:r>
    </w:p>
    <w:p w14:paraId="3084BE42" w14:textId="77777777" w:rsidR="001352C2" w:rsidRDefault="001352C2" w:rsidP="001352C2">
      <w:pPr>
        <w:spacing w:line="360" w:lineRule="auto"/>
        <w:jc w:val="both"/>
        <w:rPr>
          <w:rtl/>
        </w:rPr>
      </w:pPr>
      <w:r>
        <w:rPr>
          <w:rFonts w:hint="cs"/>
          <w:rtl/>
        </w:rPr>
        <w:lastRenderedPageBreak/>
        <w:t xml:space="preserve">המאשימה עמדה על הפגיעה בערכים המוגנים ובהם שלום הציבור ובריאותו. ב"כ המאשימה עמדה על כך שבתי המשפט חזרו ושנו אשר להשפעה ההרסנית של הסמים על החברה, במיוחד כאשר עסקינן ב"סמי פיצוציות" הקלים להשגה על ידי בני הנוער. </w:t>
      </w:r>
    </w:p>
    <w:p w14:paraId="6F83B79A" w14:textId="77777777" w:rsidR="001352C2" w:rsidRDefault="001352C2" w:rsidP="001352C2">
      <w:pPr>
        <w:spacing w:line="360" w:lineRule="auto"/>
        <w:jc w:val="both"/>
        <w:rPr>
          <w:rtl/>
        </w:rPr>
      </w:pPr>
      <w:r>
        <w:rPr>
          <w:rFonts w:hint="cs"/>
          <w:rtl/>
        </w:rPr>
        <w:t>ב"כ המאשימה הגישה פסיקה לתמיכה בטיעוניה. כך, בהתייחס</w:t>
      </w:r>
      <w:r>
        <w:rPr>
          <w:rFonts w:hint="cs"/>
          <w:b/>
          <w:bCs/>
          <w:rtl/>
        </w:rPr>
        <w:t xml:space="preserve"> ל</w:t>
      </w:r>
      <w:hyperlink r:id="rId17" w:history="1">
        <w:r w:rsidR="00CE25CB" w:rsidRPr="00CE25CB">
          <w:rPr>
            <w:b/>
            <w:bCs/>
            <w:color w:val="0000FF"/>
            <w:u w:val="single"/>
            <w:rtl/>
          </w:rPr>
          <w:t>ע"פ 4915/15</w:t>
        </w:r>
      </w:hyperlink>
      <w:r>
        <w:rPr>
          <w:rFonts w:hint="cs"/>
          <w:b/>
          <w:bCs/>
          <w:rtl/>
        </w:rPr>
        <w:t xml:space="preserve"> בענין מהאדי וותאד</w:t>
      </w:r>
      <w:r>
        <w:rPr>
          <w:rFonts w:hint="cs"/>
          <w:rtl/>
        </w:rPr>
        <w:t xml:space="preserve">,  נקבע מתחם עונש הולם שנע בין שנתיים ל-5 שנות מאסר בהחזקת סם מאותו סוג בו הודה הנאשם. ב"כ המאשימה עמדה על כך שבאותו מקרה עסקינן היה בהחזקה של 15 ק"ג, אולם בחומר פעיל במשקל של 300 ג' בלבד. לפיכך, ובהתחשב בנסיבות ההחזקה, עתרה המאשימה לקביעת מתחם בתיק זה שהינו בין שנתיים ועד 4 שנות מאסר. </w:t>
      </w:r>
    </w:p>
    <w:p w14:paraId="2B276FAE" w14:textId="77777777" w:rsidR="001352C2" w:rsidRDefault="001352C2" w:rsidP="001352C2">
      <w:pPr>
        <w:spacing w:line="360" w:lineRule="auto"/>
        <w:jc w:val="both"/>
        <w:rPr>
          <w:rtl/>
        </w:rPr>
      </w:pPr>
      <w:r>
        <w:rPr>
          <w:rFonts w:hint="cs"/>
          <w:rtl/>
        </w:rPr>
        <w:t>אשר לגזירת הדין בתוך המתחם, טענה המאשימה כי הנאשם ריצה בעבר מאסרים מאחורי סורג ובריח וכי לחובתו הרשעות קודמות בעבירות שונות.</w:t>
      </w:r>
    </w:p>
    <w:p w14:paraId="22F42CDF" w14:textId="77777777" w:rsidR="001352C2" w:rsidRDefault="001352C2" w:rsidP="001352C2">
      <w:pPr>
        <w:spacing w:line="360" w:lineRule="auto"/>
        <w:jc w:val="both"/>
        <w:rPr>
          <w:rtl/>
        </w:rPr>
      </w:pPr>
      <w:r>
        <w:rPr>
          <w:rFonts w:hint="cs"/>
          <w:rtl/>
        </w:rPr>
        <w:t xml:space="preserve">כן צוין כי אף שבסופו של יום המליץ שירות המבחן על ענישה שיקומית, הרי שהתסקיר מצביע גם על גורמי סיכון ובהם קושי לזהות מצבי סיכון, הסתבכויות חוזרות בפלילים ויכולת הבנה מוגבלת. </w:t>
      </w:r>
    </w:p>
    <w:p w14:paraId="0C6A2581" w14:textId="77777777" w:rsidR="001352C2" w:rsidRDefault="001352C2" w:rsidP="001352C2">
      <w:pPr>
        <w:spacing w:line="360" w:lineRule="auto"/>
        <w:jc w:val="both"/>
        <w:rPr>
          <w:rtl/>
        </w:rPr>
      </w:pPr>
      <w:r>
        <w:rPr>
          <w:rFonts w:hint="cs"/>
          <w:rtl/>
        </w:rPr>
        <w:t>ב"כ המאשימה טענה כי שירות המבחן החטיא את מטרות הענישה משלא התייחס בהמלצתו לחומרת העבירות הנידונות, וכי הנאשם לא עבר הליך שיקומי המצדיק סטייה לקולא מהמתחם. מנגד, בהתחשב בהודאתו של הנאשם ובנכונות לשנות דפוסים, עתרה המאשימה להשית על הנאשם שנתיים מאסר בפועל, מאסר על תנאי, קנס ופסילת רישיון.</w:t>
      </w:r>
    </w:p>
    <w:p w14:paraId="5F2D8C12" w14:textId="77777777" w:rsidR="001352C2" w:rsidRDefault="001352C2" w:rsidP="001352C2">
      <w:pPr>
        <w:spacing w:line="360" w:lineRule="auto"/>
        <w:jc w:val="both"/>
        <w:rPr>
          <w:rtl/>
        </w:rPr>
      </w:pPr>
    </w:p>
    <w:p w14:paraId="71636FF1" w14:textId="77777777" w:rsidR="001352C2" w:rsidRDefault="001352C2" w:rsidP="001352C2">
      <w:pPr>
        <w:spacing w:line="360" w:lineRule="auto"/>
        <w:jc w:val="both"/>
        <w:rPr>
          <w:b/>
          <w:u w:val="single"/>
          <w:rtl/>
        </w:rPr>
      </w:pPr>
      <w:r>
        <w:rPr>
          <w:rFonts w:hint="cs"/>
          <w:b/>
          <w:u w:val="single"/>
          <w:rtl/>
        </w:rPr>
        <w:t>טיעוני ההגנה</w:t>
      </w:r>
    </w:p>
    <w:p w14:paraId="0ECA75DA" w14:textId="77777777" w:rsidR="001352C2" w:rsidRDefault="001352C2" w:rsidP="001352C2">
      <w:pPr>
        <w:spacing w:line="360" w:lineRule="auto"/>
        <w:jc w:val="both"/>
        <w:rPr>
          <w:b/>
          <w:rtl/>
        </w:rPr>
      </w:pPr>
      <w:r>
        <w:rPr>
          <w:rFonts w:hint="cs"/>
          <w:b/>
          <w:rtl/>
        </w:rPr>
        <w:t xml:space="preserve">בפתח דיון הטיעונים לעונש עתר ב"כ הנאשם לדחות את מתן גזר הדין על מנת לאפשר לנאשם להשתלב בקבוצה טיפולית. </w:t>
      </w:r>
    </w:p>
    <w:p w14:paraId="0817E512" w14:textId="77777777" w:rsidR="001352C2" w:rsidRDefault="001352C2" w:rsidP="001352C2">
      <w:pPr>
        <w:spacing w:line="360" w:lineRule="auto"/>
        <w:jc w:val="both"/>
        <w:rPr>
          <w:b/>
          <w:rtl/>
        </w:rPr>
      </w:pPr>
      <w:r>
        <w:rPr>
          <w:rFonts w:hint="cs"/>
          <w:b/>
          <w:rtl/>
        </w:rPr>
        <w:t xml:space="preserve">ב"כ הנאשם טען כי פסק הדין אותו הציגה המאשימה מתייחס לחומר ממנו ניתן להכין למעלה מ-100,000 מנות סם, ולפיכך נטען כי אין פרופורציה בין התיק שבפניי לעתירת המאשימה לעונש וכי יש להתחשב גם ביכולת הפקת החומר הפעיל מהחומר שנתפס. </w:t>
      </w:r>
    </w:p>
    <w:p w14:paraId="17BB91D9" w14:textId="77777777" w:rsidR="001352C2" w:rsidRDefault="001352C2" w:rsidP="001352C2">
      <w:pPr>
        <w:spacing w:line="360" w:lineRule="auto"/>
        <w:jc w:val="both"/>
        <w:rPr>
          <w:b/>
          <w:rtl/>
        </w:rPr>
      </w:pPr>
      <w:r>
        <w:rPr>
          <w:rFonts w:hint="cs"/>
          <w:b/>
          <w:rtl/>
        </w:rPr>
        <w:t xml:space="preserve">ב"כ הנאשם תמך טיעוניו בפסיקה מרובה במסגרתה הוטלו על נאשמים מאסרים מותנים או מאסרים לריצוי בעבודות שירות. כן נטען כי אף אם המתחם מתחיל במאסר בפועל בתיק זה, הרי שיש מקום לחרוג מהמתחם בשל שיקולי שיקום. </w:t>
      </w:r>
    </w:p>
    <w:p w14:paraId="11D6EF0D" w14:textId="77777777" w:rsidR="001352C2" w:rsidRDefault="001352C2" w:rsidP="001352C2">
      <w:pPr>
        <w:spacing w:line="360" w:lineRule="auto"/>
        <w:jc w:val="both"/>
        <w:rPr>
          <w:b/>
          <w:rtl/>
        </w:rPr>
      </w:pPr>
      <w:r>
        <w:rPr>
          <w:rFonts w:hint="cs"/>
          <w:b/>
          <w:rtl/>
        </w:rPr>
        <w:t xml:space="preserve">נטען כי עבירת החזקת התחמושת הינה של כדורים אותם מצא הנאשם ואסף. </w:t>
      </w:r>
    </w:p>
    <w:p w14:paraId="7D9D888E" w14:textId="77777777" w:rsidR="001352C2" w:rsidRDefault="001352C2" w:rsidP="001352C2">
      <w:pPr>
        <w:spacing w:line="360" w:lineRule="auto"/>
        <w:jc w:val="both"/>
        <w:rPr>
          <w:b/>
          <w:rtl/>
        </w:rPr>
      </w:pPr>
      <w:r>
        <w:rPr>
          <w:rFonts w:hint="cs"/>
          <w:b/>
          <w:rtl/>
        </w:rPr>
        <w:t>כן נטען כי אין בחומר הראיות אינדיקציה לכך שהחומר הוחזק שלא לשימוש עצמי, ולראיה – הוא הוחזק בשק אחד, ללא כלים וללא שקיות אריזה.</w:t>
      </w:r>
    </w:p>
    <w:p w14:paraId="1F8CB0B1" w14:textId="77777777" w:rsidR="001352C2" w:rsidRDefault="001352C2" w:rsidP="001352C2">
      <w:pPr>
        <w:spacing w:line="360" w:lineRule="auto"/>
        <w:jc w:val="both"/>
        <w:rPr>
          <w:b/>
          <w:rtl/>
        </w:rPr>
      </w:pPr>
      <w:r>
        <w:rPr>
          <w:rFonts w:hint="cs"/>
          <w:b/>
          <w:rtl/>
        </w:rPr>
        <w:t>עוד נטען, כי הסם נכנס לפקודת הסמים אך באוגוסט 2015 וכי הייתה בעייתיות בהגדרתו בחוק.</w:t>
      </w:r>
    </w:p>
    <w:p w14:paraId="73632893" w14:textId="77777777" w:rsidR="001352C2" w:rsidRDefault="001352C2" w:rsidP="001352C2">
      <w:pPr>
        <w:spacing w:line="360" w:lineRule="auto"/>
        <w:jc w:val="both"/>
        <w:rPr>
          <w:b/>
          <w:rtl/>
        </w:rPr>
      </w:pPr>
      <w:r>
        <w:rPr>
          <w:rFonts w:hint="cs"/>
          <w:b/>
          <w:rtl/>
        </w:rPr>
        <w:t xml:space="preserve">לתמיכה בטעוני ב"כ הנאשם הוצגו מסמכים מהם עולה כי הנאשם מוכר כנכה בשיעור 75% על ידי הביטוח הלאומי, כי הוא מצוי על סף הפיגור, אינו קורא ואינו כותב. </w:t>
      </w:r>
    </w:p>
    <w:p w14:paraId="3E188B09" w14:textId="77777777" w:rsidR="001352C2" w:rsidRDefault="001352C2" w:rsidP="001352C2">
      <w:pPr>
        <w:spacing w:line="360" w:lineRule="auto"/>
        <w:jc w:val="both"/>
        <w:rPr>
          <w:b/>
          <w:rtl/>
        </w:rPr>
      </w:pPr>
      <w:r>
        <w:rPr>
          <w:rFonts w:hint="cs"/>
          <w:b/>
          <w:rtl/>
        </w:rPr>
        <w:t xml:space="preserve">נטען כי הנאשם ניסה לשמור על יציבות ונורמטיביות לאורך השנים חרף קשייו, וכי כיום הוא עובד בשתי עבודות ומשלם מזונות עבור 3 ילדים. לאחרונה אף נולד לנאשם ילד נוסף מאישתו הנוכחית. </w:t>
      </w:r>
    </w:p>
    <w:p w14:paraId="4E9AA705" w14:textId="77777777" w:rsidR="001352C2" w:rsidRDefault="001352C2" w:rsidP="001352C2">
      <w:pPr>
        <w:spacing w:line="360" w:lineRule="auto"/>
        <w:jc w:val="both"/>
        <w:rPr>
          <w:b/>
          <w:rtl/>
        </w:rPr>
      </w:pPr>
      <w:r>
        <w:rPr>
          <w:rFonts w:hint="cs"/>
          <w:b/>
          <w:rtl/>
        </w:rPr>
        <w:t xml:space="preserve">נטען כי הנאשם משתתף בקבוצה של עצורי בית, החל הליך של שיקום ומוסר בדיקות שתן נקיות. הנאשם מצוי למעלה משנה בטיפול, היה מצוי תחילה במעצר בית מלא ולאחר מכן הותרה יציאתו לעבודה. ב"כ הנאשם ביקש לשים את הדגש על סיכויי השיקום של הנאשם, על המוטיבציה שלו, </w:t>
      </w:r>
      <w:r>
        <w:rPr>
          <w:rFonts w:hint="cs"/>
          <w:b/>
          <w:rtl/>
        </w:rPr>
        <w:lastRenderedPageBreak/>
        <w:t xml:space="preserve">ועמד על התרשמות שירות המבחן כי אין המדובר באדם בעל דפוסי עבריינות מושרשים. צוין כי הטיפול המוצע עתיד להתחיל בהקדם. </w:t>
      </w:r>
    </w:p>
    <w:p w14:paraId="1E0640FD" w14:textId="77777777" w:rsidR="001352C2" w:rsidRDefault="001352C2" w:rsidP="001352C2">
      <w:pPr>
        <w:spacing w:line="360" w:lineRule="auto"/>
        <w:jc w:val="both"/>
        <w:rPr>
          <w:b/>
          <w:rtl/>
        </w:rPr>
      </w:pPr>
      <w:r>
        <w:rPr>
          <w:rFonts w:hint="cs"/>
          <w:b/>
          <w:rtl/>
        </w:rPr>
        <w:t xml:space="preserve">בנסיבות אלו עתר ב"כ הנאשם להשית על הנאשם מאסר בעבודות שירות. </w:t>
      </w:r>
    </w:p>
    <w:p w14:paraId="70F7D90A" w14:textId="77777777" w:rsidR="001352C2" w:rsidRDefault="001352C2" w:rsidP="001352C2">
      <w:pPr>
        <w:spacing w:line="360" w:lineRule="auto"/>
        <w:jc w:val="both"/>
        <w:rPr>
          <w:b/>
          <w:rtl/>
        </w:rPr>
      </w:pPr>
      <w:r>
        <w:rPr>
          <w:rFonts w:hint="cs"/>
          <w:b/>
          <w:rtl/>
        </w:rPr>
        <w:t xml:space="preserve">במסגרת הטיעונים העידה </w:t>
      </w:r>
      <w:r>
        <w:rPr>
          <w:rFonts w:hint="cs"/>
          <w:b/>
          <w:u w:val="single"/>
          <w:rtl/>
        </w:rPr>
        <w:t>אשתו של הנאשם</w:t>
      </w:r>
      <w:r>
        <w:rPr>
          <w:rFonts w:hint="cs"/>
          <w:b/>
          <w:rtl/>
        </w:rPr>
        <w:t xml:space="preserve">, אשר עמדה על היותו של הנאשם אב ובעל טוב, המסייע בעבודות הבית ודואג לילדיו. </w:t>
      </w:r>
    </w:p>
    <w:p w14:paraId="6F4E3823" w14:textId="77777777" w:rsidR="001352C2" w:rsidRDefault="001352C2" w:rsidP="001352C2">
      <w:pPr>
        <w:spacing w:line="360" w:lineRule="auto"/>
        <w:jc w:val="both"/>
        <w:rPr>
          <w:b/>
          <w:rtl/>
        </w:rPr>
      </w:pPr>
      <w:r>
        <w:rPr>
          <w:rFonts w:hint="cs"/>
          <w:b/>
          <w:rtl/>
        </w:rPr>
        <w:t xml:space="preserve">בדברו האחרון לעונש טען </w:t>
      </w:r>
      <w:r>
        <w:rPr>
          <w:rFonts w:hint="cs"/>
          <w:b/>
          <w:u w:val="single"/>
          <w:rtl/>
        </w:rPr>
        <w:t>הנאשם</w:t>
      </w:r>
      <w:r>
        <w:rPr>
          <w:rFonts w:hint="cs"/>
          <w:b/>
          <w:rtl/>
        </w:rPr>
        <w:t xml:space="preserve"> כי עשה טעות, וכי מאז הגשת כתב האישום הוא עובר הליך שיקומי ולא משתמש עוד בסמים. הנאשם טען כי הוא מפחד שמא יתפרק הבית אם ייאסר, וכי הוא חושש ממאסר. </w:t>
      </w:r>
    </w:p>
    <w:p w14:paraId="26CC78F3" w14:textId="77777777" w:rsidR="001352C2" w:rsidRDefault="001352C2" w:rsidP="001352C2">
      <w:pPr>
        <w:spacing w:line="360" w:lineRule="auto"/>
        <w:jc w:val="both"/>
        <w:rPr>
          <w:b/>
          <w:rtl/>
        </w:rPr>
      </w:pPr>
    </w:p>
    <w:p w14:paraId="0D48BADA" w14:textId="77777777" w:rsidR="001352C2" w:rsidRDefault="001352C2" w:rsidP="001352C2">
      <w:pPr>
        <w:spacing w:line="360" w:lineRule="auto"/>
        <w:jc w:val="both"/>
        <w:rPr>
          <w:bCs/>
          <w:u w:val="single"/>
          <w:rtl/>
        </w:rPr>
      </w:pPr>
      <w:r>
        <w:rPr>
          <w:rFonts w:hint="cs"/>
          <w:bCs/>
          <w:u w:val="single"/>
          <w:rtl/>
        </w:rPr>
        <w:t>דיון והכרעה</w:t>
      </w:r>
    </w:p>
    <w:p w14:paraId="3A34F5FE" w14:textId="77777777" w:rsidR="001352C2" w:rsidRDefault="001352C2" w:rsidP="001352C2">
      <w:pPr>
        <w:spacing w:line="360" w:lineRule="auto"/>
        <w:jc w:val="both"/>
        <w:rPr>
          <w:b/>
          <w:rtl/>
        </w:rPr>
      </w:pPr>
      <w:r>
        <w:rPr>
          <w:rFonts w:hint="cs"/>
          <w:b/>
          <w:rtl/>
        </w:rPr>
        <w:t xml:space="preserve">הערך החברתי הנפגע מביצוע העבירות בהן הורשע הנאשם הינו הצורך בשמירה על בריאות הציבור. בתי המשפט עמדו רבות על הצורך במיגור עבירות אלה ובכלל זה הן מיגור השימוש העצמי והן שלבי הפצת הסם, נוכח הצורך להילחם בנגע הסמים אשר פוגע בחברה באופן בריאותי, אישי וכלכלי. כן נפסק כי ככלל בעבירות הסמים הצורך בהרתעה אפקטיבית גובר על שיקולים הנובעים מנסיבותיו האישיות של הנאשם, ובכלל זה על שיקולי שיקום וטיפול. </w:t>
      </w:r>
    </w:p>
    <w:p w14:paraId="1CCDDEFA" w14:textId="77777777" w:rsidR="001352C2" w:rsidRDefault="001352C2" w:rsidP="001352C2">
      <w:pPr>
        <w:spacing w:line="360" w:lineRule="auto"/>
        <w:jc w:val="both"/>
        <w:rPr>
          <w:b/>
          <w:rtl/>
        </w:rPr>
      </w:pPr>
    </w:p>
    <w:p w14:paraId="20EFDE29" w14:textId="77777777" w:rsidR="001352C2" w:rsidRDefault="001352C2" w:rsidP="001352C2">
      <w:pPr>
        <w:spacing w:line="360" w:lineRule="auto"/>
        <w:jc w:val="both"/>
        <w:rPr>
          <w:b/>
          <w:rtl/>
        </w:rPr>
      </w:pPr>
      <w:r>
        <w:rPr>
          <w:rFonts w:hint="cs"/>
          <w:b/>
          <w:rtl/>
        </w:rPr>
        <w:t>מדיניות הענישה מתחשבת בסוג הסם הנדון ובכמותו. פסיקה מועטה עוסקת בסוג הסם הספציפי אותו החזיק הנאשם, ואולם ככלל עסקינן בסם הנכלל במה שמכונה "סמי פיצוציות".</w:t>
      </w:r>
    </w:p>
    <w:p w14:paraId="2D2A8D5B" w14:textId="77777777" w:rsidR="001352C2" w:rsidRDefault="001352C2" w:rsidP="001352C2">
      <w:pPr>
        <w:spacing w:line="360" w:lineRule="auto"/>
        <w:jc w:val="both"/>
        <w:rPr>
          <w:b/>
          <w:rtl/>
        </w:rPr>
      </w:pPr>
      <w:r>
        <w:rPr>
          <w:rFonts w:hint="cs"/>
          <w:b/>
          <w:rtl/>
        </w:rPr>
        <w:t xml:space="preserve">בענין </w:t>
      </w:r>
      <w:r>
        <w:rPr>
          <w:rFonts w:hint="cs"/>
          <w:bCs/>
          <w:rtl/>
        </w:rPr>
        <w:t>ותד</w:t>
      </w:r>
      <w:r>
        <w:rPr>
          <w:rFonts w:hint="cs"/>
          <w:b/>
          <w:rtl/>
        </w:rPr>
        <w:t xml:space="preserve"> הנזכר לעיל עמדו בית המשפט העליון והמחוזי על כך שהענישה באשר לסמי הפיצוציות צריכה להיות מחמירה, אולם באופן הדרגתי, עקב הכללתם החדשה יחסית בפקודת הסמים.</w:t>
      </w:r>
    </w:p>
    <w:p w14:paraId="547DBA51" w14:textId="77777777" w:rsidR="001352C2" w:rsidRDefault="001352C2" w:rsidP="001352C2">
      <w:pPr>
        <w:spacing w:line="360" w:lineRule="auto"/>
        <w:jc w:val="both"/>
        <w:rPr>
          <w:bCs/>
          <w:rtl/>
        </w:rPr>
      </w:pPr>
      <w:r>
        <w:rPr>
          <w:rFonts w:hint="cs"/>
          <w:b/>
          <w:rtl/>
        </w:rPr>
        <w:t>כן עמדו בתי המשפט על כך שאופן יצור סמים אלו, בתנאים בהם אין שליטה על היקף החומר הפעיל בכל מנה, עלול לגרום לסיכון רב, מעבר לסיכון הנגרם למשתמשים בסמים בכלל</w:t>
      </w:r>
      <w:r>
        <w:rPr>
          <w:rFonts w:hint="cs"/>
          <w:bCs/>
          <w:rtl/>
        </w:rPr>
        <w:t xml:space="preserve"> (ר' </w:t>
      </w:r>
      <w:hyperlink r:id="rId18" w:history="1">
        <w:r w:rsidR="00CE25CB" w:rsidRPr="00CE25CB">
          <w:rPr>
            <w:bCs/>
            <w:color w:val="0000FF"/>
            <w:u w:val="single"/>
            <w:rtl/>
          </w:rPr>
          <w:t>ת"פ (מחוזי ת"א) 48731-11-14</w:t>
        </w:r>
      </w:hyperlink>
      <w:r>
        <w:rPr>
          <w:rFonts w:hint="cs"/>
          <w:bCs/>
          <w:rtl/>
        </w:rPr>
        <w:t xml:space="preserve"> בענין צביקה מידברג).</w:t>
      </w:r>
    </w:p>
    <w:p w14:paraId="7661A298" w14:textId="77777777" w:rsidR="001352C2" w:rsidRDefault="001352C2" w:rsidP="001352C2">
      <w:pPr>
        <w:spacing w:line="360" w:lineRule="auto"/>
        <w:jc w:val="both"/>
        <w:rPr>
          <w:b/>
          <w:rtl/>
        </w:rPr>
      </w:pPr>
    </w:p>
    <w:p w14:paraId="1AA79403" w14:textId="77777777" w:rsidR="001352C2" w:rsidRDefault="001352C2" w:rsidP="001352C2">
      <w:pPr>
        <w:spacing w:line="360" w:lineRule="auto"/>
        <w:jc w:val="both"/>
        <w:rPr>
          <w:b/>
          <w:rtl/>
        </w:rPr>
      </w:pPr>
      <w:r>
        <w:rPr>
          <w:rFonts w:hint="cs"/>
          <w:b/>
          <w:rtl/>
        </w:rPr>
        <w:t xml:space="preserve">אמנם המדובר בסם אשר נכלל אך לאחרונה בפקודת הסמים, ואולם איני מוצאת מקום להשוות בין מי שנידון בעבירות על </w:t>
      </w:r>
      <w:hyperlink r:id="rId19" w:history="1">
        <w:r w:rsidR="00CE25CB" w:rsidRPr="00CE25CB">
          <w:rPr>
            <w:b/>
            <w:color w:val="0000FF"/>
            <w:u w:val="single"/>
            <w:rtl/>
          </w:rPr>
          <w:t>חוק המאבק בתופעת השימוש בחומרים מסכנים</w:t>
        </w:r>
      </w:hyperlink>
      <w:r>
        <w:rPr>
          <w:rFonts w:hint="cs"/>
          <w:b/>
          <w:rtl/>
        </w:rPr>
        <w:t xml:space="preserve"> תשע"ג – 2013 (להלן:"חוק המאבק"), אשר העונש הקבוע לצדו הינו 3 שנות מאסר, לבין מי שנדון בגין עבירה על פקודת הסמים, הנוקבת ב-20 שנות מאסר כעונש מירבי למי שמבצע את העבירה בגינה הורשע הנאשם.</w:t>
      </w:r>
    </w:p>
    <w:p w14:paraId="29E5F50F" w14:textId="77777777" w:rsidR="001352C2" w:rsidRDefault="001352C2" w:rsidP="001352C2">
      <w:pPr>
        <w:spacing w:line="360" w:lineRule="auto"/>
        <w:jc w:val="both"/>
        <w:rPr>
          <w:b/>
          <w:rtl/>
        </w:rPr>
      </w:pPr>
      <w:r>
        <w:rPr>
          <w:rFonts w:hint="cs"/>
          <w:b/>
          <w:rtl/>
        </w:rPr>
        <w:t xml:space="preserve">מהנימוקים המפורטים לעיל, אף איני מוצאת כי נכון להשוות בין החזקת הסם מהסוג בו הודה הנאשם לבין החזקתם או גידולם של סמים המוכרים בפסיקה כ"סמים קלים". נמצא כי </w:t>
      </w:r>
      <w:r>
        <w:rPr>
          <w:rFonts w:hint="cs"/>
          <w:b/>
          <w:i/>
          <w:iCs/>
          <w:rtl/>
        </w:rPr>
        <w:t xml:space="preserve"> פסיקת בתי המשפט מלמדת כי יש להחמיר עם אלו המחזיקים ב"סמי פיצוציות", ולו במעט מעבר לאלו המחזיקים ב"סמים קלים", שכן המציאות מלמדת כי השפעת סמים אלו חזקה יותר מהשפעת ה"סמים הקלים".</w:t>
      </w:r>
    </w:p>
    <w:p w14:paraId="75F6FC3D" w14:textId="77777777" w:rsidR="001352C2" w:rsidRDefault="001352C2" w:rsidP="001352C2">
      <w:pPr>
        <w:spacing w:line="360" w:lineRule="auto"/>
        <w:jc w:val="both"/>
        <w:rPr>
          <w:b/>
          <w:rtl/>
        </w:rPr>
      </w:pPr>
    </w:p>
    <w:p w14:paraId="1F37AE6B" w14:textId="77777777" w:rsidR="001352C2" w:rsidRDefault="001352C2" w:rsidP="001352C2">
      <w:pPr>
        <w:spacing w:line="360" w:lineRule="auto"/>
        <w:jc w:val="both"/>
        <w:rPr>
          <w:b/>
          <w:rtl/>
        </w:rPr>
      </w:pPr>
      <w:r>
        <w:rPr>
          <w:rFonts w:hint="cs"/>
          <w:b/>
          <w:rtl/>
        </w:rPr>
        <w:t xml:space="preserve">יתרה מכך – </w:t>
      </w:r>
      <w:r>
        <w:rPr>
          <w:rFonts w:hint="cs"/>
          <w:bCs/>
          <w:rtl/>
        </w:rPr>
        <w:t>הנאשם הורשע בהחזקת הסמים שלא לצריכה עצמית</w:t>
      </w:r>
      <w:r>
        <w:rPr>
          <w:rFonts w:hint="cs"/>
          <w:b/>
          <w:rtl/>
        </w:rPr>
        <w:t>. אמנם נטען כי אין ראיות לסחר, ואולם המשתמש בסמים, אף זה המחזיק בסם מעבר לצריכתו הזמינה, ככלל אינו מחזיק בשניים וחצי ק"ג של הסם, והנאשם לא סתר ולא ביקש לסתור את החזקה כי בנסיבות אלו ההחזקה לא נעשתה לצריכה עצמית. כתב האישום המתוקן במסגרת ההסדר מציין כי הנאשם החזיק בסם בכמות "</w:t>
      </w:r>
      <w:r>
        <w:rPr>
          <w:rFonts w:hint="cs"/>
          <w:bCs/>
          <w:rtl/>
        </w:rPr>
        <w:t>לצריכתו העצמית ושאינה לצריכתו העצמית</w:t>
      </w:r>
      <w:r>
        <w:rPr>
          <w:rFonts w:hint="cs"/>
          <w:b/>
          <w:rtl/>
        </w:rPr>
        <w:t>", ולפיכך הודה כאמור כי ההחזקה היתה, בין היתר, שלא לצריכה עצמית, כפי שהורשע.</w:t>
      </w:r>
    </w:p>
    <w:p w14:paraId="362AF4E5" w14:textId="77777777" w:rsidR="001352C2" w:rsidRDefault="001352C2" w:rsidP="001352C2">
      <w:pPr>
        <w:spacing w:line="360" w:lineRule="auto"/>
        <w:jc w:val="both"/>
        <w:rPr>
          <w:b/>
          <w:rtl/>
        </w:rPr>
      </w:pPr>
    </w:p>
    <w:p w14:paraId="2901CD9C" w14:textId="77777777" w:rsidR="001352C2" w:rsidRDefault="001352C2" w:rsidP="001352C2">
      <w:pPr>
        <w:spacing w:line="360" w:lineRule="auto"/>
        <w:jc w:val="both"/>
        <w:rPr>
          <w:b/>
          <w:u w:val="single"/>
          <w:rtl/>
        </w:rPr>
      </w:pPr>
      <w:r>
        <w:rPr>
          <w:rFonts w:hint="cs"/>
          <w:b/>
          <w:u w:val="single"/>
          <w:rtl/>
        </w:rPr>
        <w:t>בחינת מדיניות הענישה:</w:t>
      </w:r>
    </w:p>
    <w:p w14:paraId="45399A09" w14:textId="77777777" w:rsidR="001352C2" w:rsidRDefault="001352C2" w:rsidP="001352C2">
      <w:pPr>
        <w:spacing w:line="360" w:lineRule="auto"/>
        <w:jc w:val="both"/>
        <w:rPr>
          <w:b/>
          <w:rtl/>
        </w:rPr>
      </w:pPr>
      <w:r>
        <w:rPr>
          <w:rFonts w:hint="cs"/>
          <w:bCs/>
          <w:rtl/>
        </w:rPr>
        <w:t>ב</w:t>
      </w:r>
      <w:hyperlink r:id="rId20" w:history="1">
        <w:r w:rsidR="00CE25CB" w:rsidRPr="00CE25CB">
          <w:rPr>
            <w:bCs/>
            <w:color w:val="0000FF"/>
            <w:u w:val="single"/>
            <w:rtl/>
          </w:rPr>
          <w:t>ע"פ 1824/15</w:t>
        </w:r>
      </w:hyperlink>
      <w:r>
        <w:rPr>
          <w:rFonts w:hint="cs"/>
          <w:bCs/>
          <w:rtl/>
        </w:rPr>
        <w:t xml:space="preserve"> בעניין טרסוב קונסטנטין</w:t>
      </w:r>
      <w:r>
        <w:rPr>
          <w:rFonts w:hint="cs"/>
          <w:b/>
          <w:rtl/>
        </w:rPr>
        <w:t xml:space="preserve">, נקבע מתחם עונש הולם הנע בין 12-48 חודשי מאסר בגין החזקת סם מסוג </w:t>
      </w:r>
      <w:r>
        <w:rPr>
          <w:b/>
        </w:rPr>
        <w:t>JWH</w:t>
      </w:r>
      <w:r>
        <w:rPr>
          <w:rFonts w:hint="cs"/>
          <w:b/>
          <w:rtl/>
        </w:rPr>
        <w:t xml:space="preserve"> במשקל של 250 ג'. בערעור הופחת עונשו של הנאשם ל-30 חודשי מאסר. </w:t>
      </w:r>
    </w:p>
    <w:p w14:paraId="4DD7263B" w14:textId="77777777" w:rsidR="001352C2" w:rsidRDefault="001352C2" w:rsidP="001352C2">
      <w:pPr>
        <w:spacing w:line="360" w:lineRule="auto"/>
        <w:jc w:val="both"/>
        <w:rPr>
          <w:b/>
          <w:rtl/>
        </w:rPr>
      </w:pPr>
      <w:r>
        <w:rPr>
          <w:rFonts w:hint="cs"/>
          <w:bCs/>
          <w:rtl/>
        </w:rPr>
        <w:t>ב</w:t>
      </w:r>
      <w:hyperlink r:id="rId21" w:history="1">
        <w:r w:rsidR="00CE25CB" w:rsidRPr="00CE25CB">
          <w:rPr>
            <w:bCs/>
            <w:color w:val="0000FF"/>
            <w:u w:val="single"/>
            <w:rtl/>
          </w:rPr>
          <w:t>ת"פ (מחוזי מרכז) 17410-08-13</w:t>
        </w:r>
      </w:hyperlink>
      <w:r>
        <w:rPr>
          <w:rFonts w:hint="cs"/>
          <w:bCs/>
          <w:rtl/>
        </w:rPr>
        <w:t xml:space="preserve"> בעניין תום אלקלעי, </w:t>
      </w:r>
      <w:r>
        <w:rPr>
          <w:rFonts w:hint="cs"/>
          <w:b/>
          <w:rtl/>
        </w:rPr>
        <w:t xml:space="preserve">נידון עניינו של נאשם שהורשע במסגרת הסדר בייבוא סם מסוכן ובהחזקת סם שלא לצריכה עצמית, ולצריכה עצמית. באותו מקרה ייבא הנאשם כ-1 ק"ג סם מסוכן בעל השפעות הדומות ל – </w:t>
      </w:r>
      <w:r>
        <w:rPr>
          <w:bCs/>
        </w:rPr>
        <w:t>L.S.D</w:t>
      </w:r>
      <w:r>
        <w:rPr>
          <w:rFonts w:hint="cs"/>
          <w:b/>
          <w:rtl/>
        </w:rPr>
        <w:t xml:space="preserve">, ובמועדים שונים רכש מאחר סם מסוכן מסוג קנאבוס. כן החזיק בקבוקון ובו 100 טיפות </w:t>
      </w:r>
      <w:r>
        <w:rPr>
          <w:bCs/>
        </w:rPr>
        <w:t>L.S.D</w:t>
      </w:r>
      <w:r>
        <w:rPr>
          <w:rFonts w:hint="cs"/>
          <w:bCs/>
          <w:rtl/>
        </w:rPr>
        <w:t xml:space="preserve">. </w:t>
      </w:r>
      <w:r>
        <w:rPr>
          <w:rFonts w:hint="cs"/>
          <w:b/>
          <w:rtl/>
        </w:rPr>
        <w:t xml:space="preserve">הוגש תסקיר חיובי אשר המליץ להטיל על הנאשם צו מבחן. בית המשפט ציין כי בהתאם לטיעוני ב"כ הנאשם, מכמות הסם אותה הזמין הנאשם מחו"ל ניתן להפיק 5 ג' סם בלבד. </w:t>
      </w:r>
    </w:p>
    <w:p w14:paraId="51E292E7" w14:textId="77777777" w:rsidR="001352C2" w:rsidRDefault="001352C2" w:rsidP="001352C2">
      <w:pPr>
        <w:spacing w:line="360" w:lineRule="auto"/>
        <w:jc w:val="both"/>
        <w:rPr>
          <w:b/>
          <w:rtl/>
        </w:rPr>
      </w:pPr>
      <w:r>
        <w:rPr>
          <w:rFonts w:hint="cs"/>
          <w:b/>
          <w:rtl/>
        </w:rPr>
        <w:t xml:space="preserve">עסקינן היה בנאשם בעל נסיבות חיים קשות ונעדר עבר פלילי, ובהתחשב בנסיבות אלו ובהמלצת שירות המבחן הוטלו על הנאשם 6 חודשי מאסר לריצוי בעבודות שירות ועונשים נלווים. </w:t>
      </w:r>
    </w:p>
    <w:p w14:paraId="7C2A9037" w14:textId="77777777" w:rsidR="001352C2" w:rsidRDefault="001352C2" w:rsidP="001352C2">
      <w:pPr>
        <w:spacing w:line="360" w:lineRule="auto"/>
        <w:jc w:val="both"/>
        <w:rPr>
          <w:b/>
          <w:rtl/>
        </w:rPr>
      </w:pPr>
      <w:r>
        <w:rPr>
          <w:rFonts w:hint="cs"/>
          <w:bCs/>
          <w:rtl/>
        </w:rPr>
        <w:t>ב</w:t>
      </w:r>
      <w:hyperlink r:id="rId22" w:history="1">
        <w:r w:rsidR="00CE25CB" w:rsidRPr="00CE25CB">
          <w:rPr>
            <w:bCs/>
            <w:color w:val="0000FF"/>
            <w:u w:val="single"/>
            <w:rtl/>
          </w:rPr>
          <w:t>ע"פ 4915/15</w:t>
        </w:r>
      </w:hyperlink>
      <w:r>
        <w:rPr>
          <w:rFonts w:hint="cs"/>
          <w:bCs/>
          <w:rtl/>
        </w:rPr>
        <w:t xml:space="preserve"> בעניין מהאדי וותאד ואחרים, </w:t>
      </w:r>
      <w:r>
        <w:rPr>
          <w:rFonts w:hint="cs"/>
          <w:b/>
          <w:rtl/>
        </w:rPr>
        <w:t>נידון עניינם של מי שהורשעו על פי הודאתם</w:t>
      </w:r>
      <w:r>
        <w:rPr>
          <w:rFonts w:hint="cs"/>
          <w:bCs/>
          <w:rtl/>
        </w:rPr>
        <w:t xml:space="preserve"> </w:t>
      </w:r>
      <w:r>
        <w:rPr>
          <w:rFonts w:hint="cs"/>
          <w:b/>
          <w:rtl/>
        </w:rPr>
        <w:t xml:space="preserve">בעבירות הקשורות לסמי פיצוציות ונידונו ל-24-28 חודשי מאסר. בפסק הדין צוין כי המערערים סיכמו עם אחר כי יספק להם 15 ק"ג של החומר, כאשר משוער כי בחומר זה היו כ-300 ג' של החומר הפעיל של הסם. </w:t>
      </w:r>
    </w:p>
    <w:p w14:paraId="07EB8831" w14:textId="77777777" w:rsidR="001352C2" w:rsidRDefault="001352C2" w:rsidP="001352C2">
      <w:pPr>
        <w:spacing w:line="360" w:lineRule="auto"/>
        <w:jc w:val="both"/>
        <w:rPr>
          <w:b/>
          <w:rtl/>
        </w:rPr>
      </w:pPr>
      <w:r>
        <w:rPr>
          <w:rFonts w:hint="cs"/>
          <w:b/>
          <w:rtl/>
        </w:rPr>
        <w:t xml:space="preserve">בית המשפט התחשב בנסיבות חייהם של המערערים וכן בכך שהסם הוגדר כסם מסוכן חודשים ספורים בלבד לפני ביצוע המעשים, ובהתחשב בכל אלו דחה את ערעוריהם. </w:t>
      </w:r>
    </w:p>
    <w:p w14:paraId="71D47D2A" w14:textId="77777777" w:rsidR="001352C2" w:rsidRDefault="001352C2" w:rsidP="001352C2">
      <w:pPr>
        <w:spacing w:line="360" w:lineRule="auto"/>
        <w:jc w:val="both"/>
        <w:rPr>
          <w:b/>
          <w:rtl/>
        </w:rPr>
      </w:pPr>
      <w:r>
        <w:rPr>
          <w:rFonts w:hint="cs"/>
          <w:bCs/>
          <w:rtl/>
        </w:rPr>
        <w:t>ב</w:t>
      </w:r>
      <w:hyperlink r:id="rId23" w:history="1">
        <w:r w:rsidR="00CE25CB" w:rsidRPr="00CE25CB">
          <w:rPr>
            <w:bCs/>
            <w:color w:val="0000FF"/>
            <w:u w:val="single"/>
            <w:rtl/>
          </w:rPr>
          <w:t>ת"פ (שלום נתניה) 38172-10-15</w:t>
        </w:r>
      </w:hyperlink>
      <w:r>
        <w:rPr>
          <w:rFonts w:hint="cs"/>
          <w:bCs/>
          <w:rtl/>
        </w:rPr>
        <w:t xml:space="preserve"> בעניין חנוכוב </w:t>
      </w:r>
      <w:r>
        <w:rPr>
          <w:rFonts w:hint="cs"/>
          <w:b/>
          <w:rtl/>
        </w:rPr>
        <w:t xml:space="preserve">הורשע הנאשם לאחר ניהול הוכחות בהחזקת 8 ג' שלא לצריכה עצמית של סם מסוג </w:t>
      </w:r>
      <w:r>
        <w:rPr>
          <w:b/>
        </w:rPr>
        <w:t>AB-FUBINACA</w:t>
      </w:r>
      <w:r>
        <w:rPr>
          <w:rFonts w:hint="cs"/>
          <w:b/>
          <w:rtl/>
        </w:rPr>
        <w:t xml:space="preserve"> ובניסיון להחזיק 962 ג' מסם זה. בגזר הדין עמד בית המשפט על כך שכמות הסם אותה היה אמור הנאשם לקבל, יכולה היתה לשמש כחומר פעיל בהכנתן של כ-100,000 מנות סם. נוכח דברים אלו הוטלו על הנאשם 30 חודשי מאסר ועונשים נלווים.</w:t>
      </w:r>
    </w:p>
    <w:p w14:paraId="7FD2AB64" w14:textId="77777777" w:rsidR="001352C2" w:rsidRDefault="001352C2" w:rsidP="001352C2">
      <w:pPr>
        <w:spacing w:line="360" w:lineRule="auto"/>
        <w:jc w:val="both"/>
        <w:rPr>
          <w:b/>
          <w:rtl/>
        </w:rPr>
      </w:pPr>
    </w:p>
    <w:p w14:paraId="50061456" w14:textId="77777777" w:rsidR="001352C2" w:rsidRDefault="001352C2" w:rsidP="001352C2">
      <w:pPr>
        <w:spacing w:line="360" w:lineRule="auto"/>
        <w:jc w:val="both"/>
        <w:rPr>
          <w:bCs/>
          <w:rtl/>
        </w:rPr>
      </w:pPr>
      <w:r>
        <w:rPr>
          <w:rFonts w:hint="cs"/>
          <w:b/>
          <w:rtl/>
        </w:rPr>
        <w:t xml:space="preserve">יצויין כי ב"כ הנאשם תמך טעוניו בפסיקה אשר בחלקה התייחסה לחוק המאבק. איני מוצאת, כאמור, כי ניתן להקיש מפסיקה זו לעבירה על פקודת הסמים, שעה שעסקינן בחומר שהוכר כסם מסוכן, ואשר העונש לצידו הינו 20 שנות מאסר (ר' </w:t>
      </w:r>
      <w:hyperlink r:id="rId24" w:history="1">
        <w:r w:rsidR="00CE25CB" w:rsidRPr="00CE25CB">
          <w:rPr>
            <w:bCs/>
            <w:color w:val="0000FF"/>
            <w:u w:val="single"/>
            <w:rtl/>
          </w:rPr>
          <w:t>ת"פ (שלום ת"א) 64986-01-15</w:t>
        </w:r>
      </w:hyperlink>
      <w:r>
        <w:rPr>
          <w:rFonts w:hint="cs"/>
          <w:bCs/>
          <w:rtl/>
        </w:rPr>
        <w:t xml:space="preserve"> בעניין מיכאל רשפל, </w:t>
      </w:r>
      <w:r>
        <w:rPr>
          <w:rFonts w:hint="cs"/>
          <w:b/>
          <w:rtl/>
        </w:rPr>
        <w:t>ו</w:t>
      </w:r>
      <w:hyperlink r:id="rId25" w:history="1">
        <w:r w:rsidR="00CE25CB" w:rsidRPr="00CE25CB">
          <w:rPr>
            <w:bCs/>
            <w:color w:val="0000FF"/>
            <w:u w:val="single"/>
            <w:rtl/>
          </w:rPr>
          <w:t>ת"פ (שלום ת"א) 35857-10-14</w:t>
        </w:r>
      </w:hyperlink>
      <w:r>
        <w:rPr>
          <w:rFonts w:hint="cs"/>
          <w:bCs/>
          <w:rtl/>
        </w:rPr>
        <w:t xml:space="preserve"> בעניין ויקטור בנקלר).</w:t>
      </w:r>
    </w:p>
    <w:p w14:paraId="14470E92" w14:textId="77777777" w:rsidR="001352C2" w:rsidRDefault="001352C2" w:rsidP="001352C2">
      <w:pPr>
        <w:spacing w:line="360" w:lineRule="auto"/>
        <w:jc w:val="both"/>
        <w:rPr>
          <w:bCs/>
          <w:rtl/>
        </w:rPr>
      </w:pPr>
    </w:p>
    <w:p w14:paraId="0506BD07" w14:textId="77777777" w:rsidR="001352C2" w:rsidRDefault="001352C2" w:rsidP="001352C2">
      <w:pPr>
        <w:spacing w:line="360" w:lineRule="auto"/>
        <w:jc w:val="both"/>
        <w:rPr>
          <w:b/>
          <w:rtl/>
        </w:rPr>
      </w:pPr>
      <w:r>
        <w:rPr>
          <w:rFonts w:hint="cs"/>
          <w:b/>
          <w:rtl/>
        </w:rPr>
        <w:t>עוד יצויין, כי</w:t>
      </w:r>
      <w:r>
        <w:rPr>
          <w:rFonts w:hint="cs"/>
          <w:bCs/>
          <w:rtl/>
        </w:rPr>
        <w:t xml:space="preserve"> ב</w:t>
      </w:r>
      <w:hyperlink r:id="rId26" w:history="1">
        <w:r w:rsidR="00CE25CB" w:rsidRPr="00CE25CB">
          <w:rPr>
            <w:bCs/>
            <w:color w:val="0000FF"/>
            <w:u w:val="single"/>
            <w:rtl/>
          </w:rPr>
          <w:t>ת"פ (שלום רמלה) 16980-01-14</w:t>
        </w:r>
      </w:hyperlink>
      <w:r>
        <w:rPr>
          <w:rFonts w:hint="cs"/>
          <w:bCs/>
          <w:rtl/>
        </w:rPr>
        <w:t xml:space="preserve"> בעניין בן יחזקאל, </w:t>
      </w:r>
      <w:r>
        <w:rPr>
          <w:rFonts w:hint="cs"/>
          <w:b/>
          <w:rtl/>
        </w:rPr>
        <w:t xml:space="preserve">אותו הגיש ב"כ הנאשם, הורשעו הנאשמים בהתאם להודאתם בעבירה על חוק המאבק בכך שהחזיקו ב-405 שקיות עם חומר מסכן. בהתחשב בהיעדר עבר פלילי, בנטילת האחריות, בכך שעסקינן בחוק המאבק ולא בפקודת הסמים, ובנסיבות נוספות ובכללן מעצרם של הנאשמים, נידונו הנאשמים ל-6 חודשי מאסר לריצוי בעבודות שירות. </w:t>
      </w:r>
    </w:p>
    <w:p w14:paraId="6E8E5BAE" w14:textId="77777777" w:rsidR="001352C2" w:rsidRDefault="001352C2" w:rsidP="001352C2">
      <w:pPr>
        <w:spacing w:line="360" w:lineRule="auto"/>
        <w:jc w:val="both"/>
        <w:rPr>
          <w:b/>
          <w:i/>
          <w:iCs/>
          <w:rtl/>
        </w:rPr>
      </w:pPr>
      <w:r>
        <w:rPr>
          <w:rFonts w:hint="cs"/>
          <w:b/>
          <w:i/>
          <w:iCs/>
          <w:rtl/>
        </w:rPr>
        <w:t>דומה כי מקל וחומר ניתן ללמוד כי ענישה בעבודות שירות אינה הולמת את מי שהורשע בהחזקת למעלה משניים וחצי קילו של סם מסוכן.</w:t>
      </w:r>
    </w:p>
    <w:p w14:paraId="66600D82" w14:textId="77777777" w:rsidR="001352C2" w:rsidRDefault="001352C2" w:rsidP="001352C2">
      <w:pPr>
        <w:spacing w:line="360" w:lineRule="auto"/>
        <w:jc w:val="both"/>
        <w:rPr>
          <w:b/>
          <w:i/>
          <w:iCs/>
          <w:rtl/>
        </w:rPr>
      </w:pPr>
    </w:p>
    <w:p w14:paraId="0DF31244" w14:textId="77777777" w:rsidR="001352C2" w:rsidRDefault="001352C2" w:rsidP="001352C2">
      <w:pPr>
        <w:spacing w:line="360" w:lineRule="auto"/>
        <w:jc w:val="both"/>
        <w:rPr>
          <w:b/>
          <w:i/>
          <w:iCs/>
          <w:rtl/>
        </w:rPr>
      </w:pPr>
      <w:r>
        <w:rPr>
          <w:rFonts w:hint="cs"/>
          <w:b/>
          <w:i/>
          <w:iCs/>
          <w:rtl/>
        </w:rPr>
        <w:t>עוד אני מוצאת לציין כי אמנם ב"כ הנאשם התייחס בטעוניו לפסיקה בה נקבע מה כמות מנות הסם אותה ניתן להפיק מהחומר שנתפס, ואולם בענייננו לא נטען ולא הוכח כמה מנות סם ניתן להפיק מהכמות שנתפסה, ולפיכך לא ניתן להקיש מקביעות אלו בפסיקות אחרות למקרה שבפניי.</w:t>
      </w:r>
    </w:p>
    <w:p w14:paraId="41106C9B" w14:textId="77777777" w:rsidR="001352C2" w:rsidRDefault="001352C2" w:rsidP="001352C2">
      <w:pPr>
        <w:spacing w:line="360" w:lineRule="auto"/>
        <w:jc w:val="both"/>
        <w:rPr>
          <w:bCs/>
          <w:rtl/>
        </w:rPr>
      </w:pPr>
    </w:p>
    <w:p w14:paraId="2E234F1A" w14:textId="77777777" w:rsidR="001352C2" w:rsidRDefault="001352C2" w:rsidP="001352C2">
      <w:pPr>
        <w:spacing w:line="360" w:lineRule="auto"/>
        <w:jc w:val="both"/>
        <w:rPr>
          <w:bCs/>
          <w:rtl/>
        </w:rPr>
      </w:pPr>
      <w:r>
        <w:rPr>
          <w:rFonts w:hint="cs"/>
          <w:bCs/>
          <w:rtl/>
        </w:rPr>
        <w:t>נוכח דברים אלו, ובהתחשב בקביעה כי יש להחמיר באופן הדרגתי את הענישה בגין סמי פיצוציות, אני קובעת מתחם עונש הולם בן 8 חודשים ועד 30 חודשי מאסר.</w:t>
      </w:r>
    </w:p>
    <w:p w14:paraId="1B9E554A" w14:textId="77777777" w:rsidR="001352C2" w:rsidRDefault="001352C2" w:rsidP="001352C2">
      <w:pPr>
        <w:spacing w:line="360" w:lineRule="auto"/>
        <w:jc w:val="both"/>
        <w:rPr>
          <w:bCs/>
          <w:rtl/>
        </w:rPr>
      </w:pPr>
    </w:p>
    <w:p w14:paraId="243ABE3E" w14:textId="77777777" w:rsidR="001352C2" w:rsidRDefault="001352C2" w:rsidP="001352C2">
      <w:pPr>
        <w:spacing w:line="360" w:lineRule="auto"/>
        <w:jc w:val="both"/>
        <w:rPr>
          <w:b/>
          <w:rtl/>
        </w:rPr>
      </w:pPr>
      <w:r>
        <w:rPr>
          <w:rFonts w:hint="cs"/>
          <w:bCs/>
          <w:rtl/>
        </w:rPr>
        <w:t xml:space="preserve">באשר לגזירת הדין </w:t>
      </w:r>
      <w:r>
        <w:rPr>
          <w:rFonts w:hint="cs"/>
          <w:b/>
          <w:rtl/>
        </w:rPr>
        <w:t>בתוך המתחם יש להתחשב בראש ובראשונה בקבלת האחריות על ידי הנאשם, והודאתו באשמה.</w:t>
      </w:r>
    </w:p>
    <w:p w14:paraId="7CA11980" w14:textId="77777777" w:rsidR="001352C2" w:rsidRDefault="001352C2" w:rsidP="001352C2">
      <w:pPr>
        <w:spacing w:line="360" w:lineRule="auto"/>
        <w:jc w:val="both"/>
        <w:rPr>
          <w:bCs/>
          <w:rtl/>
        </w:rPr>
      </w:pPr>
    </w:p>
    <w:p w14:paraId="4B5C408E" w14:textId="77777777" w:rsidR="001352C2" w:rsidRDefault="001352C2" w:rsidP="001352C2">
      <w:pPr>
        <w:spacing w:line="360" w:lineRule="auto"/>
        <w:jc w:val="both"/>
        <w:rPr>
          <w:b/>
          <w:rtl/>
        </w:rPr>
      </w:pPr>
      <w:r>
        <w:rPr>
          <w:rFonts w:hint="cs"/>
          <w:bCs/>
          <w:rtl/>
        </w:rPr>
        <w:t>תסקיר שירות המבחן</w:t>
      </w:r>
      <w:r>
        <w:rPr>
          <w:rFonts w:hint="cs"/>
          <w:b/>
          <w:rtl/>
        </w:rPr>
        <w:t xml:space="preserve"> שהוגש בעניינו מלמד כי הנאשם סובל מלקויות למידה מגיל צעיר, ולפיכך אף הוכר על ידי הביטוח הלאומי כנכה בשיעור של 75% (מסמכים התומכים בכך הוגשו במסגרת הטעונים לעונש).</w:t>
      </w:r>
    </w:p>
    <w:p w14:paraId="2D256792" w14:textId="77777777" w:rsidR="001352C2" w:rsidRDefault="001352C2" w:rsidP="001352C2">
      <w:pPr>
        <w:spacing w:line="360" w:lineRule="auto"/>
        <w:jc w:val="both"/>
        <w:rPr>
          <w:b/>
          <w:rtl/>
        </w:rPr>
      </w:pPr>
      <w:r>
        <w:rPr>
          <w:rFonts w:hint="cs"/>
          <w:b/>
          <w:rtl/>
        </w:rPr>
        <w:t xml:space="preserve">צוין כי במסגרת הליך המעצר התרשם שירות המבחן מעמדות בעייתיות של הנאשם ביחס לחוק, והתקשה להכיר באחריותו לבחירות בעייתיות אותן עשה לאורך השנים. </w:t>
      </w:r>
    </w:p>
    <w:p w14:paraId="0F0319AB" w14:textId="77777777" w:rsidR="001352C2" w:rsidRDefault="001352C2" w:rsidP="001352C2">
      <w:pPr>
        <w:spacing w:line="360" w:lineRule="auto"/>
        <w:jc w:val="both"/>
        <w:rPr>
          <w:b/>
          <w:rtl/>
        </w:rPr>
      </w:pPr>
      <w:r>
        <w:rPr>
          <w:rFonts w:hint="cs"/>
          <w:b/>
          <w:rtl/>
        </w:rPr>
        <w:t>לאחר שחרורו ממעצר השתתף הנאשם בקבוצת עצורי בית, ובמסגרתה הביע הבנה באשר למצבי סיכון עבורו.</w:t>
      </w:r>
    </w:p>
    <w:p w14:paraId="04FC6F7F" w14:textId="77777777" w:rsidR="001352C2" w:rsidRDefault="001352C2" w:rsidP="001352C2">
      <w:pPr>
        <w:spacing w:line="360" w:lineRule="auto"/>
        <w:jc w:val="both"/>
        <w:rPr>
          <w:b/>
          <w:rtl/>
        </w:rPr>
      </w:pPr>
      <w:r>
        <w:rPr>
          <w:rFonts w:hint="cs"/>
          <w:b/>
          <w:i/>
          <w:iCs/>
          <w:rtl/>
        </w:rPr>
        <w:t>באבחון הנוכחי התקשה הנאשם להעמיק ברקע לביצוע העבירות, ונטה להשליך את האחריות על חלק ממעשיו על גורמים חיצוניים. עם זאת, הוא נמצא נקי מסמים כעת, והביע רצון להשתלב בטיפול</w:t>
      </w:r>
      <w:r>
        <w:rPr>
          <w:rFonts w:hint="cs"/>
          <w:b/>
          <w:rtl/>
        </w:rPr>
        <w:t xml:space="preserve">. </w:t>
      </w:r>
      <w:r>
        <w:rPr>
          <w:rFonts w:hint="cs"/>
          <w:b/>
          <w:i/>
          <w:iCs/>
          <w:rtl/>
        </w:rPr>
        <w:t>שירות המבחן התרשם כי מוקד הבעייתיות הינו בדפוסיו השוליים של הנאשם ולא בהתמכרות לסם.</w:t>
      </w:r>
      <w:r>
        <w:rPr>
          <w:rFonts w:hint="cs"/>
          <w:b/>
          <w:rtl/>
        </w:rPr>
        <w:t xml:space="preserve">  שירות המבחן התרשם כי הנאשם מביע </w:t>
      </w:r>
      <w:r>
        <w:rPr>
          <w:rFonts w:hint="cs"/>
          <w:b/>
          <w:i/>
          <w:iCs/>
          <w:rtl/>
        </w:rPr>
        <w:t xml:space="preserve"> הבנה ראשונית </w:t>
      </w:r>
      <w:r>
        <w:rPr>
          <w:rFonts w:hint="cs"/>
          <w:b/>
          <w:rtl/>
        </w:rPr>
        <w:t xml:space="preserve">באשר לדפוסיו הבעייתיים, וכי קיים סיכון מסוים להישנות עבירות, אשר יכול להיות מופחת אם ישתלב בטיפול. </w:t>
      </w:r>
      <w:r>
        <w:rPr>
          <w:rFonts w:hint="cs"/>
          <w:b/>
          <w:i/>
          <w:iCs/>
          <w:rtl/>
        </w:rPr>
        <w:t xml:space="preserve"> נוכח ההכרה הראשונית בקשיים והנכונות להשתלב בטיפול</w:t>
      </w:r>
      <w:r>
        <w:rPr>
          <w:rFonts w:hint="cs"/>
          <w:b/>
          <w:rtl/>
        </w:rPr>
        <w:t xml:space="preserve"> המליץ שירות המבחן להטיל על הנאשם צו מבחן למשך שנה, ושל"צ.</w:t>
      </w:r>
    </w:p>
    <w:p w14:paraId="634DFB5B" w14:textId="77777777" w:rsidR="001352C2" w:rsidRDefault="001352C2" w:rsidP="001352C2">
      <w:pPr>
        <w:spacing w:line="360" w:lineRule="auto"/>
        <w:jc w:val="both"/>
        <w:rPr>
          <w:bCs/>
          <w:rtl/>
        </w:rPr>
      </w:pPr>
    </w:p>
    <w:p w14:paraId="41B0AFF2" w14:textId="77777777" w:rsidR="001352C2" w:rsidRDefault="001352C2" w:rsidP="001352C2">
      <w:pPr>
        <w:spacing w:line="360" w:lineRule="auto"/>
        <w:jc w:val="both"/>
        <w:rPr>
          <w:b/>
          <w:rtl/>
        </w:rPr>
      </w:pPr>
      <w:r>
        <w:rPr>
          <w:rFonts w:hint="cs"/>
          <w:b/>
          <w:rtl/>
        </w:rPr>
        <w:t>בהתאם לתיקון 113 ב</w:t>
      </w:r>
      <w:hyperlink r:id="rId27" w:history="1">
        <w:r w:rsidR="00CE25CB" w:rsidRPr="00CE25CB">
          <w:rPr>
            <w:b/>
            <w:color w:val="0000FF"/>
            <w:u w:val="single"/>
            <w:rtl/>
          </w:rPr>
          <w:t>חוק העונשין</w:t>
        </w:r>
      </w:hyperlink>
      <w:r>
        <w:rPr>
          <w:rFonts w:hint="cs"/>
          <w:b/>
          <w:rtl/>
        </w:rPr>
        <w:t xml:space="preserve">, ניתן לסטות ממתחם העונש ההולם בשל קיומם של סיכויי שיקום, אם מצא בית המשפט כי הנאשם השתקם או כי יש סיכוי של ממש שישתקם. עסקינן בחריג לכלל, ויש לעשות בו שימוש באותם מקרים חריגים המצדיקים את העדפת אינטרס השיקום על פני אינטרס הכלל חרף חומרת העבירות וקיומו של עבר פלילי.  </w:t>
      </w:r>
    </w:p>
    <w:p w14:paraId="325AA13E" w14:textId="77777777" w:rsidR="001352C2" w:rsidRDefault="001352C2" w:rsidP="001352C2">
      <w:pPr>
        <w:spacing w:line="360" w:lineRule="auto"/>
        <w:jc w:val="both"/>
        <w:rPr>
          <w:b/>
          <w:rtl/>
        </w:rPr>
      </w:pPr>
      <w:r>
        <w:rPr>
          <w:rFonts w:hint="cs"/>
          <w:b/>
          <w:rtl/>
        </w:rPr>
        <w:t>ככלל קבעו בתי המשפט כי קיים סיכוי של ממש לשיקום כאשר הנאשם כבר השתלב בטיפול באופן אינטנסיבי. בענייננו טרם השתלב הנאשם בטיפול והוא אך צפוי לעשות כן, כפי שעולה מתסקיר שירות המבחן בעניינו. לפיכך, איני מוצאת כי יש מקום לסטות ממתחם העונש ההולם.</w:t>
      </w:r>
    </w:p>
    <w:p w14:paraId="59E8A88E" w14:textId="77777777" w:rsidR="001352C2" w:rsidRDefault="001352C2" w:rsidP="001352C2">
      <w:pPr>
        <w:spacing w:line="360" w:lineRule="auto"/>
        <w:jc w:val="both"/>
        <w:rPr>
          <w:b/>
          <w:rtl/>
        </w:rPr>
      </w:pPr>
    </w:p>
    <w:p w14:paraId="4D97320B" w14:textId="77777777" w:rsidR="001352C2" w:rsidRDefault="001352C2" w:rsidP="001352C2">
      <w:pPr>
        <w:spacing w:line="360" w:lineRule="auto"/>
        <w:jc w:val="both"/>
        <w:rPr>
          <w:b/>
          <w:rtl/>
        </w:rPr>
      </w:pPr>
      <w:r>
        <w:rPr>
          <w:rFonts w:hint="cs"/>
          <w:b/>
          <w:rtl/>
        </w:rPr>
        <w:t>כן יש להתחשב בגזירת הדין בעברו הפלילי של הנאשם, ובענין זה יצויין כי הנאשם ריצה בעבר מאסר קצר, בגין עבירה שאינה ממין הענין.</w:t>
      </w:r>
    </w:p>
    <w:p w14:paraId="3C679D66" w14:textId="77777777" w:rsidR="001352C2" w:rsidRDefault="001352C2" w:rsidP="001352C2">
      <w:pPr>
        <w:spacing w:line="360" w:lineRule="auto"/>
        <w:jc w:val="both"/>
        <w:rPr>
          <w:b/>
          <w:rtl/>
        </w:rPr>
      </w:pPr>
    </w:p>
    <w:p w14:paraId="6E0E1DE1" w14:textId="77777777" w:rsidR="001352C2" w:rsidRDefault="001352C2" w:rsidP="001352C2">
      <w:pPr>
        <w:spacing w:line="360" w:lineRule="auto"/>
        <w:jc w:val="both"/>
        <w:rPr>
          <w:b/>
          <w:rtl/>
        </w:rPr>
      </w:pPr>
      <w:r>
        <w:rPr>
          <w:rFonts w:hint="cs"/>
          <w:b/>
          <w:rtl/>
        </w:rPr>
        <w:t>בסופו של יום, בהתחשב בכמות הסם הגדולה שנתפסה, בסוג הסם אשר אין להקל בו ראש, ומנגד בהודאתו של הנאשם, במאפייניו האישיותיים וקשייו, בנכונותו להתחיל בטיפול לצד העובדה כי טרם עשה כן, בעברו הפלילי, ובעובדה כי הנאשם נותן את הדין גם בגין החזקת תחמושת,אני סבורה כי לא ניתן להסתפק במאסר לריצוי בעבודות שירות, כעתירת בא כוחו.</w:t>
      </w:r>
    </w:p>
    <w:p w14:paraId="2E9D3A0C" w14:textId="77777777" w:rsidR="001352C2" w:rsidRDefault="001352C2" w:rsidP="001352C2">
      <w:pPr>
        <w:spacing w:line="360" w:lineRule="auto"/>
        <w:jc w:val="both"/>
        <w:rPr>
          <w:b/>
          <w:rtl/>
        </w:rPr>
      </w:pPr>
      <w:r>
        <w:rPr>
          <w:rFonts w:hint="cs"/>
          <w:b/>
          <w:rtl/>
        </w:rPr>
        <w:t>עם זאת, ובנסיבות המתוארות לקולא, אין למצות עימו את הדין, ולפיכך ייגזר דינו קרוב לרף התחתון של המתחם.</w:t>
      </w:r>
    </w:p>
    <w:p w14:paraId="60C8BB32" w14:textId="77777777" w:rsidR="001352C2" w:rsidRDefault="001352C2" w:rsidP="001352C2">
      <w:pPr>
        <w:spacing w:line="360" w:lineRule="auto"/>
        <w:jc w:val="both"/>
        <w:rPr>
          <w:b/>
          <w:rtl/>
        </w:rPr>
      </w:pPr>
    </w:p>
    <w:p w14:paraId="0FC24908" w14:textId="77777777" w:rsidR="001352C2" w:rsidRDefault="001352C2" w:rsidP="001352C2">
      <w:pPr>
        <w:spacing w:line="360" w:lineRule="auto"/>
        <w:jc w:val="both"/>
        <w:rPr>
          <w:b/>
          <w:bCs/>
          <w:u w:val="single"/>
          <w:rtl/>
        </w:rPr>
      </w:pPr>
      <w:r>
        <w:rPr>
          <w:rFonts w:hint="cs"/>
          <w:b/>
          <w:bCs/>
          <w:u w:val="single"/>
          <w:rtl/>
        </w:rPr>
        <w:t>אשר על כן אני מטילה על הנאשם את העונשים הבאים:</w:t>
      </w:r>
    </w:p>
    <w:p w14:paraId="2B785F8B" w14:textId="77777777" w:rsidR="001352C2" w:rsidRDefault="001352C2" w:rsidP="001352C2">
      <w:pPr>
        <w:spacing w:line="360" w:lineRule="auto"/>
        <w:jc w:val="both"/>
        <w:rPr>
          <w:b/>
          <w:rtl/>
        </w:rPr>
      </w:pPr>
    </w:p>
    <w:p w14:paraId="43F634B5" w14:textId="77777777" w:rsidR="001352C2" w:rsidRDefault="001352C2" w:rsidP="001352C2">
      <w:pPr>
        <w:spacing w:line="360" w:lineRule="auto"/>
        <w:jc w:val="both"/>
        <w:rPr>
          <w:b/>
          <w:u w:val="single"/>
          <w:rtl/>
        </w:rPr>
      </w:pPr>
      <w:r>
        <w:rPr>
          <w:rFonts w:hint="cs"/>
          <w:b/>
          <w:rtl/>
        </w:rPr>
        <w:t>א.</w:t>
      </w:r>
      <w:r>
        <w:rPr>
          <w:rFonts w:hint="cs"/>
          <w:b/>
          <w:rtl/>
        </w:rPr>
        <w:tab/>
        <w:t>10 חודשי מאסר, בניכוי ימי מעצרו - 8.3.15-15.3.15.</w:t>
      </w:r>
    </w:p>
    <w:p w14:paraId="5750DC18" w14:textId="77777777" w:rsidR="001352C2" w:rsidRDefault="001352C2" w:rsidP="001352C2">
      <w:pPr>
        <w:spacing w:line="360" w:lineRule="auto"/>
        <w:ind w:left="720" w:hanging="720"/>
        <w:jc w:val="both"/>
        <w:rPr>
          <w:b/>
          <w:rtl/>
        </w:rPr>
      </w:pPr>
      <w:r>
        <w:rPr>
          <w:rFonts w:hint="cs"/>
          <w:b/>
          <w:rtl/>
        </w:rPr>
        <w:t>ב.</w:t>
      </w:r>
      <w:r>
        <w:rPr>
          <w:rFonts w:hint="cs"/>
          <w:b/>
          <w:rtl/>
        </w:rPr>
        <w:tab/>
        <w:t xml:space="preserve">10 חודשי מאסר על תנאי למשך 3 שנים לבל יעבור עבירה על </w:t>
      </w:r>
      <w:hyperlink r:id="rId28" w:history="1">
        <w:r w:rsidR="00CE25CB" w:rsidRPr="00CE25CB">
          <w:rPr>
            <w:b/>
            <w:color w:val="0000FF"/>
            <w:u w:val="single"/>
            <w:rtl/>
          </w:rPr>
          <w:t>פקודת הסמים המסוכנים</w:t>
        </w:r>
      </w:hyperlink>
      <w:r>
        <w:rPr>
          <w:rFonts w:hint="cs"/>
          <w:b/>
          <w:rtl/>
        </w:rPr>
        <w:t xml:space="preserve"> מסוג פשע. </w:t>
      </w:r>
    </w:p>
    <w:p w14:paraId="5418647A" w14:textId="77777777" w:rsidR="001352C2" w:rsidRDefault="001352C2" w:rsidP="001352C2">
      <w:pPr>
        <w:spacing w:line="360" w:lineRule="auto"/>
        <w:ind w:left="720" w:hanging="720"/>
        <w:jc w:val="both"/>
        <w:rPr>
          <w:b/>
          <w:rtl/>
        </w:rPr>
      </w:pPr>
      <w:r>
        <w:rPr>
          <w:rFonts w:hint="cs"/>
          <w:b/>
          <w:rtl/>
        </w:rPr>
        <w:t>ג.</w:t>
      </w:r>
      <w:r>
        <w:rPr>
          <w:rFonts w:hint="cs"/>
          <w:b/>
          <w:rtl/>
        </w:rPr>
        <w:tab/>
        <w:t xml:space="preserve">6 חודשי מאסר על תנאי למשך 3 שנים לבל יעבור עבירה על </w:t>
      </w:r>
      <w:hyperlink r:id="rId29" w:history="1">
        <w:r w:rsidR="00CE25CB" w:rsidRPr="00CE25CB">
          <w:rPr>
            <w:b/>
            <w:color w:val="0000FF"/>
            <w:u w:val="single"/>
            <w:rtl/>
          </w:rPr>
          <w:t>פקודת הסמים המסוכנים</w:t>
        </w:r>
      </w:hyperlink>
      <w:r>
        <w:rPr>
          <w:rFonts w:hint="cs"/>
          <w:b/>
          <w:rtl/>
        </w:rPr>
        <w:t xml:space="preserve"> מסוג עוון.</w:t>
      </w:r>
    </w:p>
    <w:p w14:paraId="46D37B67" w14:textId="77777777" w:rsidR="001352C2" w:rsidRDefault="001352C2" w:rsidP="001352C2">
      <w:pPr>
        <w:spacing w:line="360" w:lineRule="auto"/>
        <w:ind w:left="720" w:hanging="720"/>
        <w:jc w:val="both"/>
        <w:rPr>
          <w:b/>
          <w:rtl/>
        </w:rPr>
      </w:pPr>
      <w:r>
        <w:rPr>
          <w:rFonts w:hint="cs"/>
          <w:b/>
          <w:rtl/>
        </w:rPr>
        <w:t>ד.</w:t>
      </w:r>
      <w:r>
        <w:rPr>
          <w:rFonts w:hint="cs"/>
          <w:b/>
          <w:rtl/>
        </w:rPr>
        <w:tab/>
        <w:t>3,000 ₪ קנס או 30 ימי מאסר תמורתו.</w:t>
      </w:r>
    </w:p>
    <w:p w14:paraId="3A320B84" w14:textId="77777777" w:rsidR="001352C2" w:rsidRDefault="001352C2" w:rsidP="001352C2">
      <w:pPr>
        <w:spacing w:line="360" w:lineRule="auto"/>
        <w:ind w:left="720" w:hanging="720"/>
        <w:jc w:val="both"/>
        <w:rPr>
          <w:b/>
          <w:rtl/>
        </w:rPr>
      </w:pPr>
      <w:r>
        <w:rPr>
          <w:rFonts w:hint="cs"/>
          <w:b/>
          <w:rtl/>
        </w:rPr>
        <w:tab/>
        <w:t>הקנס ישולם עד ליום 1.11.16.</w:t>
      </w:r>
    </w:p>
    <w:p w14:paraId="2CF08C6A" w14:textId="77777777" w:rsidR="001352C2" w:rsidRDefault="001352C2" w:rsidP="001352C2">
      <w:pPr>
        <w:spacing w:line="360" w:lineRule="auto"/>
        <w:ind w:left="720" w:hanging="720"/>
        <w:jc w:val="both"/>
        <w:rPr>
          <w:b/>
          <w:rtl/>
        </w:rPr>
      </w:pPr>
    </w:p>
    <w:p w14:paraId="23478099" w14:textId="77777777" w:rsidR="001352C2" w:rsidRDefault="001352C2" w:rsidP="001352C2">
      <w:pPr>
        <w:spacing w:line="360" w:lineRule="auto"/>
        <w:ind w:left="720" w:hanging="720"/>
        <w:jc w:val="both"/>
        <w:rPr>
          <w:bCs/>
          <w:rtl/>
        </w:rPr>
      </w:pPr>
      <w:r>
        <w:rPr>
          <w:rFonts w:hint="cs"/>
          <w:bCs/>
          <w:rtl/>
        </w:rPr>
        <w:t>הסם יושמד.</w:t>
      </w:r>
    </w:p>
    <w:p w14:paraId="091D2901" w14:textId="77777777" w:rsidR="001352C2" w:rsidRDefault="001352C2" w:rsidP="001352C2">
      <w:pPr>
        <w:spacing w:line="360" w:lineRule="auto"/>
        <w:ind w:left="720" w:hanging="720"/>
        <w:jc w:val="both"/>
        <w:rPr>
          <w:bCs/>
          <w:rtl/>
        </w:rPr>
      </w:pPr>
      <w:r>
        <w:rPr>
          <w:rFonts w:hint="cs"/>
          <w:bCs/>
          <w:rtl/>
        </w:rPr>
        <w:t>העתק הפרוטוקול יישלח לשירות המבחן.</w:t>
      </w:r>
    </w:p>
    <w:p w14:paraId="3EBAC06A" w14:textId="77777777" w:rsidR="001352C2" w:rsidRDefault="001352C2" w:rsidP="001352C2">
      <w:pPr>
        <w:spacing w:line="360" w:lineRule="auto"/>
        <w:ind w:left="720" w:hanging="720"/>
        <w:jc w:val="both"/>
        <w:rPr>
          <w:bCs/>
          <w:rtl/>
        </w:rPr>
      </w:pPr>
      <w:r>
        <w:rPr>
          <w:rFonts w:hint="cs"/>
          <w:bCs/>
          <w:rtl/>
        </w:rPr>
        <w:t>זכות ערעור כדין.</w:t>
      </w:r>
    </w:p>
    <w:p w14:paraId="1D746D10" w14:textId="77777777" w:rsidR="001352C2" w:rsidRDefault="001352C2" w:rsidP="001352C2">
      <w:pPr>
        <w:spacing w:line="360" w:lineRule="auto"/>
        <w:jc w:val="both"/>
        <w:rPr>
          <w:b/>
          <w:u w:val="single"/>
          <w:rtl/>
        </w:rPr>
      </w:pPr>
    </w:p>
    <w:p w14:paraId="1688CE64" w14:textId="77777777" w:rsidR="001352C2" w:rsidRPr="00CE25CB" w:rsidRDefault="00CE25CB" w:rsidP="001352C2">
      <w:pPr>
        <w:spacing w:line="360" w:lineRule="auto"/>
        <w:jc w:val="both"/>
        <w:rPr>
          <w:rFonts w:ascii="Arial" w:hAnsi="Arial"/>
          <w:noProof w:val="0"/>
          <w:color w:val="FFFFFF"/>
          <w:sz w:val="2"/>
          <w:szCs w:val="2"/>
          <w:rtl/>
        </w:rPr>
      </w:pPr>
      <w:r w:rsidRPr="00CE25CB">
        <w:rPr>
          <w:rFonts w:ascii="Arial" w:hAnsi="Arial"/>
          <w:noProof w:val="0"/>
          <w:color w:val="FFFFFF"/>
          <w:sz w:val="2"/>
          <w:szCs w:val="2"/>
          <w:rtl/>
        </w:rPr>
        <w:t>5129371</w:t>
      </w:r>
    </w:p>
    <w:p w14:paraId="1962820F" w14:textId="77777777" w:rsidR="001352C2" w:rsidRPr="00CE25CB" w:rsidRDefault="00CE25CB" w:rsidP="001352C2">
      <w:pPr>
        <w:spacing w:line="360" w:lineRule="auto"/>
        <w:jc w:val="both"/>
        <w:rPr>
          <w:rFonts w:ascii="Arial" w:hAnsi="Arial"/>
          <w:noProof w:val="0"/>
          <w:color w:val="FFFFFF"/>
          <w:sz w:val="2"/>
          <w:szCs w:val="2"/>
          <w:rtl/>
        </w:rPr>
      </w:pPr>
      <w:r w:rsidRPr="00CE25CB">
        <w:rPr>
          <w:rFonts w:ascii="Arial" w:hAnsi="Arial"/>
          <w:noProof w:val="0"/>
          <w:color w:val="FFFFFF"/>
          <w:sz w:val="2"/>
          <w:szCs w:val="2"/>
          <w:rtl/>
        </w:rPr>
        <w:t>54678313</w:t>
      </w:r>
    </w:p>
    <w:p w14:paraId="732447F9" w14:textId="77777777" w:rsidR="001352C2" w:rsidRDefault="001352C2" w:rsidP="001352C2">
      <w:pPr>
        <w:spacing w:line="360" w:lineRule="auto"/>
        <w:jc w:val="both"/>
        <w:rPr>
          <w:rFonts w:ascii="Arial" w:hAnsi="Arial"/>
          <w:noProof w:val="0"/>
          <w:rtl/>
        </w:rPr>
      </w:pPr>
    </w:p>
    <w:p w14:paraId="51EA0315" w14:textId="77777777" w:rsidR="001352C2" w:rsidRDefault="00CE25CB" w:rsidP="001352C2">
      <w:pPr>
        <w:tabs>
          <w:tab w:val="left" w:pos="2553"/>
        </w:tabs>
        <w:ind w:left="5040"/>
        <w:rPr>
          <w:rtl/>
        </w:rPr>
      </w:pPr>
      <w:r>
        <w:rPr>
          <w:rFonts w:ascii="Arial" w:hAnsi="Arial"/>
          <w:noProof w:val="0"/>
          <w:rtl/>
        </w:rPr>
        <w:t xml:space="preserve">ניתנה היום, י"ד תמוז תשע"ו, 20 יולי 2016, במעמד הצדדים. </w:t>
      </w:r>
      <w:r w:rsidR="001352C2">
        <w:rPr>
          <w:rFonts w:hint="cs"/>
          <w:rtl/>
        </w:rPr>
        <w:t xml:space="preserve">     </w:t>
      </w:r>
    </w:p>
    <w:p w14:paraId="19851E90" w14:textId="77777777" w:rsidR="001352C2" w:rsidRDefault="001352C2" w:rsidP="001352C2">
      <w:pPr>
        <w:tabs>
          <w:tab w:val="left" w:pos="2553"/>
        </w:tabs>
      </w:pPr>
      <w:r>
        <w:rPr>
          <w:rFonts w:hint="cs"/>
          <w:rtl/>
        </w:rPr>
        <w:tab/>
      </w:r>
      <w:r>
        <w:rPr>
          <w:rFonts w:hint="cs"/>
          <w:rtl/>
        </w:rPr>
        <w:tab/>
      </w:r>
      <w:r>
        <w:rPr>
          <w:rFonts w:hint="cs"/>
          <w:rtl/>
        </w:rPr>
        <w:tab/>
      </w:r>
      <w:r>
        <w:rPr>
          <w:rFonts w:hint="cs"/>
          <w:rtl/>
        </w:rPr>
        <w:tab/>
        <w:t xml:space="preserve">        </w:t>
      </w:r>
    </w:p>
    <w:p w14:paraId="22F23D4D" w14:textId="77777777" w:rsidR="001352C2" w:rsidRDefault="001352C2" w:rsidP="001352C2">
      <w:pPr>
        <w:tabs>
          <w:tab w:val="left" w:pos="2553"/>
        </w:tabs>
        <w:rPr>
          <w:rFonts w:ascii="Arial" w:hAnsi="Arial"/>
          <w:noProof w:val="0"/>
          <w:rtl/>
        </w:rPr>
      </w:pPr>
    </w:p>
    <w:p w14:paraId="42267549" w14:textId="77777777" w:rsidR="00CE25CB" w:rsidRPr="00CE25CB" w:rsidRDefault="00CE25CB" w:rsidP="00CE25CB">
      <w:pPr>
        <w:keepNext/>
        <w:rPr>
          <w:rFonts w:ascii="David" w:hAnsi="David"/>
          <w:color w:val="000000"/>
          <w:sz w:val="22"/>
          <w:szCs w:val="22"/>
          <w:rtl/>
        </w:rPr>
      </w:pPr>
    </w:p>
    <w:p w14:paraId="586E41D7" w14:textId="77777777" w:rsidR="00CE25CB" w:rsidRPr="00CE25CB" w:rsidRDefault="00CE25CB" w:rsidP="00CE25CB">
      <w:pPr>
        <w:keepNext/>
        <w:rPr>
          <w:rFonts w:ascii="David" w:hAnsi="David"/>
          <w:color w:val="000000"/>
          <w:sz w:val="22"/>
          <w:szCs w:val="22"/>
          <w:rtl/>
        </w:rPr>
      </w:pPr>
      <w:r w:rsidRPr="00CE25CB">
        <w:rPr>
          <w:rFonts w:ascii="David" w:hAnsi="David"/>
          <w:color w:val="000000"/>
          <w:sz w:val="22"/>
          <w:szCs w:val="22"/>
          <w:rtl/>
        </w:rPr>
        <w:t>אליאנא דניאלי 54678313</w:t>
      </w:r>
    </w:p>
    <w:p w14:paraId="18E0CA85" w14:textId="77777777" w:rsidR="00CE25CB" w:rsidRDefault="00CE25CB" w:rsidP="00CE25CB">
      <w:r w:rsidRPr="00CE25CB">
        <w:rPr>
          <w:color w:val="000000"/>
          <w:rtl/>
        </w:rPr>
        <w:t>נוסח מסמך זה כפוף לשינויי ניסוח ועריכה</w:t>
      </w:r>
    </w:p>
    <w:p w14:paraId="02C61BFF" w14:textId="77777777" w:rsidR="00CE25CB" w:rsidRDefault="00CE25CB" w:rsidP="00CE25CB">
      <w:pPr>
        <w:rPr>
          <w:rtl/>
        </w:rPr>
      </w:pPr>
    </w:p>
    <w:p w14:paraId="052CCAA6" w14:textId="77777777" w:rsidR="00CE25CB" w:rsidRDefault="00CE25CB" w:rsidP="00CE25CB">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26700F3" w14:textId="77777777" w:rsidR="00B1215F" w:rsidRDefault="00B1215F" w:rsidP="00CE25CB">
      <w:pPr>
        <w:jc w:val="center"/>
        <w:rPr>
          <w:rFonts w:hint="cs"/>
          <w:color w:val="0000FF"/>
          <w:u w:val="single"/>
          <w:rtl/>
        </w:rPr>
      </w:pPr>
    </w:p>
    <w:p w14:paraId="649C2F0D" w14:textId="77777777" w:rsidR="00B94B4F" w:rsidRPr="00CE25CB" w:rsidRDefault="00B94B4F" w:rsidP="00CE25CB">
      <w:pPr>
        <w:jc w:val="center"/>
        <w:rPr>
          <w:color w:val="0000FF"/>
          <w:u w:val="single"/>
        </w:rPr>
      </w:pPr>
    </w:p>
    <w:sectPr w:rsidR="00B94B4F" w:rsidRPr="00CE25CB" w:rsidSect="00CE25CB">
      <w:headerReference w:type="even" r:id="rId31"/>
      <w:headerReference w:type="default" r:id="rId32"/>
      <w:footerReference w:type="even" r:id="rId33"/>
      <w:footerReference w:type="default" r:id="rId34"/>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960E2" w14:textId="77777777" w:rsidR="00B44FA4" w:rsidRDefault="00B44FA4">
      <w:r>
        <w:separator/>
      </w:r>
    </w:p>
  </w:endnote>
  <w:endnote w:type="continuationSeparator" w:id="0">
    <w:p w14:paraId="0A1DA8F4" w14:textId="77777777" w:rsidR="00B44FA4" w:rsidRDefault="00B4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0DA4" w14:textId="77777777" w:rsidR="00A45474" w:rsidRDefault="00A45474" w:rsidP="00CE25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82C0EAA" w14:textId="77777777" w:rsidR="00A45474" w:rsidRPr="00CE25CB" w:rsidRDefault="00A45474" w:rsidP="00CE25CB">
    <w:pPr>
      <w:pStyle w:val="a5"/>
      <w:pBdr>
        <w:top w:val="single" w:sz="4" w:space="1" w:color="auto"/>
        <w:between w:val="single" w:sz="4" w:space="0" w:color="auto"/>
      </w:pBdr>
      <w:spacing w:after="60"/>
      <w:jc w:val="center"/>
      <w:rPr>
        <w:rFonts w:ascii="FrankRuehl" w:hAnsi="FrankRuehl" w:cs="FrankRuehl"/>
        <w:color w:val="000000"/>
      </w:rPr>
    </w:pPr>
    <w:r w:rsidRPr="00CE25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F968C" w14:textId="77777777" w:rsidR="00A45474" w:rsidRDefault="00A45474" w:rsidP="00CE25CB">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FF0A2D">
      <w:rPr>
        <w:rStyle w:val="a6"/>
        <w:rFonts w:ascii="FrankRuehl" w:hAnsi="FrankRuehl" w:cs="FrankRuehl"/>
        <w:rtl/>
      </w:rPr>
      <w:t>1</w:t>
    </w:r>
    <w:r>
      <w:rPr>
        <w:rStyle w:val="a6"/>
        <w:rFonts w:ascii="FrankRuehl" w:hAnsi="FrankRuehl" w:cs="FrankRuehl"/>
        <w:rtl/>
      </w:rPr>
      <w:fldChar w:fldCharType="end"/>
    </w:r>
  </w:p>
  <w:p w14:paraId="05BF436B" w14:textId="77777777" w:rsidR="00A45474" w:rsidRPr="00CE25CB" w:rsidRDefault="00A45474" w:rsidP="00CE25CB">
    <w:pPr>
      <w:pStyle w:val="a5"/>
      <w:pBdr>
        <w:top w:val="single" w:sz="4" w:space="1" w:color="auto"/>
        <w:between w:val="single" w:sz="4" w:space="0" w:color="auto"/>
      </w:pBdr>
      <w:spacing w:after="60"/>
      <w:jc w:val="center"/>
      <w:rPr>
        <w:rStyle w:val="a6"/>
        <w:rFonts w:ascii="FrankRuehl" w:hAnsi="FrankRuehl" w:cs="FrankRuehl" w:hint="cs"/>
        <w:color w:val="000000"/>
      </w:rPr>
    </w:pPr>
    <w:r w:rsidRPr="00CE25CB">
      <w:rPr>
        <w:rStyle w:val="a6"/>
        <w:rFonts w:ascii="FrankRuehl" w:hAnsi="FrankRuehl" w:cs="FrankRuehl" w:hint="cs"/>
        <w:color w:val="000000"/>
      </w:rPr>
      <w:pict w14:anchorId="583EC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F81DE" w14:textId="77777777" w:rsidR="00B44FA4" w:rsidRDefault="00B44FA4">
      <w:r>
        <w:separator/>
      </w:r>
    </w:p>
  </w:footnote>
  <w:footnote w:type="continuationSeparator" w:id="0">
    <w:p w14:paraId="77F5D0A9" w14:textId="77777777" w:rsidR="00B44FA4" w:rsidRDefault="00B44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40142" w14:textId="77777777" w:rsidR="00A45474" w:rsidRPr="00CE25CB" w:rsidRDefault="00A45474" w:rsidP="00CE25C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55163-03-15</w:t>
    </w:r>
    <w:r>
      <w:rPr>
        <w:rFonts w:ascii="David" w:hAnsi="David"/>
        <w:color w:val="000000"/>
        <w:sz w:val="22"/>
        <w:szCs w:val="22"/>
        <w:rtl/>
      </w:rPr>
      <w:tab/>
      <w:t xml:space="preserve"> מדינת ישראל נ' אודי אלקנה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107D2" w14:textId="77777777" w:rsidR="00A45474" w:rsidRPr="00CE25CB" w:rsidRDefault="00A45474" w:rsidP="00CE25C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55163-03-15</w:t>
    </w:r>
    <w:r>
      <w:rPr>
        <w:rFonts w:ascii="David" w:hAnsi="David"/>
        <w:color w:val="000000"/>
        <w:sz w:val="22"/>
        <w:szCs w:val="22"/>
        <w:rtl/>
      </w:rPr>
      <w:tab/>
      <w:t xml:space="preserve"> מדינת ישראל נ' אודי אלקנה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52C2"/>
    <w:rsid w:val="001352C2"/>
    <w:rsid w:val="00174FB2"/>
    <w:rsid w:val="00212346"/>
    <w:rsid w:val="00291ACE"/>
    <w:rsid w:val="00454FD6"/>
    <w:rsid w:val="00A45474"/>
    <w:rsid w:val="00AD2BC7"/>
    <w:rsid w:val="00B1215F"/>
    <w:rsid w:val="00B44FA4"/>
    <w:rsid w:val="00B94B4F"/>
    <w:rsid w:val="00C450F6"/>
    <w:rsid w:val="00CC1A12"/>
    <w:rsid w:val="00CE25CB"/>
    <w:rsid w:val="00D7545E"/>
    <w:rsid w:val="00ED5A9D"/>
    <w:rsid w:val="00EE53E1"/>
    <w:rsid w:val="00FF0A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63A7CF"/>
  <w15:chartTrackingRefBased/>
  <w15:docId w15:val="{7AE4BF8F-00B7-4737-9566-6DB8571E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2C2"/>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352C2"/>
  </w:style>
  <w:style w:type="paragraph" w:styleId="a4">
    <w:name w:val="header"/>
    <w:basedOn w:val="a"/>
    <w:rsid w:val="001352C2"/>
    <w:pPr>
      <w:tabs>
        <w:tab w:val="center" w:pos="4153"/>
        <w:tab w:val="right" w:pos="8306"/>
      </w:tabs>
    </w:pPr>
  </w:style>
  <w:style w:type="paragraph" w:styleId="a5">
    <w:name w:val="footer"/>
    <w:basedOn w:val="a"/>
    <w:rsid w:val="001352C2"/>
    <w:pPr>
      <w:tabs>
        <w:tab w:val="center" w:pos="4153"/>
        <w:tab w:val="right" w:pos="8306"/>
      </w:tabs>
    </w:pPr>
  </w:style>
  <w:style w:type="character" w:styleId="a6">
    <w:name w:val="page number"/>
    <w:basedOn w:val="a0"/>
    <w:rsid w:val="001352C2"/>
  </w:style>
  <w:style w:type="character" w:styleId="Hyperlink">
    <w:name w:val="Hyperlink"/>
    <w:rsid w:val="00CE2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18178810" TargetMode="External"/><Relationship Id="rId26" Type="http://schemas.openxmlformats.org/officeDocument/2006/relationships/hyperlink" Target="http://www.nevo.co.il/case/11237083" TargetMode="External"/><Relationship Id="rId3" Type="http://schemas.openxmlformats.org/officeDocument/2006/relationships/webSettings" Target="webSettings.xml"/><Relationship Id="rId21" Type="http://schemas.openxmlformats.org/officeDocument/2006/relationships/hyperlink" Target="http://www.nevo.co.il/case/7944138" TargetMode="External"/><Relationship Id="rId34"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0443128" TargetMode="External"/><Relationship Id="rId25" Type="http://schemas.openxmlformats.org/officeDocument/2006/relationships/hyperlink" Target="http://www.nevo.co.il/case/18111745"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0113641"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127622" TargetMode="External"/><Relationship Id="rId24" Type="http://schemas.openxmlformats.org/officeDocument/2006/relationships/hyperlink" Target="http://www.nevo.co.il/case/1886067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0644432"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127622"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443128"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2154</Words>
  <Characters>10770</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12899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3932278</vt:i4>
      </vt:variant>
      <vt:variant>
        <vt:i4>60</vt:i4>
      </vt:variant>
      <vt:variant>
        <vt:i4>0</vt:i4>
      </vt:variant>
      <vt:variant>
        <vt:i4>5</vt:i4>
      </vt:variant>
      <vt:variant>
        <vt:lpwstr>http://www.nevo.co.il/case/11237083</vt:lpwstr>
      </vt:variant>
      <vt:variant>
        <vt:lpwstr/>
      </vt:variant>
      <vt:variant>
        <vt:i4>3473530</vt:i4>
      </vt:variant>
      <vt:variant>
        <vt:i4>57</vt:i4>
      </vt:variant>
      <vt:variant>
        <vt:i4>0</vt:i4>
      </vt:variant>
      <vt:variant>
        <vt:i4>5</vt:i4>
      </vt:variant>
      <vt:variant>
        <vt:lpwstr>http://www.nevo.co.il/case/18111745</vt:lpwstr>
      </vt:variant>
      <vt:variant>
        <vt:lpwstr/>
      </vt:variant>
      <vt:variant>
        <vt:i4>4063356</vt:i4>
      </vt:variant>
      <vt:variant>
        <vt:i4>54</vt:i4>
      </vt:variant>
      <vt:variant>
        <vt:i4>0</vt:i4>
      </vt:variant>
      <vt:variant>
        <vt:i4>5</vt:i4>
      </vt:variant>
      <vt:variant>
        <vt:lpwstr>http://www.nevo.co.il/case/18860675</vt:lpwstr>
      </vt:variant>
      <vt:variant>
        <vt:lpwstr/>
      </vt:variant>
      <vt:variant>
        <vt:i4>3342452</vt:i4>
      </vt:variant>
      <vt:variant>
        <vt:i4>51</vt:i4>
      </vt:variant>
      <vt:variant>
        <vt:i4>0</vt:i4>
      </vt:variant>
      <vt:variant>
        <vt:i4>5</vt:i4>
      </vt:variant>
      <vt:variant>
        <vt:lpwstr>http://www.nevo.co.il/case/20644432</vt:lpwstr>
      </vt:variant>
      <vt:variant>
        <vt:lpwstr/>
      </vt:variant>
      <vt:variant>
        <vt:i4>3604593</vt:i4>
      </vt:variant>
      <vt:variant>
        <vt:i4>48</vt:i4>
      </vt:variant>
      <vt:variant>
        <vt:i4>0</vt:i4>
      </vt:variant>
      <vt:variant>
        <vt:i4>5</vt:i4>
      </vt:variant>
      <vt:variant>
        <vt:lpwstr>http://www.nevo.co.il/case/20443128</vt:lpwstr>
      </vt:variant>
      <vt:variant>
        <vt:lpwstr/>
      </vt:variant>
      <vt:variant>
        <vt:i4>3801210</vt:i4>
      </vt:variant>
      <vt:variant>
        <vt:i4>45</vt:i4>
      </vt:variant>
      <vt:variant>
        <vt:i4>0</vt:i4>
      </vt:variant>
      <vt:variant>
        <vt:i4>5</vt:i4>
      </vt:variant>
      <vt:variant>
        <vt:lpwstr>http://www.nevo.co.il/case/7944138</vt:lpwstr>
      </vt:variant>
      <vt:variant>
        <vt:lpwstr/>
      </vt:variant>
      <vt:variant>
        <vt:i4>3407987</vt:i4>
      </vt:variant>
      <vt:variant>
        <vt:i4>42</vt:i4>
      </vt:variant>
      <vt:variant>
        <vt:i4>0</vt:i4>
      </vt:variant>
      <vt:variant>
        <vt:i4>5</vt:i4>
      </vt:variant>
      <vt:variant>
        <vt:lpwstr>http://www.nevo.co.il/case/20113641</vt:lpwstr>
      </vt:variant>
      <vt:variant>
        <vt:lpwstr/>
      </vt:variant>
      <vt:variant>
        <vt:i4>4980820</vt:i4>
      </vt:variant>
      <vt:variant>
        <vt:i4>39</vt:i4>
      </vt:variant>
      <vt:variant>
        <vt:i4>0</vt:i4>
      </vt:variant>
      <vt:variant>
        <vt:i4>5</vt:i4>
      </vt:variant>
      <vt:variant>
        <vt:lpwstr>http://www.nevo.co.il/law/127622</vt:lpwstr>
      </vt:variant>
      <vt:variant>
        <vt:lpwstr/>
      </vt:variant>
      <vt:variant>
        <vt:i4>3735667</vt:i4>
      </vt:variant>
      <vt:variant>
        <vt:i4>36</vt:i4>
      </vt:variant>
      <vt:variant>
        <vt:i4>0</vt:i4>
      </vt:variant>
      <vt:variant>
        <vt:i4>5</vt:i4>
      </vt:variant>
      <vt:variant>
        <vt:lpwstr>http://www.nevo.co.il/case/18178810</vt:lpwstr>
      </vt:variant>
      <vt:variant>
        <vt:lpwstr/>
      </vt:variant>
      <vt:variant>
        <vt:i4>3604593</vt:i4>
      </vt:variant>
      <vt:variant>
        <vt:i4>33</vt:i4>
      </vt:variant>
      <vt:variant>
        <vt:i4>0</vt:i4>
      </vt:variant>
      <vt:variant>
        <vt:i4>5</vt:i4>
      </vt:variant>
      <vt:variant>
        <vt:lpwstr>http://www.nevo.co.il/case/20443128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4980820</vt:i4>
      </vt:variant>
      <vt:variant>
        <vt:i4>15</vt:i4>
      </vt:variant>
      <vt:variant>
        <vt:i4>0</vt:i4>
      </vt:variant>
      <vt:variant>
        <vt:i4>5</vt:i4>
      </vt:variant>
      <vt:variant>
        <vt:lpwstr>http://www.nevo.co.il/law/127622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2025-04-22T22:39:00Z</dcterms:created>
  <dcterms:modified xsi:type="dcterms:W3CDTF">2025-04-22T22:39:00Z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55163</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אודי אלקנה</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20160720</vt:lpwstr>
  </property>
  <property fmtid="{D5CDD505-2E9C-101B-9397-08002B2CF9AE}" pid="13" name="TYPE_N_DATE">
    <vt:lpwstr>38020160720</vt:lpwstr>
  </property>
  <property fmtid="{D5CDD505-2E9C-101B-9397-08002B2CF9AE}" pid="14" name="WORDNUMPAGES">
    <vt:lpwstr>6</vt:lpwstr>
  </property>
  <property fmtid="{D5CDD505-2E9C-101B-9397-08002B2CF9AE}" pid="15" name="TYPE_ABS_DATE">
    <vt:lpwstr>380020160720</vt:lpwstr>
  </property>
  <property fmtid="{D5CDD505-2E9C-101B-9397-08002B2CF9AE}" pid="16" name="ISABSTRACT">
    <vt:lpwstr>Y</vt:lpwstr>
  </property>
  <property fmtid="{D5CDD505-2E9C-101B-9397-08002B2CF9AE}" pid="17" name="CASESLISTTMP1">
    <vt:lpwstr>20443128:2;18178810;20113641;7944138;20644432;18860675;18111745;11237083</vt:lpwstr>
  </property>
  <property fmtid="{D5CDD505-2E9C-101B-9397-08002B2CF9AE}" pid="18" name="LAWLISTTMP1">
    <vt:lpwstr>4216/007.a;007.c</vt:lpwstr>
  </property>
  <property fmtid="{D5CDD505-2E9C-101B-9397-08002B2CF9AE}" pid="19" name="LAWLISTTMP2">
    <vt:lpwstr>70301/144.a</vt:lpwstr>
  </property>
  <property fmtid="{D5CDD505-2E9C-101B-9397-08002B2CF9AE}" pid="20" name="LAWLISTTMP3">
    <vt:lpwstr>127622</vt:lpwstr>
  </property>
</Properties>
</file>