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F7713" w:rsidRPr="00841F50" w14:paraId="4246F2CA" w14:textId="77777777" w:rsidTr="00D85996">
        <w:trPr>
          <w:trHeight w:hRule="exact" w:val="418"/>
          <w:jc w:val="center"/>
        </w:trPr>
        <w:tc>
          <w:tcPr>
            <w:tcW w:w="8721" w:type="dxa"/>
            <w:gridSpan w:val="2"/>
          </w:tcPr>
          <w:p w14:paraId="60373DB3" w14:textId="77777777" w:rsidR="007F7713" w:rsidRPr="00841F50" w:rsidRDefault="007F7713" w:rsidP="00841F50">
            <w:pPr>
              <w:pStyle w:val="a3"/>
              <w:jc w:val="center"/>
              <w:rPr>
                <w:rFonts w:ascii="Tahoma" w:hAnsi="Tahoma"/>
                <w:color w:val="000080"/>
                <w:sz w:val="32"/>
                <w:szCs w:val="32"/>
                <w:rtl/>
              </w:rPr>
            </w:pPr>
            <w:bookmarkStart w:id="0" w:name="LastJudge"/>
            <w:r w:rsidRPr="00841F50">
              <w:rPr>
                <w:rFonts w:ascii="Tahoma" w:hAnsi="Tahoma"/>
                <w:b/>
                <w:bCs/>
                <w:color w:val="000080"/>
                <w:sz w:val="32"/>
                <w:szCs w:val="32"/>
                <w:rtl/>
              </w:rPr>
              <w:t>בית משפט השלום בתל אביב - יפו</w:t>
            </w:r>
          </w:p>
        </w:tc>
      </w:tr>
      <w:tr w:rsidR="007F7713" w:rsidRPr="00841F50" w14:paraId="3579F760" w14:textId="77777777" w:rsidTr="00D85996">
        <w:trPr>
          <w:trHeight w:val="337"/>
          <w:jc w:val="center"/>
        </w:trPr>
        <w:tc>
          <w:tcPr>
            <w:tcW w:w="5054" w:type="dxa"/>
          </w:tcPr>
          <w:p w14:paraId="36DD0567" w14:textId="77777777" w:rsidR="007F7713" w:rsidRPr="00841F50" w:rsidRDefault="007F7713" w:rsidP="00841F50">
            <w:pPr>
              <w:rPr>
                <w:sz w:val="26"/>
                <w:szCs w:val="26"/>
                <w:rtl/>
              </w:rPr>
            </w:pPr>
            <w:r w:rsidRPr="00841F50">
              <w:rPr>
                <w:sz w:val="26"/>
                <w:szCs w:val="26"/>
                <w:rtl/>
              </w:rPr>
              <w:t>ת"פ</w:t>
            </w:r>
            <w:r w:rsidRPr="00841F50">
              <w:rPr>
                <w:rFonts w:hint="cs"/>
                <w:sz w:val="26"/>
                <w:szCs w:val="26"/>
                <w:rtl/>
              </w:rPr>
              <w:t xml:space="preserve"> </w:t>
            </w:r>
            <w:r w:rsidRPr="00841F50">
              <w:rPr>
                <w:sz w:val="26"/>
                <w:szCs w:val="26"/>
                <w:rtl/>
              </w:rPr>
              <w:t>58928-03-15</w:t>
            </w:r>
            <w:r w:rsidRPr="00841F50">
              <w:rPr>
                <w:rFonts w:hint="cs"/>
                <w:sz w:val="26"/>
                <w:szCs w:val="26"/>
                <w:rtl/>
              </w:rPr>
              <w:t xml:space="preserve"> </w:t>
            </w:r>
            <w:r w:rsidRPr="00841F50">
              <w:rPr>
                <w:sz w:val="26"/>
                <w:szCs w:val="26"/>
                <w:rtl/>
              </w:rPr>
              <w:t>מדינת ישראל נ' לוי</w:t>
            </w:r>
          </w:p>
          <w:p w14:paraId="582507F9" w14:textId="77777777" w:rsidR="007F7713" w:rsidRPr="00841F50" w:rsidRDefault="007F7713" w:rsidP="00841F50">
            <w:pPr>
              <w:pStyle w:val="a3"/>
              <w:rPr>
                <w:rFonts w:cs="FrankRuehl"/>
                <w:sz w:val="28"/>
                <w:szCs w:val="28"/>
                <w:rtl/>
              </w:rPr>
            </w:pPr>
          </w:p>
        </w:tc>
        <w:tc>
          <w:tcPr>
            <w:tcW w:w="3667" w:type="dxa"/>
          </w:tcPr>
          <w:p w14:paraId="1FAFC735" w14:textId="77777777" w:rsidR="007F7713" w:rsidRPr="00841F50" w:rsidRDefault="007F7713" w:rsidP="00841F50">
            <w:pPr>
              <w:pStyle w:val="a3"/>
              <w:jc w:val="right"/>
              <w:rPr>
                <w:rFonts w:cs="FrankRuehl"/>
                <w:sz w:val="28"/>
                <w:szCs w:val="28"/>
                <w:rtl/>
              </w:rPr>
            </w:pPr>
          </w:p>
        </w:tc>
      </w:tr>
    </w:tbl>
    <w:p w14:paraId="2313DD6B" w14:textId="77777777" w:rsidR="007F7713" w:rsidRPr="00841F50" w:rsidRDefault="007F7713" w:rsidP="007F7713">
      <w:pPr>
        <w:pStyle w:val="a3"/>
        <w:rPr>
          <w:rtl/>
        </w:rPr>
      </w:pPr>
      <w:r w:rsidRPr="00841F50">
        <w:rPr>
          <w:rFonts w:hint="cs"/>
          <w:rtl/>
        </w:rPr>
        <w:t xml:space="preserve"> </w:t>
      </w:r>
    </w:p>
    <w:p w14:paraId="4C22068C" w14:textId="77777777" w:rsidR="007F7713" w:rsidRPr="00841F50" w:rsidRDefault="007F7713" w:rsidP="007F771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37"/>
        <w:gridCol w:w="3352"/>
      </w:tblGrid>
      <w:tr w:rsidR="007F7713" w:rsidRPr="00841F50" w14:paraId="16AA72E8" w14:textId="77777777" w:rsidTr="007F7713">
        <w:trPr>
          <w:trHeight w:val="295"/>
          <w:jc w:val="center"/>
        </w:trPr>
        <w:tc>
          <w:tcPr>
            <w:tcW w:w="598" w:type="dxa"/>
            <w:tcBorders>
              <w:top w:val="nil"/>
              <w:left w:val="nil"/>
              <w:bottom w:val="nil"/>
              <w:right w:val="nil"/>
            </w:tcBorders>
            <w:shd w:val="clear" w:color="auto" w:fill="auto"/>
          </w:tcPr>
          <w:p w14:paraId="5061F6EF" w14:textId="77777777" w:rsidR="007F7713" w:rsidRPr="00841F50" w:rsidRDefault="007F7713" w:rsidP="007F7713">
            <w:pPr>
              <w:jc w:val="both"/>
              <w:rPr>
                <w:rFonts w:ascii="Arial" w:hAnsi="Arial"/>
                <w:b/>
                <w:bCs/>
                <w:sz w:val="26"/>
                <w:szCs w:val="26"/>
              </w:rPr>
            </w:pPr>
            <w:r w:rsidRPr="00841F50">
              <w:rPr>
                <w:rFonts w:ascii="Arial" w:hAnsi="Arial" w:hint="cs"/>
                <w:b/>
                <w:bCs/>
                <w:sz w:val="26"/>
                <w:szCs w:val="26"/>
                <w:rtl/>
              </w:rPr>
              <w:t>ל</w:t>
            </w:r>
            <w:r w:rsidRPr="00841F50">
              <w:rPr>
                <w:rFonts w:ascii="Arial" w:hAnsi="Arial"/>
                <w:b/>
                <w:bCs/>
                <w:sz w:val="26"/>
                <w:szCs w:val="26"/>
                <w:rtl/>
              </w:rPr>
              <w:t xml:space="preserve">פני </w:t>
            </w:r>
          </w:p>
        </w:tc>
        <w:tc>
          <w:tcPr>
            <w:tcW w:w="8222" w:type="dxa"/>
            <w:gridSpan w:val="2"/>
            <w:tcBorders>
              <w:top w:val="nil"/>
              <w:left w:val="nil"/>
              <w:bottom w:val="nil"/>
              <w:right w:val="nil"/>
            </w:tcBorders>
            <w:shd w:val="clear" w:color="auto" w:fill="auto"/>
          </w:tcPr>
          <w:p w14:paraId="594B1301" w14:textId="77777777" w:rsidR="007F7713" w:rsidRPr="00841F50" w:rsidRDefault="007F7713" w:rsidP="00841F50">
            <w:pPr>
              <w:rPr>
                <w:rFonts w:ascii="Arial" w:hAnsi="Arial"/>
                <w:b/>
                <w:bCs/>
                <w:sz w:val="26"/>
                <w:szCs w:val="26"/>
                <w:rtl/>
              </w:rPr>
            </w:pPr>
            <w:r w:rsidRPr="00841F50">
              <w:rPr>
                <w:rFonts w:ascii="Arial" w:hAnsi="Arial" w:hint="cs"/>
                <w:b/>
                <w:bCs/>
                <w:sz w:val="26"/>
                <w:szCs w:val="26"/>
                <w:rtl/>
              </w:rPr>
              <w:t>כבוד ה</w:t>
            </w:r>
            <w:r w:rsidRPr="00841F50">
              <w:rPr>
                <w:rFonts w:ascii="Arial" w:hAnsi="Arial"/>
                <w:b/>
                <w:bCs/>
                <w:sz w:val="26"/>
                <w:szCs w:val="26"/>
                <w:rtl/>
              </w:rPr>
              <w:t>שופט</w:t>
            </w:r>
            <w:r w:rsidRPr="00841F50">
              <w:rPr>
                <w:rFonts w:ascii="Arial" w:hAnsi="Arial" w:hint="cs"/>
                <w:b/>
                <w:bCs/>
                <w:sz w:val="26"/>
                <w:szCs w:val="26"/>
                <w:rtl/>
              </w:rPr>
              <w:t xml:space="preserve">  </w:t>
            </w:r>
            <w:r w:rsidRPr="00841F50">
              <w:rPr>
                <w:rFonts w:ascii="Arial" w:hAnsi="Arial"/>
                <w:b/>
                <w:bCs/>
                <w:sz w:val="26"/>
                <w:szCs w:val="26"/>
                <w:rtl/>
              </w:rPr>
              <w:t>עידו דרויאן-גמליאל</w:t>
            </w:r>
          </w:p>
          <w:p w14:paraId="3024E195" w14:textId="77777777" w:rsidR="007F7713" w:rsidRPr="00841F50" w:rsidRDefault="007F7713" w:rsidP="00841F50">
            <w:pPr>
              <w:rPr>
                <w:sz w:val="26"/>
                <w:szCs w:val="26"/>
                <w:rtl/>
              </w:rPr>
            </w:pPr>
          </w:p>
          <w:p w14:paraId="11EEF144" w14:textId="77777777" w:rsidR="007F7713" w:rsidRPr="00841F50" w:rsidRDefault="007F7713" w:rsidP="007F7713">
            <w:pPr>
              <w:jc w:val="both"/>
              <w:rPr>
                <w:rFonts w:ascii="Arial" w:hAnsi="Arial"/>
                <w:sz w:val="26"/>
                <w:szCs w:val="26"/>
              </w:rPr>
            </w:pPr>
          </w:p>
        </w:tc>
      </w:tr>
      <w:tr w:rsidR="007F7713" w:rsidRPr="00841F50" w14:paraId="20B88771" w14:textId="77777777" w:rsidTr="007F7713">
        <w:trPr>
          <w:trHeight w:val="355"/>
          <w:jc w:val="center"/>
        </w:trPr>
        <w:tc>
          <w:tcPr>
            <w:tcW w:w="598" w:type="dxa"/>
            <w:tcBorders>
              <w:top w:val="nil"/>
              <w:left w:val="nil"/>
              <w:bottom w:val="nil"/>
              <w:right w:val="nil"/>
            </w:tcBorders>
            <w:shd w:val="clear" w:color="auto" w:fill="auto"/>
          </w:tcPr>
          <w:p w14:paraId="2406E069" w14:textId="77777777" w:rsidR="007F7713" w:rsidRPr="00841F50" w:rsidRDefault="007F7713" w:rsidP="007F7713">
            <w:pPr>
              <w:jc w:val="both"/>
              <w:rPr>
                <w:rFonts w:ascii="Arial" w:hAnsi="Arial"/>
                <w:b/>
                <w:bCs/>
                <w:sz w:val="26"/>
                <w:szCs w:val="26"/>
              </w:rPr>
            </w:pPr>
            <w:bookmarkStart w:id="1" w:name="FirstAppellant"/>
            <w:bookmarkStart w:id="2" w:name="FirstLawyer"/>
            <w:r w:rsidRPr="00841F50">
              <w:rPr>
                <w:rFonts w:ascii="Arial" w:hAnsi="Arial" w:hint="cs"/>
                <w:b/>
                <w:bCs/>
                <w:sz w:val="26"/>
                <w:szCs w:val="26"/>
                <w:rtl/>
              </w:rPr>
              <w:t>ה</w:t>
            </w:r>
            <w:r w:rsidRPr="00841F50">
              <w:rPr>
                <w:rFonts w:ascii="Arial" w:hAnsi="Arial"/>
                <w:b/>
                <w:bCs/>
                <w:sz w:val="26"/>
                <w:szCs w:val="26"/>
                <w:rtl/>
              </w:rPr>
              <w:t>מאשימה</w:t>
            </w:r>
          </w:p>
        </w:tc>
        <w:tc>
          <w:tcPr>
            <w:tcW w:w="4565" w:type="dxa"/>
            <w:tcBorders>
              <w:top w:val="nil"/>
              <w:left w:val="nil"/>
              <w:bottom w:val="nil"/>
              <w:right w:val="nil"/>
            </w:tcBorders>
            <w:shd w:val="clear" w:color="auto" w:fill="auto"/>
          </w:tcPr>
          <w:p w14:paraId="36DBE37A" w14:textId="77777777" w:rsidR="007F7713" w:rsidRPr="00841F50" w:rsidRDefault="007F7713" w:rsidP="00841F50">
            <w:pPr>
              <w:rPr>
                <w:b/>
                <w:bCs/>
                <w:sz w:val="26"/>
                <w:szCs w:val="26"/>
                <w:rtl/>
              </w:rPr>
            </w:pPr>
            <w:r w:rsidRPr="00841F50">
              <w:rPr>
                <w:rFonts w:ascii="Arial" w:hAnsi="Arial"/>
                <w:b/>
                <w:bCs/>
                <w:sz w:val="26"/>
                <w:szCs w:val="26"/>
                <w:rtl/>
              </w:rPr>
              <w:t>מדינת ישראל</w:t>
            </w:r>
          </w:p>
          <w:p w14:paraId="2CB2962A" w14:textId="77777777" w:rsidR="007F7713" w:rsidRPr="00841F50" w:rsidRDefault="007F7713" w:rsidP="00841F50">
            <w:pPr>
              <w:rPr>
                <w:sz w:val="26"/>
                <w:szCs w:val="26"/>
              </w:rPr>
            </w:pPr>
            <w:r w:rsidRPr="00841F50">
              <w:rPr>
                <w:rFonts w:hint="cs"/>
                <w:sz w:val="26"/>
                <w:szCs w:val="26"/>
                <w:rtl/>
              </w:rPr>
              <w:t>ע"י ב"כ עו"ד הרצוג</w:t>
            </w:r>
          </w:p>
        </w:tc>
        <w:tc>
          <w:tcPr>
            <w:tcW w:w="3657" w:type="dxa"/>
            <w:tcBorders>
              <w:top w:val="nil"/>
              <w:left w:val="nil"/>
              <w:bottom w:val="nil"/>
              <w:right w:val="nil"/>
            </w:tcBorders>
            <w:shd w:val="clear" w:color="auto" w:fill="auto"/>
          </w:tcPr>
          <w:p w14:paraId="5A3790BD" w14:textId="77777777" w:rsidR="007F7713" w:rsidRPr="00841F50" w:rsidRDefault="007F7713" w:rsidP="007F7713">
            <w:pPr>
              <w:jc w:val="both"/>
              <w:rPr>
                <w:rFonts w:ascii="Arial" w:hAnsi="Arial"/>
                <w:sz w:val="26"/>
                <w:szCs w:val="26"/>
              </w:rPr>
            </w:pPr>
          </w:p>
        </w:tc>
      </w:tr>
      <w:bookmarkEnd w:id="1"/>
      <w:bookmarkEnd w:id="2"/>
      <w:tr w:rsidR="007F7713" w:rsidRPr="00841F50" w14:paraId="28C44713" w14:textId="77777777" w:rsidTr="007F7713">
        <w:trPr>
          <w:trHeight w:val="355"/>
          <w:jc w:val="center"/>
        </w:trPr>
        <w:tc>
          <w:tcPr>
            <w:tcW w:w="598" w:type="dxa"/>
            <w:tcBorders>
              <w:top w:val="nil"/>
              <w:left w:val="nil"/>
              <w:bottom w:val="nil"/>
              <w:right w:val="nil"/>
            </w:tcBorders>
            <w:shd w:val="clear" w:color="auto" w:fill="auto"/>
          </w:tcPr>
          <w:p w14:paraId="6230B94A" w14:textId="77777777" w:rsidR="007F7713" w:rsidRPr="00841F50" w:rsidRDefault="007F7713" w:rsidP="007F7713">
            <w:pPr>
              <w:jc w:val="both"/>
              <w:rPr>
                <w:rFonts w:ascii="Arial" w:hAnsi="Arial"/>
                <w:sz w:val="26"/>
                <w:szCs w:val="26"/>
                <w:rtl/>
              </w:rPr>
            </w:pPr>
          </w:p>
        </w:tc>
        <w:tc>
          <w:tcPr>
            <w:tcW w:w="4565" w:type="dxa"/>
            <w:tcBorders>
              <w:top w:val="nil"/>
              <w:left w:val="nil"/>
              <w:bottom w:val="nil"/>
              <w:right w:val="nil"/>
            </w:tcBorders>
            <w:shd w:val="clear" w:color="auto" w:fill="auto"/>
          </w:tcPr>
          <w:p w14:paraId="0241316A" w14:textId="77777777" w:rsidR="007F7713" w:rsidRPr="00841F50" w:rsidRDefault="007F7713" w:rsidP="00841F50">
            <w:pPr>
              <w:rPr>
                <w:rFonts w:ascii="Arial" w:hAnsi="Arial"/>
                <w:sz w:val="26"/>
                <w:szCs w:val="26"/>
                <w:rtl/>
              </w:rPr>
            </w:pPr>
          </w:p>
        </w:tc>
        <w:tc>
          <w:tcPr>
            <w:tcW w:w="3657" w:type="dxa"/>
            <w:tcBorders>
              <w:top w:val="nil"/>
              <w:left w:val="nil"/>
              <w:bottom w:val="nil"/>
              <w:right w:val="nil"/>
            </w:tcBorders>
            <w:shd w:val="clear" w:color="auto" w:fill="auto"/>
          </w:tcPr>
          <w:p w14:paraId="1A1167B5" w14:textId="77777777" w:rsidR="007F7713" w:rsidRPr="00841F50" w:rsidRDefault="007F7713" w:rsidP="007F7713">
            <w:pPr>
              <w:jc w:val="right"/>
              <w:rPr>
                <w:rFonts w:ascii="Arial" w:hAnsi="Arial"/>
                <w:sz w:val="26"/>
                <w:szCs w:val="26"/>
                <w:rtl/>
              </w:rPr>
            </w:pPr>
          </w:p>
        </w:tc>
      </w:tr>
      <w:tr w:rsidR="007F7713" w:rsidRPr="00841F50" w14:paraId="51DC02DE" w14:textId="77777777" w:rsidTr="007F7713">
        <w:trPr>
          <w:trHeight w:val="355"/>
          <w:jc w:val="center"/>
        </w:trPr>
        <w:tc>
          <w:tcPr>
            <w:tcW w:w="598" w:type="dxa"/>
            <w:tcBorders>
              <w:top w:val="nil"/>
              <w:left w:val="nil"/>
              <w:bottom w:val="nil"/>
              <w:right w:val="nil"/>
            </w:tcBorders>
            <w:shd w:val="clear" w:color="auto" w:fill="auto"/>
          </w:tcPr>
          <w:p w14:paraId="0CE776DA" w14:textId="77777777" w:rsidR="007F7713" w:rsidRPr="00841F50" w:rsidRDefault="007F7713" w:rsidP="007F7713">
            <w:pPr>
              <w:jc w:val="both"/>
              <w:rPr>
                <w:rFonts w:ascii="Arial" w:hAnsi="Arial"/>
                <w:sz w:val="26"/>
                <w:szCs w:val="26"/>
                <w:rtl/>
              </w:rPr>
            </w:pPr>
          </w:p>
        </w:tc>
        <w:tc>
          <w:tcPr>
            <w:tcW w:w="8222" w:type="dxa"/>
            <w:gridSpan w:val="2"/>
            <w:tcBorders>
              <w:top w:val="nil"/>
              <w:left w:val="nil"/>
              <w:bottom w:val="nil"/>
              <w:right w:val="nil"/>
            </w:tcBorders>
            <w:shd w:val="clear" w:color="auto" w:fill="auto"/>
          </w:tcPr>
          <w:p w14:paraId="26C73F98" w14:textId="77777777" w:rsidR="007F7713" w:rsidRPr="00841F50" w:rsidRDefault="007F7713" w:rsidP="007F7713">
            <w:pPr>
              <w:jc w:val="center"/>
              <w:rPr>
                <w:rFonts w:ascii="Arial" w:hAnsi="Arial"/>
                <w:b/>
                <w:bCs/>
                <w:sz w:val="26"/>
                <w:szCs w:val="26"/>
                <w:rtl/>
              </w:rPr>
            </w:pPr>
          </w:p>
          <w:p w14:paraId="44DF7F1D" w14:textId="77777777" w:rsidR="007F7713" w:rsidRPr="00841F50" w:rsidRDefault="007F7713" w:rsidP="007F7713">
            <w:pPr>
              <w:jc w:val="center"/>
              <w:rPr>
                <w:rFonts w:ascii="Arial" w:hAnsi="Arial"/>
                <w:b/>
                <w:bCs/>
                <w:sz w:val="26"/>
                <w:szCs w:val="26"/>
                <w:rtl/>
              </w:rPr>
            </w:pPr>
            <w:r w:rsidRPr="00841F50">
              <w:rPr>
                <w:rFonts w:ascii="Arial" w:hAnsi="Arial"/>
                <w:b/>
                <w:bCs/>
                <w:sz w:val="26"/>
                <w:szCs w:val="26"/>
                <w:rtl/>
              </w:rPr>
              <w:t>נגד</w:t>
            </w:r>
          </w:p>
          <w:p w14:paraId="4D1C4DA8" w14:textId="77777777" w:rsidR="007F7713" w:rsidRPr="00841F50" w:rsidRDefault="007F7713" w:rsidP="007F7713">
            <w:pPr>
              <w:jc w:val="both"/>
              <w:rPr>
                <w:rFonts w:ascii="Arial" w:hAnsi="Arial"/>
                <w:sz w:val="26"/>
                <w:szCs w:val="26"/>
              </w:rPr>
            </w:pPr>
          </w:p>
        </w:tc>
      </w:tr>
      <w:tr w:rsidR="007F7713" w:rsidRPr="00841F50" w14:paraId="10A36BE7" w14:textId="77777777" w:rsidTr="007F7713">
        <w:trPr>
          <w:trHeight w:val="355"/>
          <w:jc w:val="center"/>
        </w:trPr>
        <w:tc>
          <w:tcPr>
            <w:tcW w:w="598" w:type="dxa"/>
            <w:tcBorders>
              <w:top w:val="nil"/>
              <w:left w:val="nil"/>
              <w:bottom w:val="nil"/>
              <w:right w:val="nil"/>
            </w:tcBorders>
            <w:shd w:val="clear" w:color="auto" w:fill="auto"/>
          </w:tcPr>
          <w:p w14:paraId="0066DA84" w14:textId="77777777" w:rsidR="007F7713" w:rsidRPr="00841F50" w:rsidRDefault="007F7713" w:rsidP="00841F50">
            <w:pPr>
              <w:rPr>
                <w:rFonts w:ascii="Arial" w:hAnsi="Arial"/>
                <w:sz w:val="26"/>
                <w:szCs w:val="26"/>
                <w:rtl/>
              </w:rPr>
            </w:pPr>
            <w:r w:rsidRPr="00841F50">
              <w:rPr>
                <w:rFonts w:ascii="Arial" w:hAnsi="Arial" w:hint="cs"/>
                <w:b/>
                <w:bCs/>
                <w:sz w:val="26"/>
                <w:szCs w:val="26"/>
                <w:rtl/>
              </w:rPr>
              <w:t>ה</w:t>
            </w:r>
            <w:r w:rsidRPr="00841F50">
              <w:rPr>
                <w:rFonts w:ascii="Arial" w:hAnsi="Arial"/>
                <w:b/>
                <w:bCs/>
                <w:sz w:val="26"/>
                <w:szCs w:val="26"/>
                <w:rtl/>
              </w:rPr>
              <w:t>נאשם</w:t>
            </w:r>
          </w:p>
        </w:tc>
        <w:tc>
          <w:tcPr>
            <w:tcW w:w="4565" w:type="dxa"/>
            <w:tcBorders>
              <w:top w:val="nil"/>
              <w:left w:val="nil"/>
              <w:bottom w:val="nil"/>
              <w:right w:val="nil"/>
            </w:tcBorders>
            <w:shd w:val="clear" w:color="auto" w:fill="auto"/>
          </w:tcPr>
          <w:p w14:paraId="04D9A198" w14:textId="77777777" w:rsidR="007F7713" w:rsidRPr="00841F50" w:rsidRDefault="007F7713" w:rsidP="00841F50">
            <w:pPr>
              <w:rPr>
                <w:b/>
                <w:bCs/>
                <w:sz w:val="26"/>
                <w:szCs w:val="26"/>
                <w:rtl/>
              </w:rPr>
            </w:pPr>
            <w:r w:rsidRPr="00841F50">
              <w:rPr>
                <w:rFonts w:ascii="Arial" w:hAnsi="Arial"/>
                <w:b/>
                <w:bCs/>
                <w:sz w:val="26"/>
                <w:szCs w:val="26"/>
                <w:rtl/>
              </w:rPr>
              <w:t>ירון לוי</w:t>
            </w:r>
          </w:p>
          <w:p w14:paraId="2C18FB12" w14:textId="77777777" w:rsidR="007F7713" w:rsidRPr="00841F50" w:rsidRDefault="007F7713" w:rsidP="00841F50">
            <w:pPr>
              <w:rPr>
                <w:sz w:val="26"/>
                <w:szCs w:val="26"/>
                <w:rtl/>
              </w:rPr>
            </w:pPr>
            <w:r w:rsidRPr="00841F50">
              <w:rPr>
                <w:rFonts w:hint="cs"/>
                <w:sz w:val="26"/>
                <w:szCs w:val="26"/>
                <w:rtl/>
              </w:rPr>
              <w:t>ע"י ב"כ עו"ד ליטן</w:t>
            </w:r>
          </w:p>
        </w:tc>
        <w:tc>
          <w:tcPr>
            <w:tcW w:w="3657" w:type="dxa"/>
            <w:tcBorders>
              <w:top w:val="nil"/>
              <w:left w:val="nil"/>
              <w:bottom w:val="nil"/>
              <w:right w:val="nil"/>
            </w:tcBorders>
            <w:shd w:val="clear" w:color="auto" w:fill="auto"/>
          </w:tcPr>
          <w:p w14:paraId="5564A1E3" w14:textId="77777777" w:rsidR="007F7713" w:rsidRPr="00841F50" w:rsidRDefault="007F7713" w:rsidP="007F7713">
            <w:pPr>
              <w:jc w:val="right"/>
              <w:rPr>
                <w:rFonts w:ascii="Arial" w:hAnsi="Arial"/>
                <w:sz w:val="26"/>
                <w:szCs w:val="26"/>
              </w:rPr>
            </w:pPr>
          </w:p>
        </w:tc>
      </w:tr>
      <w:tr w:rsidR="007F7713" w:rsidRPr="00841F50" w14:paraId="4DFEBBB6" w14:textId="77777777" w:rsidTr="007F7713">
        <w:trPr>
          <w:trHeight w:val="355"/>
          <w:jc w:val="center"/>
        </w:trPr>
        <w:tc>
          <w:tcPr>
            <w:tcW w:w="598" w:type="dxa"/>
            <w:tcBorders>
              <w:top w:val="nil"/>
              <w:left w:val="nil"/>
              <w:bottom w:val="nil"/>
              <w:right w:val="nil"/>
            </w:tcBorders>
            <w:shd w:val="clear" w:color="auto" w:fill="auto"/>
          </w:tcPr>
          <w:p w14:paraId="686F4466" w14:textId="77777777" w:rsidR="007F7713" w:rsidRPr="00841F50" w:rsidRDefault="007F7713" w:rsidP="007F7713">
            <w:pPr>
              <w:jc w:val="both"/>
              <w:rPr>
                <w:rFonts w:ascii="Arial" w:hAnsi="Arial"/>
                <w:sz w:val="26"/>
                <w:szCs w:val="26"/>
                <w:rtl/>
              </w:rPr>
            </w:pPr>
          </w:p>
        </w:tc>
        <w:tc>
          <w:tcPr>
            <w:tcW w:w="4565" w:type="dxa"/>
            <w:tcBorders>
              <w:top w:val="nil"/>
              <w:left w:val="nil"/>
              <w:bottom w:val="nil"/>
              <w:right w:val="nil"/>
            </w:tcBorders>
            <w:shd w:val="clear" w:color="auto" w:fill="auto"/>
          </w:tcPr>
          <w:p w14:paraId="0F9FE1D6" w14:textId="77777777" w:rsidR="007F7713" w:rsidRPr="00841F50" w:rsidRDefault="007F7713" w:rsidP="00841F50">
            <w:pPr>
              <w:rPr>
                <w:rFonts w:ascii="Arial" w:hAnsi="Arial"/>
                <w:sz w:val="26"/>
                <w:szCs w:val="26"/>
              </w:rPr>
            </w:pPr>
          </w:p>
        </w:tc>
        <w:tc>
          <w:tcPr>
            <w:tcW w:w="3657" w:type="dxa"/>
            <w:tcBorders>
              <w:top w:val="nil"/>
              <w:left w:val="nil"/>
              <w:bottom w:val="nil"/>
              <w:right w:val="nil"/>
            </w:tcBorders>
            <w:shd w:val="clear" w:color="auto" w:fill="auto"/>
          </w:tcPr>
          <w:p w14:paraId="03A78DFC" w14:textId="77777777" w:rsidR="007F7713" w:rsidRPr="00841F50" w:rsidRDefault="007F7713" w:rsidP="007F7713">
            <w:pPr>
              <w:jc w:val="right"/>
              <w:rPr>
                <w:rFonts w:ascii="Arial" w:hAnsi="Arial"/>
                <w:sz w:val="26"/>
                <w:szCs w:val="26"/>
              </w:rPr>
            </w:pPr>
          </w:p>
        </w:tc>
      </w:tr>
    </w:tbl>
    <w:p w14:paraId="407413AD" w14:textId="77777777" w:rsidR="00D85996" w:rsidRDefault="00D85996" w:rsidP="007F7713">
      <w:pPr>
        <w:rPr>
          <w:rtl/>
        </w:rPr>
      </w:pPr>
      <w:bookmarkStart w:id="3" w:name="LawTable"/>
      <w:bookmarkEnd w:id="3"/>
    </w:p>
    <w:p w14:paraId="4023B687" w14:textId="77777777" w:rsidR="00D85996" w:rsidRPr="00D85996" w:rsidRDefault="00D85996" w:rsidP="00D85996">
      <w:pPr>
        <w:spacing w:after="120" w:line="240" w:lineRule="exact"/>
        <w:ind w:left="283" w:hanging="283"/>
        <w:jc w:val="both"/>
        <w:rPr>
          <w:rFonts w:ascii="FrankRuehl" w:hAnsi="FrankRuehl" w:cs="FrankRuehl"/>
          <w:rtl/>
        </w:rPr>
      </w:pPr>
      <w:r w:rsidRPr="00D85996">
        <w:rPr>
          <w:rFonts w:ascii="FrankRuehl" w:hAnsi="FrankRuehl" w:cs="FrankRuehl"/>
          <w:rtl/>
        </w:rPr>
        <w:t xml:space="preserve">חקיקה שאוזכרה: </w:t>
      </w:r>
    </w:p>
    <w:p w14:paraId="351E3B5A" w14:textId="77777777" w:rsidR="00D85996" w:rsidRPr="00D85996" w:rsidRDefault="00D85996" w:rsidP="00D85996">
      <w:pPr>
        <w:spacing w:after="120" w:line="240" w:lineRule="exact"/>
        <w:ind w:left="283" w:hanging="283"/>
        <w:jc w:val="both"/>
        <w:rPr>
          <w:rFonts w:ascii="FrankRuehl" w:hAnsi="FrankRuehl" w:cs="FrankRuehl"/>
          <w:rtl/>
        </w:rPr>
      </w:pPr>
      <w:hyperlink r:id="rId7" w:history="1">
        <w:r w:rsidRPr="00D85996">
          <w:rPr>
            <w:rFonts w:ascii="FrankRuehl" w:hAnsi="FrankRuehl" w:cs="FrankRuehl"/>
            <w:color w:val="0000FF"/>
            <w:u w:val="single"/>
            <w:rtl/>
          </w:rPr>
          <w:t>פקודת הסמים המסוכנים [נוסח חדש], תשל"ג-1973</w:t>
        </w:r>
      </w:hyperlink>
      <w:r w:rsidRPr="00D85996">
        <w:rPr>
          <w:rFonts w:ascii="FrankRuehl" w:hAnsi="FrankRuehl" w:cs="FrankRuehl"/>
          <w:rtl/>
        </w:rPr>
        <w:t xml:space="preserve">: סע'  </w:t>
      </w:r>
      <w:hyperlink r:id="rId8" w:history="1">
        <w:r w:rsidRPr="00D85996">
          <w:rPr>
            <w:rFonts w:ascii="FrankRuehl" w:hAnsi="FrankRuehl" w:cs="FrankRuehl"/>
            <w:color w:val="0000FF"/>
            <w:u w:val="single"/>
            <w:rtl/>
          </w:rPr>
          <w:t>6</w:t>
        </w:r>
      </w:hyperlink>
      <w:r w:rsidRPr="00D85996">
        <w:rPr>
          <w:rFonts w:ascii="FrankRuehl" w:hAnsi="FrankRuehl" w:cs="FrankRuehl"/>
          <w:rtl/>
        </w:rPr>
        <w:t xml:space="preserve">, </w:t>
      </w:r>
      <w:hyperlink r:id="rId9" w:history="1">
        <w:r w:rsidRPr="00D85996">
          <w:rPr>
            <w:rFonts w:ascii="FrankRuehl" w:hAnsi="FrankRuehl" w:cs="FrankRuehl"/>
            <w:color w:val="0000FF"/>
            <w:u w:val="single"/>
            <w:rtl/>
          </w:rPr>
          <w:t>7.א.</w:t>
        </w:r>
      </w:hyperlink>
      <w:r w:rsidRPr="00D85996">
        <w:rPr>
          <w:rFonts w:ascii="FrankRuehl" w:hAnsi="FrankRuehl" w:cs="FrankRuehl"/>
          <w:rtl/>
        </w:rPr>
        <w:t xml:space="preserve">, </w:t>
      </w:r>
      <w:hyperlink r:id="rId10" w:history="1">
        <w:r w:rsidRPr="00D85996">
          <w:rPr>
            <w:rFonts w:ascii="FrankRuehl" w:hAnsi="FrankRuehl" w:cs="FrankRuehl"/>
            <w:color w:val="0000FF"/>
            <w:u w:val="single"/>
            <w:rtl/>
          </w:rPr>
          <w:t>7.ג</w:t>
        </w:r>
      </w:hyperlink>
    </w:p>
    <w:p w14:paraId="63D7AB28" w14:textId="77777777" w:rsidR="00D85996" w:rsidRPr="00D85996" w:rsidRDefault="00D85996" w:rsidP="00D85996">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F7713" w14:paraId="0EB3D7E8" w14:textId="77777777" w:rsidTr="007F7713">
        <w:trPr>
          <w:trHeight w:val="355"/>
          <w:jc w:val="center"/>
        </w:trPr>
        <w:tc>
          <w:tcPr>
            <w:tcW w:w="8820" w:type="dxa"/>
            <w:tcBorders>
              <w:top w:val="nil"/>
              <w:left w:val="nil"/>
              <w:bottom w:val="nil"/>
              <w:right w:val="nil"/>
            </w:tcBorders>
            <w:shd w:val="clear" w:color="auto" w:fill="auto"/>
          </w:tcPr>
          <w:p w14:paraId="63CE17F6" w14:textId="77777777" w:rsidR="00841F50" w:rsidRPr="00841F50" w:rsidRDefault="00841F50" w:rsidP="00841F50">
            <w:pPr>
              <w:jc w:val="center"/>
              <w:rPr>
                <w:rFonts w:ascii="Arial" w:hAnsi="Arial"/>
                <w:b/>
                <w:bCs/>
                <w:sz w:val="28"/>
                <w:szCs w:val="28"/>
                <w:u w:val="single"/>
                <w:rtl/>
              </w:rPr>
            </w:pPr>
            <w:bookmarkStart w:id="4" w:name="LawTable_End"/>
            <w:bookmarkStart w:id="5" w:name="PsakDin" w:colFirst="0" w:colLast="0"/>
            <w:bookmarkEnd w:id="0"/>
            <w:bookmarkEnd w:id="4"/>
            <w:r w:rsidRPr="00841F50">
              <w:rPr>
                <w:rFonts w:ascii="Arial" w:hAnsi="Arial"/>
                <w:b/>
                <w:bCs/>
                <w:sz w:val="28"/>
                <w:szCs w:val="28"/>
                <w:u w:val="single"/>
                <w:rtl/>
              </w:rPr>
              <w:t>גזר דין</w:t>
            </w:r>
          </w:p>
          <w:p w14:paraId="747A30ED" w14:textId="77777777" w:rsidR="007F7713" w:rsidRPr="00841F50" w:rsidRDefault="007F7713" w:rsidP="00841F50">
            <w:pPr>
              <w:jc w:val="center"/>
              <w:rPr>
                <w:rFonts w:ascii="Arial" w:hAnsi="Arial"/>
                <w:bCs/>
                <w:sz w:val="28"/>
                <w:szCs w:val="28"/>
                <w:u w:val="single"/>
                <w:rtl/>
              </w:rPr>
            </w:pPr>
          </w:p>
        </w:tc>
      </w:tr>
      <w:bookmarkEnd w:id="5"/>
    </w:tbl>
    <w:p w14:paraId="246E90A9" w14:textId="77777777" w:rsidR="007F7713" w:rsidRPr="00B05847" w:rsidRDefault="007F7713" w:rsidP="007F7713">
      <w:pPr>
        <w:spacing w:line="360" w:lineRule="auto"/>
        <w:jc w:val="both"/>
        <w:rPr>
          <w:rFonts w:ascii="Arial" w:hAnsi="Arial"/>
          <w:rtl/>
        </w:rPr>
      </w:pPr>
    </w:p>
    <w:p w14:paraId="40B071C5" w14:textId="77777777" w:rsidR="007F7713" w:rsidRDefault="007F7713" w:rsidP="007F7713">
      <w:pPr>
        <w:spacing w:line="360" w:lineRule="auto"/>
        <w:jc w:val="both"/>
        <w:rPr>
          <w:rtl/>
        </w:rPr>
      </w:pPr>
      <w:r>
        <w:rPr>
          <w:rFonts w:hint="cs"/>
          <w:rtl/>
        </w:rPr>
        <w:t>ביום 15.12.15, במסגרת הסדר טיעון,  הודה הנאשם והורשע בעבירות הבאות:</w:t>
      </w:r>
    </w:p>
    <w:p w14:paraId="4C096C41" w14:textId="77777777" w:rsidR="007F7713" w:rsidRDefault="007F7713" w:rsidP="007F7713">
      <w:pPr>
        <w:spacing w:line="360" w:lineRule="auto"/>
        <w:jc w:val="both"/>
      </w:pPr>
      <w:r>
        <w:rPr>
          <w:rFonts w:hint="cs"/>
          <w:rtl/>
        </w:rPr>
        <w:t>א.</w:t>
      </w:r>
      <w:r>
        <w:rPr>
          <w:rFonts w:hint="cs"/>
          <w:rtl/>
        </w:rPr>
        <w:tab/>
        <w:t xml:space="preserve">גידול סם מסוכן לפי </w:t>
      </w:r>
      <w:hyperlink r:id="rId11" w:history="1">
        <w:r w:rsidR="00D85996" w:rsidRPr="00D85996">
          <w:rPr>
            <w:color w:val="0000FF"/>
            <w:u w:val="single"/>
            <w:rtl/>
          </w:rPr>
          <w:t>סעיף 6</w:t>
        </w:r>
      </w:hyperlink>
      <w:r>
        <w:rPr>
          <w:rFonts w:hint="cs"/>
          <w:rtl/>
        </w:rPr>
        <w:t xml:space="preserve"> ל</w:t>
      </w:r>
      <w:hyperlink r:id="rId12" w:history="1">
        <w:r w:rsidR="00841F50" w:rsidRPr="00841F50">
          <w:rPr>
            <w:rStyle w:val="Hyperlink"/>
            <w:rFonts w:hint="eastAsia"/>
            <w:rtl/>
          </w:rPr>
          <w:t>פקודת</w:t>
        </w:r>
        <w:r w:rsidR="00841F50" w:rsidRPr="00841F50">
          <w:rPr>
            <w:rStyle w:val="Hyperlink"/>
            <w:rtl/>
          </w:rPr>
          <w:t xml:space="preserve"> הסמים המסוכנים</w:t>
        </w:r>
      </w:hyperlink>
      <w:r>
        <w:rPr>
          <w:rFonts w:hint="cs"/>
          <w:rtl/>
        </w:rPr>
        <w:t xml:space="preserve">. </w:t>
      </w:r>
    </w:p>
    <w:p w14:paraId="208AE3B7" w14:textId="77777777" w:rsidR="007F7713" w:rsidRDefault="007F7713" w:rsidP="007F7713">
      <w:pPr>
        <w:spacing w:line="360" w:lineRule="auto"/>
        <w:jc w:val="both"/>
        <w:rPr>
          <w:rtl/>
        </w:rPr>
      </w:pPr>
      <w:r>
        <w:rPr>
          <w:rFonts w:hint="cs"/>
          <w:rtl/>
        </w:rPr>
        <w:t>ב.</w:t>
      </w:r>
      <w:r>
        <w:rPr>
          <w:rFonts w:hint="cs"/>
          <w:rtl/>
        </w:rPr>
        <w:tab/>
        <w:t xml:space="preserve">החזקת סם מסוכן לצריכה עצמית לפי </w:t>
      </w:r>
      <w:hyperlink r:id="rId13" w:history="1">
        <w:r w:rsidR="00D85996" w:rsidRPr="00D85996">
          <w:rPr>
            <w:color w:val="0000FF"/>
            <w:u w:val="single"/>
            <w:rtl/>
          </w:rPr>
          <w:t>סעיף 7 (א)+ 7(ג)</w:t>
        </w:r>
      </w:hyperlink>
      <w:r>
        <w:rPr>
          <w:rFonts w:hint="cs"/>
          <w:rtl/>
        </w:rPr>
        <w:t xml:space="preserve"> סיפא ל</w:t>
      </w:r>
      <w:hyperlink r:id="rId14" w:history="1">
        <w:r w:rsidR="00841F50" w:rsidRPr="00841F50">
          <w:rPr>
            <w:rStyle w:val="Hyperlink"/>
            <w:rFonts w:hint="eastAsia"/>
            <w:rtl/>
          </w:rPr>
          <w:t>פקודת</w:t>
        </w:r>
        <w:r w:rsidR="00841F50" w:rsidRPr="00841F50">
          <w:rPr>
            <w:rStyle w:val="Hyperlink"/>
            <w:rtl/>
          </w:rPr>
          <w:t xml:space="preserve"> הסמים המסוכנים</w:t>
        </w:r>
      </w:hyperlink>
      <w:r>
        <w:rPr>
          <w:rFonts w:hint="cs"/>
          <w:rtl/>
        </w:rPr>
        <w:t xml:space="preserve">. </w:t>
      </w:r>
    </w:p>
    <w:p w14:paraId="0B4E9EC1" w14:textId="77777777" w:rsidR="007F7713" w:rsidRDefault="007F7713" w:rsidP="007F7713">
      <w:pPr>
        <w:spacing w:line="360" w:lineRule="auto"/>
        <w:jc w:val="both"/>
        <w:rPr>
          <w:rtl/>
        </w:rPr>
      </w:pPr>
    </w:p>
    <w:p w14:paraId="622CF939" w14:textId="77777777" w:rsidR="007F7713" w:rsidRDefault="007F7713" w:rsidP="007F7713">
      <w:pPr>
        <w:spacing w:line="360" w:lineRule="auto"/>
        <w:jc w:val="both"/>
        <w:rPr>
          <w:rtl/>
        </w:rPr>
      </w:pPr>
      <w:r>
        <w:rPr>
          <w:rFonts w:hint="cs"/>
          <w:rtl/>
        </w:rPr>
        <w:t>הוסכם בין הצדדים ש"</w:t>
      </w:r>
      <w:r w:rsidRPr="00115C29">
        <w:rPr>
          <w:rtl/>
        </w:rPr>
        <w:t>הנאשם יישלח לשירות מבחן וכן לחוות דעת ממונה כאשר התביעה מגבילה עצמה לטיעון של עד חודשיים מאסר קצר שיכול וירוצה בעבודות שירות, וההגנה חופשיה בטיעוניה, וזאת נוכח מצב רפ</w:t>
      </w:r>
      <w:r>
        <w:rPr>
          <w:rtl/>
        </w:rPr>
        <w:t>ואי של הנאשם, וקשיים ראייתיים</w:t>
      </w:r>
      <w:r>
        <w:rPr>
          <w:rFonts w:hint="cs"/>
          <w:rtl/>
        </w:rPr>
        <w:t>".</w:t>
      </w:r>
    </w:p>
    <w:p w14:paraId="7261F8DD" w14:textId="77777777" w:rsidR="007F7713" w:rsidRDefault="007F7713" w:rsidP="007F7713">
      <w:pPr>
        <w:spacing w:line="360" w:lineRule="auto"/>
        <w:jc w:val="both"/>
        <w:rPr>
          <w:rtl/>
        </w:rPr>
      </w:pPr>
    </w:p>
    <w:p w14:paraId="33952B79" w14:textId="77777777" w:rsidR="007F7713" w:rsidRDefault="007F7713" w:rsidP="007F7713">
      <w:pPr>
        <w:spacing w:line="360" w:lineRule="auto"/>
        <w:jc w:val="both"/>
        <w:rPr>
          <w:rtl/>
        </w:rPr>
      </w:pPr>
      <w:r>
        <w:rPr>
          <w:rFonts w:hint="cs"/>
          <w:rtl/>
        </w:rPr>
        <w:t>הנאשם הופנה לממונה על עבודות השירות, אך עקב מצבו הרפואי של הנאשם, וגם גרירת רגליים של הנאשם שלא המציא לממונה אישורים רפואיים נדרשים, נמשך הליך הבירור זמן רב, עד שביום 18.6.17 התקבלה לבסוף חוות דעתו של הממונה לפיה נמצא הנאשם כשיר לביצוע עבודות שירות.</w:t>
      </w:r>
    </w:p>
    <w:p w14:paraId="7CB19E17" w14:textId="77777777" w:rsidR="007F7713" w:rsidRDefault="007F7713" w:rsidP="007F7713">
      <w:pPr>
        <w:spacing w:line="360" w:lineRule="auto"/>
        <w:jc w:val="both"/>
        <w:rPr>
          <w:rtl/>
        </w:rPr>
      </w:pPr>
    </w:p>
    <w:p w14:paraId="450AD017" w14:textId="77777777" w:rsidR="007F7713" w:rsidRDefault="007F7713" w:rsidP="007F7713">
      <w:pPr>
        <w:spacing w:line="360" w:lineRule="auto"/>
        <w:jc w:val="both"/>
        <w:rPr>
          <w:rtl/>
        </w:rPr>
      </w:pPr>
      <w:r>
        <w:rPr>
          <w:rFonts w:hint="cs"/>
          <w:b/>
          <w:bCs/>
          <w:u w:val="single"/>
          <w:rtl/>
        </w:rPr>
        <w:t>מעשי הנאשם:</w:t>
      </w:r>
    </w:p>
    <w:p w14:paraId="4ADDE662" w14:textId="77777777" w:rsidR="007F7713" w:rsidRDefault="007F7713" w:rsidP="007F7713">
      <w:pPr>
        <w:spacing w:line="360" w:lineRule="auto"/>
        <w:jc w:val="both"/>
        <w:rPr>
          <w:rtl/>
        </w:rPr>
      </w:pPr>
      <w:r>
        <w:rPr>
          <w:rFonts w:hint="cs"/>
          <w:rtl/>
        </w:rPr>
        <w:t>ביום 30.9.14 נמצאו בבית מגוריו של הנאשם קנביס במשקל 11.94 גרם נטו, וכן צמח קנאביס במשקל 1901.70 גרם נטו, אותו גידל הנאשם בחצר.</w:t>
      </w:r>
    </w:p>
    <w:p w14:paraId="3DDC2A3F" w14:textId="77777777" w:rsidR="007F7713" w:rsidRDefault="007F7713" w:rsidP="007F7713">
      <w:pPr>
        <w:spacing w:line="360" w:lineRule="auto"/>
        <w:jc w:val="both"/>
        <w:rPr>
          <w:rtl/>
        </w:rPr>
      </w:pPr>
    </w:p>
    <w:p w14:paraId="424D9B43" w14:textId="77777777" w:rsidR="007F7713" w:rsidRDefault="007F7713" w:rsidP="007F7713">
      <w:pPr>
        <w:spacing w:line="360" w:lineRule="auto"/>
        <w:jc w:val="both"/>
        <w:rPr>
          <w:rtl/>
        </w:rPr>
      </w:pPr>
      <w:r>
        <w:rPr>
          <w:rFonts w:hint="cs"/>
          <w:b/>
          <w:bCs/>
          <w:u w:val="single"/>
          <w:rtl/>
        </w:rPr>
        <w:lastRenderedPageBreak/>
        <w:t xml:space="preserve">נסיבות העבירה </w:t>
      </w:r>
      <w:r>
        <w:rPr>
          <w:b/>
          <w:bCs/>
          <w:u w:val="single"/>
          <w:rtl/>
        </w:rPr>
        <w:t>–</w:t>
      </w:r>
      <w:r>
        <w:rPr>
          <w:rFonts w:hint="cs"/>
          <w:b/>
          <w:bCs/>
          <w:u w:val="single"/>
          <w:rtl/>
        </w:rPr>
        <w:t xml:space="preserve"> קביעת מתחם העונש ההולם והיחס להסדר:</w:t>
      </w:r>
    </w:p>
    <w:p w14:paraId="364A3427" w14:textId="77777777" w:rsidR="007F7713" w:rsidRDefault="007F7713" w:rsidP="007F7713">
      <w:pPr>
        <w:pStyle w:val="ListParagraph"/>
        <w:numPr>
          <w:ilvl w:val="0"/>
          <w:numId w:val="1"/>
        </w:numPr>
        <w:spacing w:line="360" w:lineRule="auto"/>
        <w:jc w:val="both"/>
        <w:rPr>
          <w:rtl/>
        </w:rPr>
      </w:pPr>
      <w:r>
        <w:rPr>
          <w:rFonts w:hint="cs"/>
          <w:rtl/>
        </w:rPr>
        <w:t>הצדדים הגיעו להסדר טיעון לפיו תגביל התביעה טיעוניה לעונש עיקרי של חודשיים בעבודות שירות. על בית המשפט לבחון את מידת האיזון והסבירות של הסדר זה, על-דרך השוואתו למתחם העונש ההולם, שיש לקבעו ולו בקווים כללים (</w:t>
      </w:r>
      <w:hyperlink r:id="rId15" w:history="1">
        <w:r w:rsidR="00841F50" w:rsidRPr="00841F50">
          <w:rPr>
            <w:rStyle w:val="Hyperlink"/>
            <w:rtl/>
          </w:rPr>
          <w:t>ע"פ 921/17</w:t>
        </w:r>
      </w:hyperlink>
      <w:r w:rsidRPr="006D5FA4">
        <w:rPr>
          <w:rtl/>
        </w:rPr>
        <w:t xml:space="preserve"> </w:t>
      </w:r>
      <w:r w:rsidRPr="006D5FA4">
        <w:rPr>
          <w:b/>
          <w:bCs/>
          <w:rtl/>
        </w:rPr>
        <w:t>אבו זעילה נ' מ.י.</w:t>
      </w:r>
      <w:r w:rsidRPr="006D5FA4">
        <w:rPr>
          <w:rtl/>
        </w:rPr>
        <w:t xml:space="preserve"> (2017); </w:t>
      </w:r>
      <w:hyperlink r:id="rId16" w:history="1">
        <w:r w:rsidR="00841F50" w:rsidRPr="00841F50">
          <w:rPr>
            <w:rStyle w:val="Hyperlink"/>
            <w:rtl/>
          </w:rPr>
          <w:t>ע"פ 2021/17</w:t>
        </w:r>
      </w:hyperlink>
      <w:r w:rsidRPr="006D5FA4">
        <w:rPr>
          <w:rtl/>
        </w:rPr>
        <w:t xml:space="preserve"> </w:t>
      </w:r>
      <w:r w:rsidRPr="006D5FA4">
        <w:rPr>
          <w:b/>
          <w:bCs/>
          <w:rtl/>
        </w:rPr>
        <w:t xml:space="preserve">מצגר נ' מ.י. </w:t>
      </w:r>
      <w:r w:rsidRPr="006D5FA4">
        <w:rPr>
          <w:rtl/>
        </w:rPr>
        <w:t xml:space="preserve">(2017), פסקה 16; </w:t>
      </w:r>
      <w:hyperlink r:id="rId17" w:history="1">
        <w:r w:rsidR="00841F50" w:rsidRPr="00841F50">
          <w:rPr>
            <w:rStyle w:val="Hyperlink"/>
            <w:rtl/>
          </w:rPr>
          <w:t>ע"פ 5855/15</w:t>
        </w:r>
      </w:hyperlink>
      <w:r w:rsidRPr="006D5FA4">
        <w:rPr>
          <w:rtl/>
        </w:rPr>
        <w:t xml:space="preserve"> </w:t>
      </w:r>
      <w:r w:rsidRPr="006D5FA4">
        <w:rPr>
          <w:b/>
          <w:bCs/>
          <w:rtl/>
        </w:rPr>
        <w:t>לוגסי נ' מ.י.</w:t>
      </w:r>
      <w:r w:rsidRPr="006D5FA4">
        <w:rPr>
          <w:rtl/>
        </w:rPr>
        <w:t xml:space="preserve"> (2016), פסקה 11; </w:t>
      </w:r>
      <w:hyperlink r:id="rId18" w:history="1">
        <w:r w:rsidR="00841F50" w:rsidRPr="00841F50">
          <w:rPr>
            <w:rStyle w:val="Hyperlink"/>
            <w:rtl/>
          </w:rPr>
          <w:t>ע"פ 512/13</w:t>
        </w:r>
      </w:hyperlink>
      <w:r w:rsidRPr="006D5FA4">
        <w:rPr>
          <w:rtl/>
        </w:rPr>
        <w:t xml:space="preserve"> </w:t>
      </w:r>
      <w:r w:rsidRPr="006D5FA4">
        <w:rPr>
          <w:b/>
          <w:bCs/>
          <w:rtl/>
        </w:rPr>
        <w:t xml:space="preserve">פלוני נ' מ.י. </w:t>
      </w:r>
      <w:r w:rsidRPr="006D5FA4">
        <w:rPr>
          <w:rtl/>
        </w:rPr>
        <w:t>(2013), פסקאות 18-12 לפסק דינו של השופט ח' מלצר; קול אחר שנשמע בדברי הש' זילברטל ב</w:t>
      </w:r>
      <w:hyperlink r:id="rId19" w:history="1">
        <w:r w:rsidR="00841F50" w:rsidRPr="00841F50">
          <w:rPr>
            <w:rStyle w:val="Hyperlink"/>
            <w:rtl/>
          </w:rPr>
          <w:t>ע"פ 2524/15</w:t>
        </w:r>
      </w:hyperlink>
      <w:r w:rsidRPr="006D5FA4">
        <w:rPr>
          <w:rtl/>
        </w:rPr>
        <w:t xml:space="preserve"> </w:t>
      </w:r>
      <w:r w:rsidRPr="006D5FA4">
        <w:rPr>
          <w:b/>
          <w:bCs/>
          <w:rtl/>
        </w:rPr>
        <w:t>שפרנוביץ נ' מ.י.</w:t>
      </w:r>
      <w:r w:rsidRPr="006D5FA4">
        <w:rPr>
          <w:rtl/>
        </w:rPr>
        <w:t xml:space="preserve"> (2016) איננו אפוא עיקרה של הלכה).</w:t>
      </w:r>
    </w:p>
    <w:p w14:paraId="57BF9BB3" w14:textId="77777777" w:rsidR="007F7713" w:rsidRDefault="007F7713" w:rsidP="007F7713">
      <w:pPr>
        <w:pStyle w:val="ListParagraph"/>
        <w:numPr>
          <w:ilvl w:val="0"/>
          <w:numId w:val="1"/>
        </w:numPr>
        <w:spacing w:line="360" w:lineRule="auto"/>
        <w:jc w:val="both"/>
      </w:pPr>
      <w:r>
        <w:rPr>
          <w:rFonts w:hint="cs"/>
          <w:rtl/>
        </w:rPr>
        <w:t xml:space="preserve">העבירה הדומיננטית הנה גידול הסם (והשוו </w:t>
      </w:r>
      <w:hyperlink r:id="rId20" w:history="1">
        <w:r w:rsidR="00841F50" w:rsidRPr="00841F50">
          <w:rPr>
            <w:rStyle w:val="Hyperlink"/>
            <w:rtl/>
          </w:rPr>
          <w:t>ע"פ  1127/13</w:t>
        </w:r>
      </w:hyperlink>
      <w:r w:rsidRPr="003A4224">
        <w:rPr>
          <w:rtl/>
        </w:rPr>
        <w:t xml:space="preserve"> </w:t>
      </w:r>
      <w:r w:rsidRPr="003A4224">
        <w:rPr>
          <w:b/>
          <w:bCs/>
          <w:rtl/>
        </w:rPr>
        <w:t>גברזגיי נ' מ.י.</w:t>
      </w:r>
      <w:r w:rsidRPr="003A4224">
        <w:rPr>
          <w:rtl/>
        </w:rPr>
        <w:t xml:space="preserve"> (2014)</w:t>
      </w:r>
      <w:r>
        <w:rPr>
          <w:rFonts w:hint="cs"/>
          <w:rtl/>
        </w:rPr>
        <w:t xml:space="preserve">), והמתחם ייקבע בעיקרו בגינה. </w:t>
      </w:r>
    </w:p>
    <w:p w14:paraId="6CC51291" w14:textId="77777777" w:rsidR="007F7713" w:rsidRDefault="007F7713" w:rsidP="007F7713">
      <w:pPr>
        <w:pStyle w:val="ListParagraph"/>
        <w:numPr>
          <w:ilvl w:val="0"/>
          <w:numId w:val="1"/>
        </w:numPr>
        <w:spacing w:line="360" w:lineRule="auto"/>
        <w:jc w:val="both"/>
        <w:rPr>
          <w:rtl/>
        </w:rPr>
      </w:pPr>
      <w:r>
        <w:rPr>
          <w:rtl/>
        </w:rPr>
        <w:t xml:space="preserve">פגיעתם של הסמים בחברה אינה נקודתית, אלא משתרעת על מרחבים וזמנים עצומים, החל מהפגיעה במשתמש ובמשפחתו, וכלה באזרחים התמימים הנפגעים מצרכני הסם המבצעים עבירות רכוש ואלימות. זאת אף טרם שנזכיר את מימונם של ארגוני פשיעה וטרור על ידי העיסוק בסם. עם זאת, אין הדברים אמורים באותה מידת חומרה כאשר מדובר בסם מסוג קנאביס, המוכר בפסיקה כסם "קל", וכאשר מדובר בגידול של כמות קטנה.  אמנם, מדובר בעבירה מתוכננת שבוצעה לאורך זמן, תוך השקעת מחשבה ומשאבים, אך אין ענייננו באותו סוג מעבדה שמובא לעיתים קרובות מדי בפני ביהמ"ש – חדרים שלמים או אף דירות שלמות המוקדשים לגידול סם, תוך שימוש באמצעים מתוחכמים ויקרי ערך. במקרה דנן, מדובר על </w:t>
      </w:r>
      <w:r>
        <w:rPr>
          <w:rFonts w:hint="cs"/>
          <w:rtl/>
        </w:rPr>
        <w:t>שתיל בודד</w:t>
      </w:r>
      <w:r>
        <w:rPr>
          <w:rtl/>
        </w:rPr>
        <w:t xml:space="preserve">.  באשר למניעי הנאשם, אינני מקבל כל מניע אחר, חוץ מהמניע הרגיל – רצון להשתמש בסם ולהפיצו תמורת טובת הנאה. </w:t>
      </w:r>
    </w:p>
    <w:p w14:paraId="5F663E22" w14:textId="77777777" w:rsidR="007F7713" w:rsidRDefault="007F7713" w:rsidP="007F7713">
      <w:pPr>
        <w:pStyle w:val="ListParagraph"/>
        <w:numPr>
          <w:ilvl w:val="0"/>
          <w:numId w:val="1"/>
        </w:numPr>
        <w:spacing w:line="360" w:lineRule="auto"/>
        <w:jc w:val="both"/>
        <w:rPr>
          <w:rtl/>
        </w:rPr>
      </w:pPr>
      <w:r>
        <w:rPr>
          <w:rtl/>
        </w:rPr>
        <w:t xml:space="preserve">עיון בפסיקה מלמד כי החזקת קנאביס וגידולו בכמויות מסחריות, של ק"ג ואילך, נתקל בענישה מחמירה של מאסר. מתחמי העונש שנקבעו במקרים מסוג זה אינם פחותים מ-8 חודשי מאסר. אלא, שאין עניינינו דומה כלל וכלל לעניין זה, </w:t>
      </w:r>
      <w:r>
        <w:rPr>
          <w:rFonts w:hint="cs"/>
          <w:rtl/>
        </w:rPr>
        <w:t xml:space="preserve">בהתייחס להיותו של השתיל בודד </w:t>
      </w:r>
      <w:r>
        <w:rPr>
          <w:rtl/>
        </w:rPr>
        <w:t>ו</w:t>
      </w:r>
      <w:r>
        <w:rPr>
          <w:rFonts w:hint="cs"/>
          <w:rtl/>
        </w:rPr>
        <w:t>ל</w:t>
      </w:r>
      <w:r>
        <w:rPr>
          <w:rtl/>
        </w:rPr>
        <w:t xml:space="preserve">משקל הצנוע של הסם שנתפס.  מתחם העונש ההולם </w:t>
      </w:r>
      <w:r>
        <w:rPr>
          <w:rFonts w:hint="cs"/>
          <w:rtl/>
        </w:rPr>
        <w:t>נקבע</w:t>
      </w:r>
      <w:r>
        <w:rPr>
          <w:rtl/>
        </w:rPr>
        <w:t xml:space="preserve"> בין 4 חודשי מאסר שניתן לרצותם בעבודות שירות, לבין 8 חודשי מאסר בפועל, כעונש עיקרי. </w:t>
      </w:r>
    </w:p>
    <w:p w14:paraId="706A891F" w14:textId="77777777" w:rsidR="007F7713" w:rsidRDefault="007F7713" w:rsidP="007F7713">
      <w:pPr>
        <w:pStyle w:val="ListParagraph"/>
        <w:numPr>
          <w:ilvl w:val="0"/>
          <w:numId w:val="1"/>
        </w:numPr>
        <w:spacing w:line="360" w:lineRule="auto"/>
        <w:jc w:val="both"/>
        <w:rPr>
          <w:rtl/>
        </w:rPr>
      </w:pPr>
      <w:r>
        <w:rPr>
          <w:rFonts w:hint="cs"/>
          <w:rtl/>
        </w:rPr>
        <w:t>הסדר הטיעון מיטיב אפוא עם הנאשם ומקל עמו בצורה ניכרת, אך עומד הוא ללא-סייג במבחני האיזון והסבירות, ויש לאמצו.</w:t>
      </w:r>
    </w:p>
    <w:p w14:paraId="421B643F" w14:textId="77777777" w:rsidR="007F7713" w:rsidRDefault="007F7713" w:rsidP="007F7713">
      <w:pPr>
        <w:spacing w:line="360" w:lineRule="auto"/>
        <w:jc w:val="both"/>
        <w:rPr>
          <w:rtl/>
        </w:rPr>
      </w:pPr>
    </w:p>
    <w:p w14:paraId="2FE193A3" w14:textId="77777777" w:rsidR="007F7713" w:rsidRPr="0046676D" w:rsidRDefault="007F7713" w:rsidP="007F7713">
      <w:pPr>
        <w:spacing w:line="360" w:lineRule="auto"/>
        <w:jc w:val="both"/>
        <w:rPr>
          <w:b/>
          <w:bCs/>
          <w:u w:val="single"/>
        </w:rPr>
      </w:pPr>
      <w:r>
        <w:rPr>
          <w:rFonts w:hint="cs"/>
          <w:b/>
          <w:bCs/>
          <w:u w:val="single"/>
          <w:rtl/>
        </w:rPr>
        <w:t>קביעת העונש לפי המוסכם:</w:t>
      </w:r>
    </w:p>
    <w:p w14:paraId="7BE9AA61" w14:textId="77777777" w:rsidR="007F7713" w:rsidRDefault="007F7713" w:rsidP="007F7713">
      <w:pPr>
        <w:pStyle w:val="ListParagraph"/>
        <w:numPr>
          <w:ilvl w:val="0"/>
          <w:numId w:val="2"/>
        </w:numPr>
        <w:spacing w:line="360" w:lineRule="auto"/>
        <w:jc w:val="both"/>
      </w:pPr>
      <w:r>
        <w:rPr>
          <w:rFonts w:hint="cs"/>
          <w:rtl/>
        </w:rPr>
        <w:t xml:space="preserve">הנאשם יליד 1965, כבן 52 כיום, רווק ואב לילד בן תשע, עובד בעיריית תל-אביב. מוצא הנאשם במשפחה נורמטיבית והוא סיים 12 שנות לימוד ושרת שירות צבאי מלא. בילדותו התגלה בליבו של הנאשם מום, הוא עבר ניתוח טראומטי כשהיה בן שלוש, ובגיל 44 חווה התקף לב שבעקבותיו הוא נזקק לטיפול תרופתי כרוני. מצבו הבריאותי של הנאשם מטיל אפוא צל על חיי הנאשם ומהווה מקור לחשש מתמיד. </w:t>
      </w:r>
    </w:p>
    <w:p w14:paraId="4E3A4718" w14:textId="77777777" w:rsidR="007F7713" w:rsidRDefault="007F7713" w:rsidP="007F7713">
      <w:pPr>
        <w:pStyle w:val="ListParagraph"/>
        <w:numPr>
          <w:ilvl w:val="0"/>
          <w:numId w:val="2"/>
        </w:numPr>
        <w:spacing w:line="360" w:lineRule="auto"/>
        <w:jc w:val="both"/>
      </w:pPr>
      <w:r>
        <w:rPr>
          <w:rFonts w:hint="cs"/>
          <w:rtl/>
        </w:rPr>
        <w:lastRenderedPageBreak/>
        <w:t>הנאשם צרך סמים מנעוריו, לרבות סמים קשים שרכישתם הביאה אותו לחסרון כיס ועד להיותו חסר-בית. הנאשם אינו משתמש עוד בסמים קשים, אך הוא ממשיך לצרוך קנביס באופן יומי, לצרכי רוגע והנאה ולהקלה על כאבים שהם תוצאת-לוואי לתרופות שהוא נוטל. לחובת הנאשם הרשעה משנת 1998 בגין החזקת סם מסוכן שלא לצריכה עצמית.</w:t>
      </w:r>
    </w:p>
    <w:p w14:paraId="2CC6474D" w14:textId="77777777" w:rsidR="007F7713" w:rsidRDefault="007F7713" w:rsidP="007F7713">
      <w:pPr>
        <w:pStyle w:val="ListParagraph"/>
        <w:numPr>
          <w:ilvl w:val="0"/>
          <w:numId w:val="2"/>
        </w:numPr>
        <w:spacing w:line="360" w:lineRule="auto"/>
        <w:jc w:val="both"/>
      </w:pPr>
      <w:r>
        <w:rPr>
          <w:rFonts w:hint="cs"/>
          <w:rtl/>
        </w:rPr>
        <w:t>שירות המבחן מוסר, בתסקירו מיום 2.6.16, כי לנאשם דפוסי התמכרות לסמים, אך הוא אינו מגלה מודעות לבעייתיות שבהתנהלותו. הנאשם מודע לאיסורי החוק, אך אינו מוצא פסול במעשיו. לנוכח עמדותיו של הנאשם, נמנע השירות מהמלצה טיפולית ושולל ענישה של של"צ.</w:t>
      </w:r>
    </w:p>
    <w:p w14:paraId="4DAA17CF" w14:textId="77777777" w:rsidR="007F7713" w:rsidRDefault="007F7713" w:rsidP="007F7713">
      <w:pPr>
        <w:pStyle w:val="ListParagraph"/>
        <w:numPr>
          <w:ilvl w:val="0"/>
          <w:numId w:val="2"/>
        </w:numPr>
        <w:spacing w:line="360" w:lineRule="auto"/>
        <w:jc w:val="both"/>
      </w:pPr>
      <w:r>
        <w:rPr>
          <w:rFonts w:hint="cs"/>
          <w:rtl/>
        </w:rPr>
        <w:t>לזכות הנאשם יעמדו הודייתו (מסויגת ככל שתהא), היותו עברו הפלילי רחוק בזמן, מצבו הבריאותי, מאמציו להיגמל מסמים קשים, והיחלצותו ממעגל הסמים הקשים לחיים יצרניים של תעסוקה ואבהות. מנגד יעמדו המשך השימוש בסם, היעדר הפנמה של חובת הציות לחוק והפסול במעשים, היעדרה של נטילה כנה של אחריות, וחלוף הזמן.</w:t>
      </w:r>
    </w:p>
    <w:p w14:paraId="11603AF1" w14:textId="77777777" w:rsidR="007F7713" w:rsidRDefault="007F7713" w:rsidP="007F7713">
      <w:pPr>
        <w:pStyle w:val="ListParagraph"/>
        <w:numPr>
          <w:ilvl w:val="0"/>
          <w:numId w:val="2"/>
        </w:numPr>
        <w:spacing w:line="360" w:lineRule="auto"/>
        <w:jc w:val="both"/>
      </w:pPr>
      <w:r>
        <w:rPr>
          <w:rFonts w:hint="cs"/>
          <w:rtl/>
        </w:rPr>
        <w:t>הענישה המומלצת על-ידי התביעה מתונה, נאותה והגונה, מקיימת איזון נכון בין הרכיבים השונים, ויש אפוא לאמצה, בכל הנוגע לעונש עיקרי. אמנע מעיצום כספי, לנוכח תקופת המאסר בעבודות שירות. נסיבות המקרה, לרבות הסיכון שבהמשך השימוש בסם,  אינן מתירות להימנע מפסילת רישיון נהיגה.</w:t>
      </w:r>
    </w:p>
    <w:p w14:paraId="33C1E1C1" w14:textId="77777777" w:rsidR="007F7713" w:rsidRDefault="007F7713" w:rsidP="007F7713">
      <w:pPr>
        <w:spacing w:line="360" w:lineRule="auto"/>
        <w:jc w:val="both"/>
        <w:rPr>
          <w:rtl/>
        </w:rPr>
      </w:pPr>
    </w:p>
    <w:p w14:paraId="2FFE776A" w14:textId="77777777" w:rsidR="007F7713" w:rsidRPr="000B43CB" w:rsidRDefault="007F7713" w:rsidP="007F7713">
      <w:pPr>
        <w:spacing w:line="360" w:lineRule="auto"/>
        <w:jc w:val="both"/>
        <w:rPr>
          <w:b/>
          <w:bCs/>
          <w:u w:val="single"/>
          <w:rtl/>
        </w:rPr>
      </w:pPr>
      <w:r>
        <w:rPr>
          <w:rFonts w:hint="cs"/>
          <w:b/>
          <w:bCs/>
          <w:u w:val="single"/>
          <w:rtl/>
        </w:rPr>
        <w:t>סוף-דבר, אני גוזר על הנאשם את העונשים הבאים:</w:t>
      </w:r>
    </w:p>
    <w:p w14:paraId="5037F03A" w14:textId="77777777" w:rsidR="007F7713" w:rsidRDefault="007F7713" w:rsidP="007F7713">
      <w:pPr>
        <w:spacing w:line="360" w:lineRule="auto"/>
        <w:ind w:left="720" w:hanging="720"/>
        <w:jc w:val="both"/>
        <w:rPr>
          <w:rtl/>
        </w:rPr>
      </w:pPr>
      <w:r>
        <w:rPr>
          <w:rFonts w:hint="cs"/>
          <w:rtl/>
        </w:rPr>
        <w:t>א.</w:t>
      </w:r>
      <w:r>
        <w:rPr>
          <w:rFonts w:hint="cs"/>
          <w:rtl/>
        </w:rPr>
        <w:tab/>
        <w:t>חודשיים מאסר בפועל, שירוצו בעבודות שירות החל מיום 6.11.17 במפעל "המשקם" בחולון. הנאשם מוזהר כי אי-ציות להוראות הממונה על עבודות השירות, או הממונים במקום העבודה, יוביל להפסקת העבודות ולהמשך ריצוי המאסר בכליאה;</w:t>
      </w:r>
    </w:p>
    <w:p w14:paraId="0D07CF4B" w14:textId="77777777" w:rsidR="007F7713" w:rsidRDefault="007F7713" w:rsidP="007F7713">
      <w:pPr>
        <w:spacing w:line="360" w:lineRule="auto"/>
        <w:ind w:left="720" w:hanging="720"/>
        <w:jc w:val="both"/>
        <w:rPr>
          <w:rtl/>
        </w:rPr>
      </w:pPr>
      <w:r>
        <w:rPr>
          <w:rFonts w:hint="cs"/>
          <w:rtl/>
        </w:rPr>
        <w:t>ב.</w:t>
      </w:r>
      <w:r>
        <w:rPr>
          <w:rtl/>
        </w:rPr>
        <w:tab/>
      </w:r>
      <w:r>
        <w:rPr>
          <w:rFonts w:hint="cs"/>
          <w:rtl/>
        </w:rPr>
        <w:t>שלושה חודשי מאסר על-תנאי למשך שנה מהיום, שלא יעבור עבירת סם שהיא פשע;</w:t>
      </w:r>
    </w:p>
    <w:p w14:paraId="7FA82B23" w14:textId="77777777" w:rsidR="007F7713" w:rsidRDefault="007F7713" w:rsidP="007F7713">
      <w:pPr>
        <w:spacing w:line="360" w:lineRule="auto"/>
        <w:ind w:left="720" w:hanging="720"/>
        <w:jc w:val="both"/>
        <w:rPr>
          <w:rtl/>
        </w:rPr>
      </w:pPr>
      <w:r>
        <w:rPr>
          <w:rFonts w:hint="cs"/>
          <w:rtl/>
        </w:rPr>
        <w:t>ג.</w:t>
      </w:r>
      <w:r>
        <w:rPr>
          <w:rtl/>
        </w:rPr>
        <w:tab/>
      </w:r>
      <w:r>
        <w:rPr>
          <w:rFonts w:hint="cs"/>
          <w:rtl/>
        </w:rPr>
        <w:t>פסילה מלקבל רישיון נהיגה או לנהוג, למשך שישה חודשים מהיום;</w:t>
      </w:r>
    </w:p>
    <w:p w14:paraId="718BD513" w14:textId="77777777" w:rsidR="007F7713" w:rsidRDefault="007F7713" w:rsidP="007F7713">
      <w:pPr>
        <w:spacing w:line="360" w:lineRule="auto"/>
        <w:ind w:left="720" w:hanging="720"/>
        <w:jc w:val="both"/>
        <w:rPr>
          <w:rtl/>
        </w:rPr>
      </w:pPr>
      <w:r>
        <w:rPr>
          <w:rFonts w:hint="cs"/>
          <w:rtl/>
        </w:rPr>
        <w:t xml:space="preserve">ד. </w:t>
      </w:r>
      <w:r>
        <w:rPr>
          <w:rtl/>
        </w:rPr>
        <w:tab/>
      </w:r>
      <w:r>
        <w:rPr>
          <w:rFonts w:hint="cs"/>
          <w:rtl/>
        </w:rPr>
        <w:t>שלושה חודשי פסילה על-תנאי מלקבל רישיון נהיגה או לנהוג, למשך שנה מיום תום הפסילה;</w:t>
      </w:r>
    </w:p>
    <w:p w14:paraId="1C7A2161" w14:textId="77777777" w:rsidR="007F7713" w:rsidRDefault="007F7713" w:rsidP="007F7713">
      <w:pPr>
        <w:spacing w:line="360" w:lineRule="auto"/>
        <w:ind w:left="720" w:hanging="720"/>
        <w:jc w:val="both"/>
        <w:rPr>
          <w:rtl/>
        </w:rPr>
      </w:pPr>
    </w:p>
    <w:p w14:paraId="145F5A3C" w14:textId="77777777" w:rsidR="007F7713" w:rsidRPr="00634614" w:rsidRDefault="007F7713" w:rsidP="007F7713">
      <w:pPr>
        <w:spacing w:line="360" w:lineRule="auto"/>
        <w:ind w:left="720" w:hanging="720"/>
        <w:jc w:val="both"/>
        <w:rPr>
          <w:b/>
          <w:bCs/>
          <w:u w:val="single"/>
          <w:rtl/>
        </w:rPr>
      </w:pPr>
      <w:r w:rsidRPr="00634614">
        <w:rPr>
          <w:rFonts w:hint="cs"/>
          <w:b/>
          <w:bCs/>
          <w:u w:val="single"/>
          <w:rtl/>
        </w:rPr>
        <w:t>הוראות נלוות:</w:t>
      </w:r>
    </w:p>
    <w:p w14:paraId="29157B07" w14:textId="77777777" w:rsidR="007F7713" w:rsidRDefault="007F7713" w:rsidP="007F7713">
      <w:pPr>
        <w:spacing w:line="360" w:lineRule="auto"/>
        <w:ind w:left="720" w:hanging="720"/>
        <w:jc w:val="both"/>
        <w:rPr>
          <w:rtl/>
        </w:rPr>
      </w:pPr>
      <w:r>
        <w:rPr>
          <w:rFonts w:hint="cs"/>
          <w:rtl/>
        </w:rPr>
        <w:t>א.</w:t>
      </w:r>
      <w:r>
        <w:rPr>
          <w:rFonts w:hint="cs"/>
          <w:rtl/>
        </w:rPr>
        <w:tab/>
        <w:t>הסם יושמד וכל פריט אחר פרט לכסף יועבר להכרעה פרטנית של קצין משטרה;</w:t>
      </w:r>
    </w:p>
    <w:p w14:paraId="381D7D1B" w14:textId="77777777" w:rsidR="007F7713" w:rsidRDefault="007F7713" w:rsidP="007F7713">
      <w:pPr>
        <w:spacing w:line="360" w:lineRule="auto"/>
        <w:ind w:left="720" w:hanging="720"/>
        <w:jc w:val="both"/>
        <w:rPr>
          <w:rtl/>
        </w:rPr>
      </w:pPr>
      <w:r>
        <w:rPr>
          <w:rFonts w:hint="cs"/>
          <w:rtl/>
        </w:rPr>
        <w:t>ב.</w:t>
      </w:r>
      <w:r>
        <w:rPr>
          <w:rtl/>
        </w:rPr>
        <w:tab/>
      </w:r>
      <w:r>
        <w:rPr>
          <w:rFonts w:hint="cs"/>
          <w:rtl/>
        </w:rPr>
        <w:t>פיקדונות בתיק זה או בתיק המשטרה פל"א 435146/2014, ככל שקיימים, יושבו לנאשם;</w:t>
      </w:r>
    </w:p>
    <w:p w14:paraId="5E554C2C" w14:textId="77777777" w:rsidR="007F7713" w:rsidRDefault="007F7713" w:rsidP="007F7713">
      <w:pPr>
        <w:spacing w:line="360" w:lineRule="auto"/>
        <w:ind w:left="720" w:hanging="720"/>
        <w:jc w:val="both"/>
        <w:rPr>
          <w:rtl/>
        </w:rPr>
      </w:pPr>
      <w:r>
        <w:rPr>
          <w:rFonts w:hint="cs"/>
          <w:rtl/>
        </w:rPr>
        <w:t>ג.</w:t>
      </w:r>
      <w:r>
        <w:rPr>
          <w:rtl/>
        </w:rPr>
        <w:tab/>
      </w:r>
      <w:r>
        <w:rPr>
          <w:rFonts w:hint="cs"/>
          <w:rtl/>
        </w:rPr>
        <w:t>עותקי גזר הדין יועברו לממונה על עבודות השירות ולידיעת שירות המבחן;</w:t>
      </w:r>
    </w:p>
    <w:p w14:paraId="09582C3F" w14:textId="77777777" w:rsidR="007F7713" w:rsidRPr="003A4224" w:rsidRDefault="007F7713" w:rsidP="007F7713">
      <w:pPr>
        <w:spacing w:line="360" w:lineRule="auto"/>
        <w:ind w:left="720" w:hanging="720"/>
        <w:jc w:val="both"/>
        <w:rPr>
          <w:rtl/>
        </w:rPr>
      </w:pPr>
    </w:p>
    <w:p w14:paraId="16A634D2" w14:textId="77777777" w:rsidR="007F7713" w:rsidRPr="00B05847" w:rsidRDefault="007F7713" w:rsidP="007F7713">
      <w:pPr>
        <w:spacing w:line="360" w:lineRule="auto"/>
        <w:jc w:val="both"/>
        <w:rPr>
          <w:rtl/>
        </w:rPr>
      </w:pPr>
      <w:r>
        <w:rPr>
          <w:rFonts w:hint="cs"/>
          <w:rtl/>
        </w:rPr>
        <w:t>זכות ערעור תוך 45 יום מהיום לבית המשפט המחוזי.</w:t>
      </w:r>
    </w:p>
    <w:p w14:paraId="01451E28" w14:textId="77777777" w:rsidR="007F7713" w:rsidRPr="00841F50" w:rsidRDefault="00841F50" w:rsidP="007F7713">
      <w:pPr>
        <w:spacing w:line="360" w:lineRule="auto"/>
        <w:jc w:val="both"/>
        <w:rPr>
          <w:color w:val="FFFFFF"/>
          <w:sz w:val="2"/>
          <w:szCs w:val="2"/>
          <w:rtl/>
        </w:rPr>
      </w:pPr>
      <w:r w:rsidRPr="00841F50">
        <w:rPr>
          <w:color w:val="FFFFFF"/>
          <w:sz w:val="2"/>
          <w:szCs w:val="2"/>
          <w:rtl/>
        </w:rPr>
        <w:t>5129371</w:t>
      </w:r>
    </w:p>
    <w:p w14:paraId="53A28B0B" w14:textId="77777777" w:rsidR="007F7713" w:rsidRPr="00250B83" w:rsidRDefault="00841F50" w:rsidP="007F7713">
      <w:pPr>
        <w:rPr>
          <w:rtl/>
        </w:rPr>
      </w:pPr>
      <w:r w:rsidRPr="00841F50">
        <w:rPr>
          <w:rFonts w:ascii="Arial" w:hAnsi="Arial"/>
          <w:color w:val="FFFFFF"/>
          <w:sz w:val="2"/>
          <w:szCs w:val="2"/>
          <w:rtl/>
        </w:rPr>
        <w:t>54678313</w:t>
      </w:r>
      <w:r>
        <w:rPr>
          <w:rFonts w:ascii="Arial" w:hAnsi="Arial"/>
          <w:rtl/>
        </w:rPr>
        <w:t xml:space="preserve">ניתן היום,  כ"ו אלול תשע"ז, 17 ספטמבר 2017, במעמד הצדדים. </w:t>
      </w:r>
    </w:p>
    <w:p w14:paraId="1DBD0CC6" w14:textId="77777777" w:rsidR="007F7713" w:rsidRPr="00250B83" w:rsidRDefault="007F7713" w:rsidP="007F7713">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789FDCD2" w14:textId="77777777" w:rsidR="007F7713" w:rsidRPr="00250B83" w:rsidRDefault="007F7713" w:rsidP="007F7713">
      <w:pPr>
        <w:jc w:val="center"/>
        <w:rPr>
          <w:rFonts w:ascii="Arial" w:hAnsi="Arial"/>
          <w:rtl/>
        </w:rPr>
      </w:pPr>
    </w:p>
    <w:p w14:paraId="27E75CC7" w14:textId="77777777" w:rsidR="007F7713" w:rsidRPr="00250B83" w:rsidRDefault="007F7713" w:rsidP="007F7713">
      <w:pPr>
        <w:rPr>
          <w:rtl/>
        </w:rPr>
      </w:pPr>
    </w:p>
    <w:p w14:paraId="71DEF4C3" w14:textId="77777777" w:rsidR="007F7713" w:rsidRDefault="007F7713" w:rsidP="007F7713">
      <w:pPr>
        <w:pStyle w:val="a3"/>
        <w:jc w:val="center"/>
        <w:rPr>
          <w:rtl/>
        </w:rPr>
      </w:pPr>
    </w:p>
    <w:p w14:paraId="1160DF12" w14:textId="77777777" w:rsidR="00841F50" w:rsidRPr="00841F50" w:rsidRDefault="00841F50" w:rsidP="00841F50">
      <w:pPr>
        <w:keepNext/>
        <w:rPr>
          <w:rFonts w:ascii="David" w:hAnsi="David"/>
          <w:color w:val="000000"/>
          <w:sz w:val="22"/>
          <w:szCs w:val="22"/>
          <w:rtl/>
        </w:rPr>
      </w:pPr>
    </w:p>
    <w:p w14:paraId="4C5A5D53" w14:textId="77777777" w:rsidR="00841F50" w:rsidRPr="00841F50" w:rsidRDefault="00841F50" w:rsidP="00841F50">
      <w:pPr>
        <w:keepNext/>
        <w:rPr>
          <w:rFonts w:ascii="David" w:hAnsi="David"/>
          <w:color w:val="000000"/>
          <w:sz w:val="22"/>
          <w:szCs w:val="22"/>
          <w:rtl/>
        </w:rPr>
      </w:pPr>
      <w:r w:rsidRPr="00841F50">
        <w:rPr>
          <w:rFonts w:ascii="David" w:hAnsi="David"/>
          <w:color w:val="000000"/>
          <w:sz w:val="22"/>
          <w:szCs w:val="22"/>
          <w:rtl/>
        </w:rPr>
        <w:t>עידו דרויאן גמליאל 54678313</w:t>
      </w:r>
    </w:p>
    <w:p w14:paraId="41BB244D" w14:textId="77777777" w:rsidR="00841F50" w:rsidRDefault="00841F50" w:rsidP="00841F50">
      <w:pPr>
        <w:rPr>
          <w:color w:val="000000"/>
          <w:rtl/>
        </w:rPr>
      </w:pPr>
      <w:r w:rsidRPr="00841F50">
        <w:rPr>
          <w:color w:val="000000"/>
          <w:rtl/>
        </w:rPr>
        <w:t>נוסח מסמך זה כפוף לשינויי ניסוח ועריכה</w:t>
      </w:r>
    </w:p>
    <w:p w14:paraId="436C6E12" w14:textId="77777777" w:rsidR="00841F50" w:rsidRDefault="00841F50" w:rsidP="00841F50">
      <w:pPr>
        <w:rPr>
          <w:rtl/>
        </w:rPr>
      </w:pPr>
    </w:p>
    <w:p w14:paraId="31C7890C" w14:textId="77777777" w:rsidR="00841F50" w:rsidRDefault="00841F50" w:rsidP="00841F50">
      <w:pPr>
        <w:jc w:val="center"/>
        <w:rPr>
          <w:color w:val="0000FF"/>
          <w:u w:val="single"/>
          <w:rtl/>
        </w:rPr>
      </w:pPr>
      <w:hyperlink r:id="rId21" w:history="1">
        <w:r>
          <w:rPr>
            <w:rStyle w:val="Hyperlink"/>
            <w:rtl/>
          </w:rPr>
          <w:t>בעניין עריכה ושינויים במסמכי פסיקה, חקיקה ועוד באתר נבו – הקש כאן</w:t>
        </w:r>
      </w:hyperlink>
    </w:p>
    <w:p w14:paraId="4EE16966" w14:textId="77777777" w:rsidR="002D7B2F" w:rsidRPr="00841F50" w:rsidRDefault="002D7B2F" w:rsidP="00841F50">
      <w:pPr>
        <w:jc w:val="center"/>
        <w:rPr>
          <w:color w:val="0000FF"/>
          <w:u w:val="single"/>
        </w:rPr>
      </w:pPr>
    </w:p>
    <w:sectPr w:rsidR="002D7B2F" w:rsidRPr="00841F50" w:rsidSect="00841F50">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7FCC64" w14:textId="77777777" w:rsidR="004A77BA" w:rsidRDefault="004A77BA">
      <w:r>
        <w:separator/>
      </w:r>
    </w:p>
  </w:endnote>
  <w:endnote w:type="continuationSeparator" w:id="0">
    <w:p w14:paraId="6899BC4B" w14:textId="77777777" w:rsidR="004A77BA" w:rsidRDefault="004A7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B5EE5" w14:textId="77777777" w:rsidR="004A77BA" w:rsidRDefault="004A77BA" w:rsidP="00841F5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7F448DE" w14:textId="77777777" w:rsidR="004A77BA" w:rsidRPr="00841F50" w:rsidRDefault="004A77BA" w:rsidP="00841F50">
    <w:pPr>
      <w:pStyle w:val="a5"/>
      <w:pBdr>
        <w:top w:val="single" w:sz="4" w:space="1" w:color="auto"/>
        <w:between w:val="single" w:sz="4" w:space="0" w:color="auto"/>
      </w:pBdr>
      <w:spacing w:after="60"/>
      <w:jc w:val="center"/>
      <w:rPr>
        <w:rFonts w:ascii="FrankRuehl" w:hAnsi="FrankRuehl" w:cs="FrankRuehl"/>
        <w:color w:val="000000"/>
      </w:rPr>
    </w:pPr>
    <w:r w:rsidRPr="00841F5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7FE13" w14:textId="77777777" w:rsidR="004A77BA" w:rsidRDefault="004A77BA" w:rsidP="00841F5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B6F64">
      <w:rPr>
        <w:rFonts w:ascii="FrankRuehl" w:hAnsi="FrankRuehl" w:cs="FrankRuehl"/>
        <w:noProof/>
        <w:rtl/>
      </w:rPr>
      <w:t>1</w:t>
    </w:r>
    <w:r>
      <w:rPr>
        <w:rFonts w:ascii="FrankRuehl" w:hAnsi="FrankRuehl" w:cs="FrankRuehl"/>
        <w:rtl/>
      </w:rPr>
      <w:fldChar w:fldCharType="end"/>
    </w:r>
  </w:p>
  <w:p w14:paraId="1F5AEAA8" w14:textId="77777777" w:rsidR="004A77BA" w:rsidRPr="00841F50" w:rsidRDefault="004A77BA" w:rsidP="00841F50">
    <w:pPr>
      <w:pStyle w:val="a5"/>
      <w:pBdr>
        <w:top w:val="single" w:sz="4" w:space="1" w:color="auto"/>
        <w:between w:val="single" w:sz="4" w:space="0" w:color="auto"/>
      </w:pBdr>
      <w:spacing w:after="60"/>
      <w:jc w:val="center"/>
      <w:rPr>
        <w:rFonts w:ascii="FrankRuehl" w:hAnsi="FrankRuehl" w:cs="FrankRuehl"/>
        <w:color w:val="000000"/>
      </w:rPr>
    </w:pPr>
    <w:r w:rsidRPr="00841F50">
      <w:rPr>
        <w:rFonts w:ascii="FrankRuehl" w:hAnsi="FrankRuehl" w:cs="FrankRuehl"/>
        <w:color w:val="000000"/>
      </w:rPr>
      <w:pict w14:anchorId="05D7A1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69718A" w14:textId="77777777" w:rsidR="004A77BA" w:rsidRDefault="004A77BA">
      <w:r>
        <w:separator/>
      </w:r>
    </w:p>
  </w:footnote>
  <w:footnote w:type="continuationSeparator" w:id="0">
    <w:p w14:paraId="614A277A" w14:textId="77777777" w:rsidR="004A77BA" w:rsidRDefault="004A7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036EB" w14:textId="77777777" w:rsidR="004A77BA" w:rsidRPr="00841F50" w:rsidRDefault="004A77BA" w:rsidP="00841F50">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(ת"א) 58928-03-15</w:t>
    </w:r>
    <w:r>
      <w:rPr>
        <w:rFonts w:ascii="David" w:hAnsi="David"/>
        <w:color w:val="000000"/>
        <w:sz w:val="22"/>
        <w:szCs w:val="22"/>
        <w:rtl/>
      </w:rPr>
      <w:tab/>
      <w:t xml:space="preserve"> מדינת ישראל נ' ירון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769BD" w14:textId="77777777" w:rsidR="004A77BA" w:rsidRPr="00841F50" w:rsidRDefault="004A77BA" w:rsidP="00841F5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58928-03-15</w:t>
    </w:r>
    <w:r>
      <w:rPr>
        <w:rFonts w:ascii="David" w:hAnsi="David"/>
        <w:color w:val="000000"/>
        <w:sz w:val="22"/>
        <w:szCs w:val="22"/>
        <w:rtl/>
      </w:rPr>
      <w:tab/>
      <w:t xml:space="preserve"> מדינת ישראל נ' ירון לוי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0E89"/>
    <w:multiLevelType w:val="hybridMultilevel"/>
    <w:tmpl w:val="8C261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2763AA"/>
    <w:multiLevelType w:val="hybridMultilevel"/>
    <w:tmpl w:val="DA5A5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59469003">
    <w:abstractNumId w:val="1"/>
  </w:num>
  <w:num w:numId="2" w16cid:durableId="1747220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F7713"/>
    <w:rsid w:val="002D7B2F"/>
    <w:rsid w:val="004A77BA"/>
    <w:rsid w:val="007F7713"/>
    <w:rsid w:val="00841F50"/>
    <w:rsid w:val="00957356"/>
    <w:rsid w:val="00B270BE"/>
    <w:rsid w:val="00BA16A0"/>
    <w:rsid w:val="00BA6472"/>
    <w:rsid w:val="00BA6877"/>
    <w:rsid w:val="00CB6F64"/>
    <w:rsid w:val="00D85996"/>
    <w:rsid w:val="00DE780A"/>
    <w:rsid w:val="00E70D92"/>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4593EC41"/>
  <w15:chartTrackingRefBased/>
  <w15:docId w15:val="{F7AA5F3F-866B-48E4-BD90-EF895AD7A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F7713"/>
    <w:pPr>
      <w:bidi/>
    </w:pPr>
    <w:rPr>
      <w:rFonts w:ascii="Times New Roman" w:eastAsia="Times New Roman" w:hAnsi="Times New Roman"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7F7713"/>
    <w:pPr>
      <w:tabs>
        <w:tab w:val="center" w:pos="4153"/>
        <w:tab w:val="right" w:pos="8306"/>
      </w:tabs>
    </w:pPr>
  </w:style>
  <w:style w:type="character" w:customStyle="1" w:styleId="a4">
    <w:name w:val="כותרת עליונה תו"/>
    <w:link w:val="a3"/>
    <w:rsid w:val="007F7713"/>
    <w:rPr>
      <w:rFonts w:ascii="Times New Roman" w:eastAsia="Times New Roman" w:hAnsi="Times New Roman" w:cs="David"/>
      <w:sz w:val="24"/>
      <w:szCs w:val="24"/>
    </w:rPr>
  </w:style>
  <w:style w:type="paragraph" w:styleId="a5">
    <w:name w:val="footer"/>
    <w:basedOn w:val="a"/>
    <w:link w:val="a6"/>
    <w:rsid w:val="007F7713"/>
    <w:pPr>
      <w:tabs>
        <w:tab w:val="center" w:pos="4153"/>
        <w:tab w:val="right" w:pos="8306"/>
      </w:tabs>
    </w:pPr>
  </w:style>
  <w:style w:type="character" w:customStyle="1" w:styleId="a6">
    <w:name w:val="כותרת תחתונה תו"/>
    <w:link w:val="a5"/>
    <w:rsid w:val="007F7713"/>
    <w:rPr>
      <w:rFonts w:ascii="Times New Roman" w:eastAsia="Times New Roman" w:hAnsi="Times New Roman" w:cs="David"/>
      <w:sz w:val="24"/>
      <w:szCs w:val="24"/>
    </w:rPr>
  </w:style>
  <w:style w:type="table" w:styleId="a7">
    <w:name w:val="Table Grid"/>
    <w:basedOn w:val="a1"/>
    <w:rsid w:val="007F771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F7713"/>
  </w:style>
  <w:style w:type="paragraph" w:customStyle="1" w:styleId="ListParagraph">
    <w:name w:val="List Paragraph"/>
    <w:basedOn w:val="a"/>
    <w:rsid w:val="007F7713"/>
    <w:pPr>
      <w:ind w:left="720"/>
      <w:contextualSpacing/>
    </w:pPr>
  </w:style>
  <w:style w:type="character" w:styleId="Hyperlink">
    <w:name w:val="Hyperlink"/>
    <w:basedOn w:val="a0"/>
    <w:rsid w:val="00841F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law/4216/7.a.;7.c" TargetMode="External"/><Relationship Id="rId18" Type="http://schemas.openxmlformats.org/officeDocument/2006/relationships/hyperlink" Target="http://www.nevo.co.il/case/556923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1472959"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2294063" TargetMode="External"/><Relationship Id="rId20" Type="http://schemas.openxmlformats.org/officeDocument/2006/relationships/hyperlink" Target="http://www.nevo.co.il/case/60185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6"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2201884" TargetMode="External"/><Relationship Id="rId23" Type="http://schemas.openxmlformats.org/officeDocument/2006/relationships/header" Target="header2.xml"/><Relationship Id="rId10" Type="http://schemas.openxmlformats.org/officeDocument/2006/relationships/hyperlink" Target="http://www.nevo.co.il/law/4216/7.c" TargetMode="External"/><Relationship Id="rId19" Type="http://schemas.openxmlformats.org/officeDocument/2006/relationships/hyperlink" Target="http://www.nevo.co.il/case/20181627"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1036</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6205</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3407997</vt:i4>
      </vt:variant>
      <vt:variant>
        <vt:i4>39</vt:i4>
      </vt:variant>
      <vt:variant>
        <vt:i4>0</vt:i4>
      </vt:variant>
      <vt:variant>
        <vt:i4>5</vt:i4>
      </vt:variant>
      <vt:variant>
        <vt:lpwstr>http://www.nevo.co.il/case/6018516</vt:lpwstr>
      </vt:variant>
      <vt:variant>
        <vt:lpwstr/>
      </vt:variant>
      <vt:variant>
        <vt:i4>3145850</vt:i4>
      </vt:variant>
      <vt:variant>
        <vt:i4>36</vt:i4>
      </vt:variant>
      <vt:variant>
        <vt:i4>0</vt:i4>
      </vt:variant>
      <vt:variant>
        <vt:i4>5</vt:i4>
      </vt:variant>
      <vt:variant>
        <vt:lpwstr>http://www.nevo.co.il/case/20181627</vt:lpwstr>
      </vt:variant>
      <vt:variant>
        <vt:lpwstr/>
      </vt:variant>
      <vt:variant>
        <vt:i4>3276923</vt:i4>
      </vt:variant>
      <vt:variant>
        <vt:i4>33</vt:i4>
      </vt:variant>
      <vt:variant>
        <vt:i4>0</vt:i4>
      </vt:variant>
      <vt:variant>
        <vt:i4>5</vt:i4>
      </vt:variant>
      <vt:variant>
        <vt:lpwstr>http://www.nevo.co.il/case/5569233</vt:lpwstr>
      </vt:variant>
      <vt:variant>
        <vt:lpwstr/>
      </vt:variant>
      <vt:variant>
        <vt:i4>3211387</vt:i4>
      </vt:variant>
      <vt:variant>
        <vt:i4>30</vt:i4>
      </vt:variant>
      <vt:variant>
        <vt:i4>0</vt:i4>
      </vt:variant>
      <vt:variant>
        <vt:i4>5</vt:i4>
      </vt:variant>
      <vt:variant>
        <vt:lpwstr>http://www.nevo.co.il/case/21472959</vt:lpwstr>
      </vt:variant>
      <vt:variant>
        <vt:lpwstr/>
      </vt:variant>
      <vt:variant>
        <vt:i4>3276927</vt:i4>
      </vt:variant>
      <vt:variant>
        <vt:i4>27</vt:i4>
      </vt:variant>
      <vt:variant>
        <vt:i4>0</vt:i4>
      </vt:variant>
      <vt:variant>
        <vt:i4>5</vt:i4>
      </vt:variant>
      <vt:variant>
        <vt:lpwstr>http://www.nevo.co.il/case/22294063</vt:lpwstr>
      </vt:variant>
      <vt:variant>
        <vt:lpwstr/>
      </vt:variant>
      <vt:variant>
        <vt:i4>3735678</vt:i4>
      </vt:variant>
      <vt:variant>
        <vt:i4>24</vt:i4>
      </vt:variant>
      <vt:variant>
        <vt:i4>0</vt:i4>
      </vt:variant>
      <vt:variant>
        <vt:i4>5</vt:i4>
      </vt:variant>
      <vt:variant>
        <vt:lpwstr>http://www.nevo.co.il/case/22201884</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2025-04-22T22:39:00Z</dcterms:created>
  <dcterms:modified xsi:type="dcterms:W3CDTF">2025-04-22T22:39:00Z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58928</vt:lpwstr>
  </property>
  <property fmtid="{D5CDD505-2E9C-101B-9397-08002B2CF9AE}" pid="6" name="NEWPARTB">
    <vt:lpwstr>03</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ירון לוי</vt:lpwstr>
  </property>
  <property fmtid="{D5CDD505-2E9C-101B-9397-08002B2CF9AE}" pid="10" name="LAWYER">
    <vt:lpwstr>הרצוג;ליטן</vt:lpwstr>
  </property>
  <property fmtid="{D5CDD505-2E9C-101B-9397-08002B2CF9AE}" pid="11" name="JUDGE">
    <vt:lpwstr>עידו דרויאן גמליאל</vt:lpwstr>
  </property>
  <property fmtid="{D5CDD505-2E9C-101B-9397-08002B2CF9AE}" pid="12" name="CITY">
    <vt:lpwstr>ת"א</vt:lpwstr>
  </property>
  <property fmtid="{D5CDD505-2E9C-101B-9397-08002B2CF9AE}" pid="13" name="DATE">
    <vt:lpwstr>20170917</vt:lpwstr>
  </property>
  <property fmtid="{D5CDD505-2E9C-101B-9397-08002B2CF9AE}" pid="14" name="TYPE_N_DATE">
    <vt:lpwstr>38020170917</vt:lpwstr>
  </property>
  <property fmtid="{D5CDD505-2E9C-101B-9397-08002B2CF9AE}" pid="15" name="CASESLISTTMP1">
    <vt:lpwstr>22201884;22294063;21472959;5569233;20181627;6018516</vt:lpwstr>
  </property>
  <property fmtid="{D5CDD505-2E9C-101B-9397-08002B2CF9AE}" pid="16" name="WORDNUMPAGES">
    <vt:lpwstr>4</vt:lpwstr>
  </property>
  <property fmtid="{D5CDD505-2E9C-101B-9397-08002B2CF9AE}" pid="17" name="TYPE_ABS_DATE">
    <vt:lpwstr>380020170917</vt:lpwstr>
  </property>
  <property fmtid="{D5CDD505-2E9C-101B-9397-08002B2CF9AE}" pid="18" name="LAWLISTTMP1">
    <vt:lpwstr>4216/006;007.a;007.c</vt:lpwstr>
  </property>
</Properties>
</file>