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188"/>
        <w:gridCol w:w="4424"/>
        <w:gridCol w:w="108"/>
      </w:tblGrid>
      <w:tr w:rsidR="00F85217" w:rsidRPr="00135673" w14:paraId="3082143D" w14:textId="77777777">
        <w:trPr>
          <w:trHeight w:hRule="exact" w:val="418"/>
          <w:jc w:val="center"/>
        </w:trPr>
        <w:tc>
          <w:tcPr>
            <w:tcW w:w="8720" w:type="dxa"/>
            <w:gridSpan w:val="3"/>
          </w:tcPr>
          <w:p w14:paraId="7142F370" w14:textId="77777777" w:rsidR="00F85217" w:rsidRPr="00135673" w:rsidRDefault="00F85217" w:rsidP="00135673">
            <w:pPr>
              <w:pStyle w:val="a4"/>
              <w:tabs>
                <w:tab w:val="clear" w:pos="8306"/>
              </w:tabs>
              <w:jc w:val="center"/>
              <w:rPr>
                <w:rFonts w:ascii="Tahoma" w:hAnsi="Tahoma" w:cs="Tahoma"/>
                <w:b/>
                <w:bCs/>
                <w:color w:val="000080"/>
                <w:sz w:val="20"/>
                <w:szCs w:val="20"/>
                <w:rtl/>
              </w:rPr>
            </w:pPr>
            <w:bookmarkStart w:id="0" w:name="LastJudge"/>
            <w:r w:rsidRPr="00135673">
              <w:rPr>
                <w:rFonts w:ascii="Tahoma" w:hAnsi="Tahoma" w:cs="Tahoma"/>
                <w:b/>
                <w:bCs/>
                <w:color w:val="000080"/>
                <w:sz w:val="20"/>
                <w:szCs w:val="20"/>
                <w:rtl/>
              </w:rPr>
              <w:t>בית משפט השלום בטבריה</w:t>
            </w:r>
          </w:p>
        </w:tc>
      </w:tr>
      <w:tr w:rsidR="00F85217" w:rsidRPr="00135673" w14:paraId="5B9E40B4" w14:textId="77777777">
        <w:trPr>
          <w:gridAfter w:val="1"/>
          <w:wAfter w:w="108" w:type="dxa"/>
          <w:trHeight w:val="360"/>
          <w:jc w:val="center"/>
        </w:trPr>
        <w:tc>
          <w:tcPr>
            <w:tcW w:w="4188" w:type="dxa"/>
          </w:tcPr>
          <w:p w14:paraId="094F2814" w14:textId="77777777" w:rsidR="00F85217" w:rsidRPr="00135673" w:rsidRDefault="00F85217" w:rsidP="00135673">
            <w:pPr>
              <w:rPr>
                <w:b/>
                <w:bCs/>
                <w:rtl/>
              </w:rPr>
            </w:pPr>
            <w:r w:rsidRPr="00135673">
              <w:rPr>
                <w:rFonts w:hint="cs"/>
                <w:b/>
                <w:bCs/>
                <w:rtl/>
              </w:rPr>
              <w:t>בפני כב' ה</w:t>
            </w:r>
            <w:r w:rsidRPr="00135673">
              <w:rPr>
                <w:b/>
                <w:bCs/>
                <w:rtl/>
              </w:rPr>
              <w:t>שופט יריב נבון</w:t>
            </w:r>
          </w:p>
        </w:tc>
        <w:tc>
          <w:tcPr>
            <w:tcW w:w="4424" w:type="dxa"/>
          </w:tcPr>
          <w:p w14:paraId="3CC1386B" w14:textId="77777777" w:rsidR="00F85217" w:rsidRPr="00135673" w:rsidRDefault="00F85217" w:rsidP="00135673">
            <w:pPr>
              <w:jc w:val="right"/>
              <w:rPr>
                <w:rFonts w:hint="cs"/>
                <w:rtl/>
              </w:rPr>
            </w:pPr>
            <w:r w:rsidRPr="00135673">
              <w:rPr>
                <w:rtl/>
              </w:rPr>
              <w:t>ת"פ</w:t>
            </w:r>
            <w:r w:rsidRPr="00135673">
              <w:rPr>
                <w:rFonts w:hint="cs"/>
                <w:rtl/>
              </w:rPr>
              <w:t xml:space="preserve"> </w:t>
            </w:r>
            <w:r w:rsidRPr="00135673">
              <w:rPr>
                <w:rtl/>
              </w:rPr>
              <w:t>61231-03-15</w:t>
            </w:r>
            <w:r w:rsidRPr="00135673">
              <w:rPr>
                <w:rFonts w:hint="cs"/>
                <w:rtl/>
              </w:rPr>
              <w:t xml:space="preserve"> </w:t>
            </w:r>
            <w:r w:rsidRPr="00135673">
              <w:rPr>
                <w:rtl/>
              </w:rPr>
              <w:t xml:space="preserve">מדינת ישראל נ' </w:t>
            </w:r>
            <w:r w:rsidR="0095373E">
              <w:rPr>
                <w:rFonts w:hint="cs"/>
                <w:rtl/>
              </w:rPr>
              <w:t>פלוני</w:t>
            </w:r>
          </w:p>
        </w:tc>
      </w:tr>
      <w:tr w:rsidR="00F85217" w:rsidRPr="00135673" w14:paraId="31FDA161" w14:textId="77777777">
        <w:trPr>
          <w:gridAfter w:val="1"/>
          <w:wAfter w:w="108" w:type="dxa"/>
          <w:trHeight w:val="360"/>
          <w:jc w:val="center"/>
        </w:trPr>
        <w:tc>
          <w:tcPr>
            <w:tcW w:w="4188" w:type="dxa"/>
          </w:tcPr>
          <w:p w14:paraId="61251F71" w14:textId="77777777" w:rsidR="00F85217" w:rsidRPr="00135673" w:rsidRDefault="00F85217" w:rsidP="00135673">
            <w:pPr>
              <w:rPr>
                <w:rtl/>
              </w:rPr>
            </w:pPr>
          </w:p>
        </w:tc>
        <w:tc>
          <w:tcPr>
            <w:tcW w:w="4424" w:type="dxa"/>
          </w:tcPr>
          <w:p w14:paraId="68341B06" w14:textId="77777777" w:rsidR="00F85217" w:rsidRPr="00135673" w:rsidRDefault="00F85217" w:rsidP="00135673">
            <w:pPr>
              <w:jc w:val="right"/>
              <w:rPr>
                <w:b/>
                <w:bCs/>
                <w:rtl/>
              </w:rPr>
            </w:pPr>
            <w:r w:rsidRPr="00135673">
              <w:rPr>
                <w:b/>
                <w:bCs/>
                <w:rtl/>
              </w:rPr>
              <w:t>16 מאי 2016</w:t>
            </w:r>
          </w:p>
        </w:tc>
      </w:tr>
    </w:tbl>
    <w:p w14:paraId="6A24C4CD" w14:textId="77777777" w:rsidR="00F85217" w:rsidRPr="00135673" w:rsidRDefault="00F85217" w:rsidP="00F85217">
      <w:pPr>
        <w:pStyle w:val="a4"/>
        <w:rPr>
          <w:rFonts w:ascii="Tahoma" w:hAnsi="Tahoma" w:cs="Tahoma"/>
          <w:b/>
          <w:bCs/>
          <w:color w:val="000080"/>
          <w:sz w:val="20"/>
          <w:szCs w:val="20"/>
          <w:rtl/>
        </w:rPr>
      </w:pPr>
    </w:p>
    <w:p w14:paraId="1F9EE004" w14:textId="77777777" w:rsidR="00F85217" w:rsidRPr="00135673" w:rsidRDefault="00F85217" w:rsidP="00F85217">
      <w:pPr>
        <w:rPr>
          <w:rtl/>
        </w:rPr>
      </w:pPr>
    </w:p>
    <w:tbl>
      <w:tblPr>
        <w:bidiVisual/>
        <w:tblW w:w="0" w:type="auto"/>
        <w:jc w:val="center"/>
        <w:tblLook w:val="0000" w:firstRow="0" w:lastRow="0" w:firstColumn="0" w:lastColumn="0" w:noHBand="0" w:noVBand="0"/>
      </w:tblPr>
      <w:tblGrid>
        <w:gridCol w:w="3883"/>
        <w:gridCol w:w="1046"/>
        <w:gridCol w:w="3575"/>
      </w:tblGrid>
      <w:tr w:rsidR="00F85217" w:rsidRPr="00135673" w14:paraId="263EF594" w14:textId="77777777">
        <w:trPr>
          <w:trHeight w:val="337"/>
          <w:jc w:val="center"/>
        </w:trPr>
        <w:tc>
          <w:tcPr>
            <w:tcW w:w="3883" w:type="dxa"/>
          </w:tcPr>
          <w:p w14:paraId="2D04B061" w14:textId="77777777" w:rsidR="00F85217" w:rsidRPr="00135673" w:rsidRDefault="00F85217" w:rsidP="00135673">
            <w:pPr>
              <w:rPr>
                <w:rFonts w:ascii="Times New Roman" w:hAnsi="Times New Roman"/>
                <w:b/>
                <w:bCs/>
                <w:sz w:val="26"/>
                <w:szCs w:val="26"/>
                <w:rtl/>
              </w:rPr>
            </w:pPr>
            <w:r w:rsidRPr="00135673">
              <w:rPr>
                <w:rFonts w:hint="cs"/>
                <w:b/>
                <w:bCs/>
                <w:sz w:val="26"/>
                <w:szCs w:val="26"/>
                <w:rtl/>
              </w:rPr>
              <w:t>בעניין:</w:t>
            </w:r>
          </w:p>
        </w:tc>
        <w:tc>
          <w:tcPr>
            <w:tcW w:w="1046" w:type="dxa"/>
          </w:tcPr>
          <w:p w14:paraId="27EF3230" w14:textId="77777777" w:rsidR="00F85217" w:rsidRPr="00135673" w:rsidRDefault="00F85217" w:rsidP="00135673">
            <w:pPr>
              <w:pStyle w:val="a4"/>
              <w:jc w:val="both"/>
              <w:rPr>
                <w:b/>
                <w:bCs/>
                <w:sz w:val="26"/>
                <w:szCs w:val="26"/>
                <w:rtl/>
              </w:rPr>
            </w:pPr>
          </w:p>
        </w:tc>
        <w:tc>
          <w:tcPr>
            <w:tcW w:w="3575" w:type="dxa"/>
          </w:tcPr>
          <w:p w14:paraId="1E6510B7" w14:textId="77777777" w:rsidR="00F85217" w:rsidRPr="00135673" w:rsidRDefault="00F85217" w:rsidP="00135673">
            <w:pPr>
              <w:pStyle w:val="a4"/>
              <w:jc w:val="right"/>
              <w:rPr>
                <w:b/>
                <w:bCs/>
                <w:rtl/>
              </w:rPr>
            </w:pPr>
          </w:p>
        </w:tc>
      </w:tr>
    </w:tbl>
    <w:p w14:paraId="585FF1FA" w14:textId="77777777" w:rsidR="00F85217" w:rsidRPr="00135673" w:rsidRDefault="00F85217" w:rsidP="00F85217">
      <w:pPr>
        <w:rPr>
          <w:b/>
          <w:bCs/>
          <w:rtl/>
        </w:rPr>
      </w:pPr>
    </w:p>
    <w:tbl>
      <w:tblPr>
        <w:bidiVisual/>
        <w:tblW w:w="8802" w:type="dxa"/>
        <w:tblInd w:w="-28" w:type="dxa"/>
        <w:tblLayout w:type="fixed"/>
        <w:tblLook w:val="01E0" w:firstRow="1" w:lastRow="1" w:firstColumn="1" w:lastColumn="1" w:noHBand="0" w:noVBand="0"/>
      </w:tblPr>
      <w:tblGrid>
        <w:gridCol w:w="4680"/>
        <w:gridCol w:w="4122"/>
      </w:tblGrid>
      <w:tr w:rsidR="00F85217" w:rsidRPr="00135673" w14:paraId="015680C1" w14:textId="77777777">
        <w:tc>
          <w:tcPr>
            <w:tcW w:w="4680" w:type="dxa"/>
            <w:shd w:val="clear" w:color="auto" w:fill="auto"/>
          </w:tcPr>
          <w:p w14:paraId="73D2DB09" w14:textId="77777777" w:rsidR="00F85217" w:rsidRPr="00135673" w:rsidRDefault="00F85217" w:rsidP="00135673">
            <w:pPr>
              <w:rPr>
                <w:b/>
                <w:bCs/>
              </w:rPr>
            </w:pPr>
            <w:bookmarkStart w:id="1" w:name="FirstAppellant"/>
            <w:r w:rsidRPr="00135673">
              <w:rPr>
                <w:rFonts w:ascii="Times New Roman" w:eastAsia="Times New Roman" w:hAnsi="Times New Roman" w:hint="cs"/>
                <w:b/>
                <w:bCs/>
                <w:rtl/>
              </w:rPr>
              <w:t>מדינת ישראל</w:t>
            </w:r>
          </w:p>
          <w:p w14:paraId="7B29D297" w14:textId="77777777" w:rsidR="00F85217" w:rsidRPr="00135673" w:rsidRDefault="00F85217" w:rsidP="00135673">
            <w:pPr>
              <w:ind w:left="26"/>
              <w:rPr>
                <w:rFonts w:ascii="Times New Roman" w:eastAsia="Times New Roman" w:hAnsi="Times New Roman"/>
                <w:b/>
                <w:bCs/>
                <w:sz w:val="26"/>
                <w:szCs w:val="26"/>
                <w:rtl/>
              </w:rPr>
            </w:pPr>
          </w:p>
        </w:tc>
        <w:tc>
          <w:tcPr>
            <w:tcW w:w="4122" w:type="dxa"/>
            <w:shd w:val="clear" w:color="auto" w:fill="auto"/>
          </w:tcPr>
          <w:p w14:paraId="0E80E178" w14:textId="77777777" w:rsidR="00F85217" w:rsidRPr="00135673" w:rsidRDefault="00F85217" w:rsidP="00135673">
            <w:pPr>
              <w:jc w:val="right"/>
              <w:rPr>
                <w:rFonts w:ascii="Times New Roman" w:eastAsia="Times New Roman" w:hAnsi="Times New Roman"/>
                <w:b/>
                <w:bCs/>
                <w:sz w:val="26"/>
                <w:szCs w:val="26"/>
                <w:rtl/>
              </w:rPr>
            </w:pPr>
            <w:r w:rsidRPr="00135673">
              <w:rPr>
                <w:rFonts w:ascii="Times New Roman" w:eastAsia="Times New Roman" w:hAnsi="Times New Roman" w:hint="cs"/>
                <w:b/>
                <w:bCs/>
                <w:sz w:val="26"/>
                <w:szCs w:val="26"/>
                <w:rtl/>
              </w:rPr>
              <w:t>ה</w:t>
            </w:r>
            <w:r w:rsidRPr="00135673">
              <w:rPr>
                <w:rFonts w:ascii="Times New Roman" w:eastAsia="Times New Roman" w:hAnsi="Times New Roman" w:hint="cs"/>
                <w:b/>
                <w:bCs/>
                <w:rtl/>
              </w:rPr>
              <w:t>מאשימה</w:t>
            </w:r>
          </w:p>
        </w:tc>
      </w:tr>
      <w:bookmarkEnd w:id="1"/>
      <w:tr w:rsidR="00F85217" w:rsidRPr="00135673" w14:paraId="5FC38530" w14:textId="77777777">
        <w:tc>
          <w:tcPr>
            <w:tcW w:w="8802" w:type="dxa"/>
            <w:gridSpan w:val="2"/>
            <w:shd w:val="clear" w:color="auto" w:fill="auto"/>
          </w:tcPr>
          <w:p w14:paraId="6E961C84" w14:textId="77777777" w:rsidR="00F85217" w:rsidRPr="00135673" w:rsidRDefault="00F85217" w:rsidP="00135673">
            <w:pPr>
              <w:jc w:val="both"/>
              <w:rPr>
                <w:rFonts w:ascii="Arial" w:eastAsia="Times New Roman" w:hAnsi="Arial"/>
                <w:b/>
                <w:bCs/>
                <w:sz w:val="26"/>
                <w:szCs w:val="26"/>
                <w:rtl/>
              </w:rPr>
            </w:pPr>
          </w:p>
          <w:p w14:paraId="0FD0DAD6" w14:textId="77777777" w:rsidR="00F85217" w:rsidRPr="00135673" w:rsidRDefault="00F85217" w:rsidP="00135673">
            <w:pPr>
              <w:jc w:val="center"/>
              <w:rPr>
                <w:rFonts w:ascii="Arial" w:eastAsia="Times New Roman" w:hAnsi="Arial"/>
                <w:b/>
                <w:bCs/>
                <w:sz w:val="26"/>
                <w:szCs w:val="26"/>
                <w:rtl/>
              </w:rPr>
            </w:pPr>
            <w:r w:rsidRPr="00135673">
              <w:rPr>
                <w:rFonts w:ascii="Arial" w:eastAsia="Times New Roman" w:hAnsi="Arial"/>
                <w:b/>
                <w:bCs/>
                <w:sz w:val="26"/>
                <w:szCs w:val="26"/>
                <w:rtl/>
              </w:rPr>
              <w:t>נגד</w:t>
            </w:r>
          </w:p>
          <w:p w14:paraId="5A67EB87" w14:textId="77777777" w:rsidR="00F85217" w:rsidRPr="00135673" w:rsidRDefault="00F85217" w:rsidP="00135673">
            <w:pPr>
              <w:jc w:val="center"/>
              <w:rPr>
                <w:rFonts w:ascii="Arial" w:eastAsia="Times New Roman" w:hAnsi="Arial"/>
                <w:b/>
                <w:bCs/>
                <w:sz w:val="26"/>
                <w:szCs w:val="26"/>
              </w:rPr>
            </w:pPr>
          </w:p>
        </w:tc>
      </w:tr>
      <w:tr w:rsidR="00F85217" w:rsidRPr="00135673" w14:paraId="0AE82E72" w14:textId="77777777">
        <w:tc>
          <w:tcPr>
            <w:tcW w:w="4680" w:type="dxa"/>
            <w:shd w:val="clear" w:color="auto" w:fill="auto"/>
          </w:tcPr>
          <w:p w14:paraId="6AD978E6" w14:textId="77777777" w:rsidR="00F85217" w:rsidRPr="00135673" w:rsidRDefault="00F85217" w:rsidP="0095373E">
            <w:pPr>
              <w:rPr>
                <w:b/>
                <w:bCs/>
              </w:rPr>
            </w:pPr>
            <w:r w:rsidRPr="00135673">
              <w:rPr>
                <w:rFonts w:ascii="Times New Roman" w:eastAsia="Times New Roman" w:hAnsi="Times New Roman" w:hint="cs"/>
                <w:b/>
                <w:bCs/>
                <w:sz w:val="26"/>
                <w:szCs w:val="26"/>
                <w:rtl/>
              </w:rPr>
              <w:t xml:space="preserve"> </w:t>
            </w:r>
            <w:r w:rsidR="0095373E">
              <w:rPr>
                <w:rFonts w:ascii="Times New Roman" w:eastAsia="Times New Roman" w:hAnsi="Times New Roman" w:hint="cs"/>
                <w:b/>
                <w:bCs/>
                <w:rtl/>
              </w:rPr>
              <w:t xml:space="preserve">פלוני </w:t>
            </w:r>
          </w:p>
          <w:p w14:paraId="33FFF010" w14:textId="77777777" w:rsidR="00F85217" w:rsidRPr="00135673" w:rsidRDefault="00F85217" w:rsidP="00135673">
            <w:pPr>
              <w:ind w:left="26"/>
              <w:rPr>
                <w:rFonts w:ascii="Times New Roman" w:eastAsia="Times New Roman" w:hAnsi="Times New Roman"/>
                <w:b/>
                <w:bCs/>
                <w:sz w:val="26"/>
                <w:szCs w:val="26"/>
                <w:rtl/>
              </w:rPr>
            </w:pPr>
          </w:p>
        </w:tc>
        <w:tc>
          <w:tcPr>
            <w:tcW w:w="4122" w:type="dxa"/>
            <w:shd w:val="clear" w:color="auto" w:fill="auto"/>
          </w:tcPr>
          <w:p w14:paraId="7CA96DDA" w14:textId="77777777" w:rsidR="00F85217" w:rsidRPr="00135673" w:rsidRDefault="00F85217" w:rsidP="00135673">
            <w:pPr>
              <w:jc w:val="right"/>
              <w:rPr>
                <w:rFonts w:ascii="Times New Roman" w:eastAsia="Times New Roman" w:hAnsi="Times New Roman"/>
                <w:b/>
                <w:bCs/>
                <w:sz w:val="26"/>
                <w:szCs w:val="26"/>
                <w:rtl/>
              </w:rPr>
            </w:pPr>
            <w:r w:rsidRPr="00135673">
              <w:rPr>
                <w:rFonts w:ascii="Times New Roman" w:eastAsia="Times New Roman" w:hAnsi="Times New Roman" w:hint="cs"/>
                <w:b/>
                <w:bCs/>
                <w:sz w:val="26"/>
                <w:szCs w:val="26"/>
                <w:rtl/>
              </w:rPr>
              <w:t>הנאשם</w:t>
            </w:r>
          </w:p>
        </w:tc>
      </w:tr>
    </w:tbl>
    <w:p w14:paraId="084A94C6" w14:textId="77777777" w:rsidR="00F85217" w:rsidRPr="00135673" w:rsidRDefault="00F85217" w:rsidP="00F85217">
      <w:pPr>
        <w:rPr>
          <w:b/>
          <w:bCs/>
        </w:rPr>
      </w:pPr>
    </w:p>
    <w:p w14:paraId="303A1CBD" w14:textId="77777777" w:rsidR="00F85217" w:rsidRPr="00135673" w:rsidRDefault="00F85217" w:rsidP="00F85217">
      <w:pPr>
        <w:spacing w:line="360" w:lineRule="auto"/>
        <w:jc w:val="both"/>
        <w:rPr>
          <w:sz w:val="6"/>
          <w:szCs w:val="6"/>
          <w:rtl/>
        </w:rPr>
      </w:pPr>
      <w:r w:rsidRPr="00135673">
        <w:rPr>
          <w:sz w:val="6"/>
          <w:szCs w:val="6"/>
          <w:rtl/>
        </w:rPr>
        <w:t>&lt;#2#&gt;</w:t>
      </w:r>
    </w:p>
    <w:p w14:paraId="406D49F7" w14:textId="77777777" w:rsidR="00F85217" w:rsidRPr="00135673" w:rsidRDefault="00F85217" w:rsidP="00F85217">
      <w:pPr>
        <w:pStyle w:val="12"/>
        <w:rPr>
          <w:u w:val="none"/>
          <w:rtl/>
        </w:rPr>
      </w:pPr>
      <w:r w:rsidRPr="00135673">
        <w:rPr>
          <w:rFonts w:hint="cs"/>
          <w:u w:val="none"/>
          <w:rtl/>
        </w:rPr>
        <w:t>נוכחים:</w:t>
      </w:r>
    </w:p>
    <w:p w14:paraId="3BBB5143" w14:textId="77777777" w:rsidR="00F85217" w:rsidRPr="00135673" w:rsidRDefault="00F85217" w:rsidP="00F85217">
      <w:pPr>
        <w:pStyle w:val="12"/>
        <w:rPr>
          <w:u w:val="none"/>
          <w:rtl/>
        </w:rPr>
      </w:pPr>
      <w:r w:rsidRPr="00135673">
        <w:rPr>
          <w:rFonts w:hint="cs"/>
          <w:u w:val="none"/>
          <w:rtl/>
        </w:rPr>
        <w:t>מטעם המאשימה: עו"ד תומר בן חמו</w:t>
      </w:r>
    </w:p>
    <w:p w14:paraId="1C294A96" w14:textId="77777777" w:rsidR="00F85217" w:rsidRPr="00135673" w:rsidRDefault="00F85217" w:rsidP="00F85217">
      <w:pPr>
        <w:pStyle w:val="12"/>
        <w:rPr>
          <w:u w:val="none"/>
          <w:rtl/>
        </w:rPr>
      </w:pPr>
      <w:r w:rsidRPr="00135673">
        <w:rPr>
          <w:rFonts w:hint="cs"/>
          <w:u w:val="none"/>
          <w:rtl/>
        </w:rPr>
        <w:t>מטעם הנאשם: בעצמו ו</w:t>
      </w:r>
      <w:bookmarkStart w:id="2" w:name="FirstLawyer"/>
      <w:r w:rsidRPr="00135673">
        <w:rPr>
          <w:rFonts w:hint="cs"/>
          <w:u w:val="none"/>
          <w:rtl/>
        </w:rPr>
        <w:t>ב"כ</w:t>
      </w:r>
      <w:bookmarkEnd w:id="2"/>
      <w:r w:rsidRPr="00135673">
        <w:rPr>
          <w:rFonts w:hint="cs"/>
          <w:u w:val="none"/>
          <w:rtl/>
        </w:rPr>
        <w:t xml:space="preserve"> עו"ד יובל זולטי</w:t>
      </w:r>
    </w:p>
    <w:p w14:paraId="771F2EC3" w14:textId="77777777" w:rsidR="00F85217" w:rsidRPr="00135673" w:rsidRDefault="00F85217" w:rsidP="00F85217">
      <w:pPr>
        <w:pStyle w:val="12"/>
        <w:rPr>
          <w:b w:val="0"/>
          <w:bCs w:val="0"/>
          <w:u w:val="none"/>
          <w:rtl/>
        </w:rPr>
      </w:pPr>
    </w:p>
    <w:p w14:paraId="0251D99E" w14:textId="77777777" w:rsidR="00F85217" w:rsidRPr="00135673" w:rsidRDefault="00F85217" w:rsidP="00F85217">
      <w:pPr>
        <w:spacing w:line="360" w:lineRule="auto"/>
        <w:jc w:val="center"/>
        <w:rPr>
          <w:rFonts w:ascii="Arial" w:hAnsi="Arial"/>
          <w:b/>
          <w:bCs/>
          <w:sz w:val="28"/>
          <w:szCs w:val="28"/>
          <w:rtl/>
        </w:rPr>
      </w:pPr>
      <w:r w:rsidRPr="00135673">
        <w:rPr>
          <w:rFonts w:ascii="Arial" w:hAnsi="Arial"/>
          <w:b/>
          <w:color w:val="FF0000"/>
          <w:sz w:val="28"/>
          <w:rtl/>
        </w:rPr>
        <w:t>במסמך זה הושמטו פרוטוקולים</w:t>
      </w:r>
    </w:p>
    <w:p w14:paraId="19162FBC" w14:textId="77777777" w:rsidR="0016622E" w:rsidRPr="0016622E" w:rsidRDefault="0016622E" w:rsidP="0016622E">
      <w:pPr>
        <w:spacing w:after="120" w:line="240" w:lineRule="exact"/>
        <w:ind w:left="283" w:hanging="283"/>
        <w:jc w:val="both"/>
        <w:rPr>
          <w:rFonts w:ascii="FrankRuehl" w:hAnsi="FrankRuehl" w:cs="FrankRuehl"/>
          <w:rtl/>
        </w:rPr>
      </w:pPr>
      <w:bookmarkStart w:id="3" w:name="LawTable"/>
      <w:bookmarkEnd w:id="3"/>
    </w:p>
    <w:p w14:paraId="0331EEA8" w14:textId="77777777" w:rsidR="0016622E" w:rsidRPr="0016622E" w:rsidRDefault="0016622E" w:rsidP="0016622E">
      <w:pPr>
        <w:spacing w:after="120" w:line="240" w:lineRule="exact"/>
        <w:ind w:left="283" w:hanging="283"/>
        <w:jc w:val="both"/>
        <w:rPr>
          <w:rFonts w:ascii="FrankRuehl" w:hAnsi="FrankRuehl" w:cs="FrankRuehl"/>
          <w:rtl/>
        </w:rPr>
      </w:pPr>
      <w:r w:rsidRPr="0016622E">
        <w:rPr>
          <w:rFonts w:ascii="FrankRuehl" w:hAnsi="FrankRuehl" w:cs="FrankRuehl"/>
          <w:rtl/>
        </w:rPr>
        <w:t xml:space="preserve">חקיקה שאוזכרה: </w:t>
      </w:r>
    </w:p>
    <w:p w14:paraId="2D9D65B8" w14:textId="77777777" w:rsidR="0016622E" w:rsidRPr="0016622E" w:rsidRDefault="0016622E" w:rsidP="0016622E">
      <w:pPr>
        <w:spacing w:after="120" w:line="240" w:lineRule="exact"/>
        <w:ind w:left="283" w:hanging="283"/>
        <w:jc w:val="both"/>
        <w:rPr>
          <w:rFonts w:ascii="FrankRuehl" w:hAnsi="FrankRuehl" w:cs="FrankRuehl"/>
          <w:color w:val="0000FF"/>
          <w:u w:val="single"/>
          <w:rtl/>
        </w:rPr>
      </w:pPr>
      <w:hyperlink r:id="rId6" w:history="1">
        <w:r w:rsidRPr="0016622E">
          <w:rPr>
            <w:rStyle w:val="Hyperlink"/>
            <w:rFonts w:ascii="FrankRuehl" w:hAnsi="FrankRuehl" w:cs="FrankRuehl"/>
            <w:rtl/>
          </w:rPr>
          <w:t>פקודת הסמים המסוכנים [נוסח חדש], תשל"ג-1973</w:t>
        </w:r>
      </w:hyperlink>
    </w:p>
    <w:p w14:paraId="0A5410A7" w14:textId="77777777" w:rsidR="0016622E" w:rsidRPr="0016622E" w:rsidRDefault="0016622E" w:rsidP="0016622E">
      <w:pPr>
        <w:spacing w:after="120" w:line="240" w:lineRule="exact"/>
        <w:ind w:left="283" w:hanging="283"/>
        <w:jc w:val="both"/>
        <w:rPr>
          <w:rFonts w:ascii="FrankRuehl" w:hAnsi="FrankRuehl" w:cs="FrankRuehl"/>
          <w:rtl/>
        </w:rPr>
      </w:pPr>
    </w:p>
    <w:p w14:paraId="560F81C0" w14:textId="77777777" w:rsidR="00135673" w:rsidRPr="0016622E" w:rsidRDefault="00135673" w:rsidP="00F85217">
      <w:pPr>
        <w:spacing w:line="360" w:lineRule="auto"/>
        <w:jc w:val="center"/>
        <w:rPr>
          <w:rFonts w:ascii="Arial" w:hAnsi="Arial"/>
          <w:b/>
          <w:bCs/>
          <w:sz w:val="28"/>
          <w:szCs w:val="28"/>
          <w:rtl/>
        </w:rPr>
      </w:pPr>
      <w:bookmarkStart w:id="4" w:name="LawTable_End"/>
      <w:bookmarkEnd w:id="4"/>
    </w:p>
    <w:p w14:paraId="2BF18D99" w14:textId="77777777" w:rsidR="00135673" w:rsidRPr="00135673" w:rsidRDefault="00135673" w:rsidP="00135673">
      <w:pPr>
        <w:spacing w:line="360" w:lineRule="auto"/>
        <w:jc w:val="center"/>
        <w:rPr>
          <w:rFonts w:ascii="Arial" w:hAnsi="Arial"/>
          <w:b/>
          <w:bCs/>
          <w:sz w:val="28"/>
          <w:szCs w:val="28"/>
          <w:u w:val="single"/>
          <w:rtl/>
        </w:rPr>
      </w:pPr>
      <w:bookmarkStart w:id="5" w:name="PsakDin"/>
      <w:bookmarkEnd w:id="0"/>
      <w:r w:rsidRPr="00135673">
        <w:rPr>
          <w:rFonts w:ascii="Arial" w:hAnsi="Arial"/>
          <w:b/>
          <w:bCs/>
          <w:sz w:val="28"/>
          <w:szCs w:val="28"/>
          <w:u w:val="single"/>
          <w:rtl/>
        </w:rPr>
        <w:t>גזר דין</w:t>
      </w:r>
    </w:p>
    <w:p w14:paraId="6CD2012B" w14:textId="77777777" w:rsidR="00F85217" w:rsidRDefault="00F85217" w:rsidP="00F85217">
      <w:pPr>
        <w:spacing w:line="360" w:lineRule="auto"/>
        <w:jc w:val="both"/>
        <w:rPr>
          <w:rtl/>
        </w:rPr>
      </w:pPr>
      <w:bookmarkStart w:id="6" w:name="ABSTRACT_START"/>
      <w:bookmarkEnd w:id="5"/>
      <w:bookmarkEnd w:id="6"/>
      <w:r>
        <w:rPr>
          <w:rFonts w:hint="cs"/>
          <w:rtl/>
        </w:rPr>
        <w:t xml:space="preserve">הנאשם הורשע על פי הודאתו בשני אישומים המייחסים לו קשירת קשר לפשע ואספקת סם מסוכן. </w:t>
      </w:r>
    </w:p>
    <w:p w14:paraId="4F83BF9D" w14:textId="77777777" w:rsidR="00F85217" w:rsidRDefault="00F85217" w:rsidP="00F85217">
      <w:pPr>
        <w:spacing w:line="360" w:lineRule="auto"/>
        <w:jc w:val="both"/>
        <w:rPr>
          <w:rtl/>
        </w:rPr>
      </w:pPr>
      <w:r>
        <w:rPr>
          <w:rFonts w:hint="cs"/>
          <w:rtl/>
        </w:rPr>
        <w:t xml:space="preserve">מעובדות כתב האישום המתוקן עולה, כי הנאשם סיפק לסוכן משטרתי בשני מועדים שונים סם מסוכן מסוג חשיש במשקל של 3.8 גרם, ו- 2.5 גרם נטו. </w:t>
      </w:r>
    </w:p>
    <w:p w14:paraId="0C5AC095" w14:textId="77777777" w:rsidR="00F85217" w:rsidRDefault="00F85217" w:rsidP="00F85217">
      <w:pPr>
        <w:spacing w:line="360" w:lineRule="auto"/>
        <w:jc w:val="both"/>
        <w:rPr>
          <w:rtl/>
        </w:rPr>
      </w:pPr>
      <w:bookmarkStart w:id="7" w:name="ABSTRACT_END"/>
      <w:bookmarkEnd w:id="7"/>
    </w:p>
    <w:p w14:paraId="109ABFBE" w14:textId="77777777" w:rsidR="00F85217" w:rsidRDefault="00F85217" w:rsidP="00F85217">
      <w:pPr>
        <w:spacing w:line="360" w:lineRule="auto"/>
        <w:jc w:val="both"/>
        <w:rPr>
          <w:rtl/>
        </w:rPr>
      </w:pPr>
      <w:r>
        <w:rPr>
          <w:rFonts w:hint="cs"/>
          <w:rtl/>
        </w:rPr>
        <w:t xml:space="preserve">בישיבה שהתקיימה ביום 4.2.16 הודה הנאשם והורשע בכתב אישום מתוקן במסגרת הסדר שכלל תיקונים בכתב האישום אך לא הסכמה לעניין העונש. </w:t>
      </w:r>
    </w:p>
    <w:p w14:paraId="1BBA8490" w14:textId="77777777" w:rsidR="00F85217" w:rsidRDefault="00F85217" w:rsidP="00F85217">
      <w:pPr>
        <w:spacing w:line="360" w:lineRule="auto"/>
        <w:jc w:val="both"/>
        <w:rPr>
          <w:rtl/>
        </w:rPr>
      </w:pPr>
    </w:p>
    <w:p w14:paraId="5D7C460D" w14:textId="77777777" w:rsidR="00F85217" w:rsidRDefault="00F85217" w:rsidP="00F85217">
      <w:pPr>
        <w:spacing w:line="360" w:lineRule="auto"/>
        <w:jc w:val="both"/>
        <w:rPr>
          <w:rtl/>
        </w:rPr>
      </w:pPr>
      <w:r>
        <w:rPr>
          <w:rFonts w:hint="cs"/>
          <w:rtl/>
        </w:rPr>
        <w:t xml:space="preserve">בעניינו של הנאשם התקבל תסקיר מטעם שירות המבחן אשר מפרט את נסיבות חייו של הנאשם, את התייחסותו לעבירות שביצע, את עברו ותיקיו האחרים אשר טופלו על ידי שירות המבחן וכן המלצה לעניין העונש לפיה נוכח העובדה כי הנאשם אינו כשיר לביצוע עבודות שירות על רקע מצבו הרפואי, נמנע שירות המבחן מהמלצה טיפולית והמליץ על ענישה הרתעתית אשר יהא בה כדי לחדד את הנאשם לאחריותו למעשיו. </w:t>
      </w:r>
    </w:p>
    <w:p w14:paraId="03985457" w14:textId="77777777" w:rsidR="00F85217" w:rsidRDefault="00F85217" w:rsidP="00F85217">
      <w:pPr>
        <w:spacing w:line="360" w:lineRule="auto"/>
        <w:jc w:val="both"/>
        <w:rPr>
          <w:rtl/>
        </w:rPr>
      </w:pPr>
    </w:p>
    <w:p w14:paraId="05E84B80" w14:textId="77777777" w:rsidR="00F85217" w:rsidRDefault="00F85217" w:rsidP="00F85217">
      <w:pPr>
        <w:spacing w:line="360" w:lineRule="auto"/>
        <w:jc w:val="both"/>
        <w:rPr>
          <w:rtl/>
        </w:rPr>
      </w:pPr>
      <w:r>
        <w:rPr>
          <w:rFonts w:hint="cs"/>
          <w:rtl/>
        </w:rPr>
        <w:t xml:space="preserve">כאמור, הצדדים לא הגיעו להסכמה לעניין העונש והמאשימה סברה כי יש לגזור על הנאשם מאסר בפועל, מאסר מותנה וקנס כספי. לטענתה, מתחם הענישה הראוי הינו החל ממספר חודשי מאסר </w:t>
      </w:r>
      <w:r>
        <w:rPr>
          <w:rFonts w:hint="cs"/>
          <w:rtl/>
        </w:rPr>
        <w:lastRenderedPageBreak/>
        <w:t xml:space="preserve">שירוצו בעבודות שירות ועד שנת מאסר בפועל וזאת נוכח חומרת העבירות והסיכון הטמון בעבירות סמים לציבור. </w:t>
      </w:r>
    </w:p>
    <w:p w14:paraId="3BA52253" w14:textId="77777777" w:rsidR="00F85217" w:rsidRDefault="00F85217" w:rsidP="00F85217">
      <w:pPr>
        <w:spacing w:line="360" w:lineRule="auto"/>
        <w:jc w:val="both"/>
        <w:rPr>
          <w:rtl/>
        </w:rPr>
      </w:pPr>
    </w:p>
    <w:p w14:paraId="4922A62A" w14:textId="77777777" w:rsidR="00F85217" w:rsidRDefault="00F85217" w:rsidP="00F85217">
      <w:pPr>
        <w:spacing w:line="360" w:lineRule="auto"/>
        <w:jc w:val="both"/>
        <w:rPr>
          <w:rtl/>
        </w:rPr>
      </w:pPr>
      <w:r>
        <w:rPr>
          <w:rFonts w:hint="cs"/>
          <w:rtl/>
        </w:rPr>
        <w:t xml:space="preserve">הסנגור טען, כי בנסיבות מקרה זה ניתן להסתפק בענישה הצופה פני עתיד אשר תהווה הרתעה מספקת עבור הנאשם. לדבריו, מדובר בעבירות שבוצעו בשנת 2013 ומאז חלו שינויים רבים בנאשם זה. הנאשם לא ביצע עבירות נוספות מאז, הוא נפצע בתאונות שונות ונסיבותיו הרפואיות קשות כפי שעולה ממסמכים רפואיים שהציג לעיוני. כמו כן, תלוי ועומד כנגדו תיק אחר בבית המשפט לנוער בחיפה אשר במסגרתו הוטלו על הנאשם 6 חודשי מאסר בעבודות שירות, אך לאחר שנמצא כי אינו כשיר לכך הוגשה בקשה לחידוש הדיון מטעם הפרקליטות. </w:t>
      </w:r>
    </w:p>
    <w:p w14:paraId="514D7532" w14:textId="77777777" w:rsidR="00F85217" w:rsidRDefault="00F85217" w:rsidP="00F85217">
      <w:pPr>
        <w:spacing w:line="360" w:lineRule="auto"/>
        <w:jc w:val="both"/>
        <w:rPr>
          <w:rtl/>
        </w:rPr>
      </w:pPr>
    </w:p>
    <w:p w14:paraId="2395D423" w14:textId="77777777" w:rsidR="00F85217" w:rsidRDefault="00F85217" w:rsidP="00F85217">
      <w:pPr>
        <w:spacing w:line="360" w:lineRule="auto"/>
        <w:jc w:val="both"/>
        <w:rPr>
          <w:rtl/>
        </w:rPr>
      </w:pPr>
      <w:r>
        <w:rPr>
          <w:rFonts w:hint="cs"/>
          <w:rtl/>
        </w:rPr>
        <w:t xml:space="preserve">סבורני כי אין מקום להכביר במילים באשר לחומרה הטמונה בעבירות סמים בכלל ובעבירות של סחר ואספקת סמים בפרט. נפסק, כי ענישה מרתיעה, ובעיקר מאסרים בפועל, ראוי להטיל על כל חולייה בשרשרת הפצת הסם ואף אם הדבר לא נעשה ממניעים כלכליים, נוכח הסיכון הכרוך בהפצת סמים מסוכנים והגעתם לגורמים אשר לעיתים הינם קטינים הנחשפים לראשונה לשימוש בסם. </w:t>
      </w:r>
    </w:p>
    <w:p w14:paraId="45F7F571" w14:textId="77777777" w:rsidR="00F85217" w:rsidRDefault="00F85217" w:rsidP="00F85217">
      <w:pPr>
        <w:spacing w:line="360" w:lineRule="auto"/>
        <w:jc w:val="both"/>
        <w:rPr>
          <w:rtl/>
        </w:rPr>
      </w:pPr>
    </w:p>
    <w:p w14:paraId="548FC8C4" w14:textId="77777777" w:rsidR="00F85217" w:rsidRDefault="00F85217" w:rsidP="00F85217">
      <w:pPr>
        <w:spacing w:line="360" w:lineRule="auto"/>
        <w:jc w:val="both"/>
        <w:rPr>
          <w:rtl/>
        </w:rPr>
      </w:pPr>
      <w:r>
        <w:rPr>
          <w:rFonts w:hint="cs"/>
          <w:rtl/>
        </w:rPr>
        <w:t xml:space="preserve">סבורני, כי אף במקרה זה ראוי היה לגזור על הנאשם מאסר בפועל, אשר לכל הפחות תיבחן האפשרות לרצותו בעבודות שירות. על אף זאת, מצבו הרפואי כפי שעולה מן המסמכים הרפואיים הרבים שהוצגו לעיוני, אינו מאפשר ריצוי מאסר בעבודות שירות והדבר אף נבדק בתיקו האחר של הנאשם התלוי ועומד בבית משפט לנוער בחיפה. </w:t>
      </w:r>
    </w:p>
    <w:p w14:paraId="2B15E371" w14:textId="77777777" w:rsidR="00F85217" w:rsidRDefault="00F85217" w:rsidP="00F85217">
      <w:pPr>
        <w:spacing w:line="360" w:lineRule="auto"/>
        <w:jc w:val="both"/>
        <w:rPr>
          <w:rtl/>
        </w:rPr>
      </w:pPr>
    </w:p>
    <w:p w14:paraId="01C33089" w14:textId="77777777" w:rsidR="00F85217" w:rsidRDefault="00F85217" w:rsidP="00F85217">
      <w:pPr>
        <w:spacing w:line="360" w:lineRule="auto"/>
        <w:jc w:val="both"/>
        <w:rPr>
          <w:rtl/>
        </w:rPr>
      </w:pPr>
      <w:r>
        <w:rPr>
          <w:rFonts w:hint="cs"/>
          <w:rtl/>
        </w:rPr>
        <w:t xml:space="preserve">לכן, האפשרויות שנותרו הינן מאסר בפועל ממש, או מאסר מותנה הצופה פני עתיד. </w:t>
      </w:r>
    </w:p>
    <w:p w14:paraId="38299A03" w14:textId="77777777" w:rsidR="00F85217" w:rsidRDefault="00F85217" w:rsidP="00F85217">
      <w:pPr>
        <w:spacing w:line="360" w:lineRule="auto"/>
        <w:jc w:val="both"/>
        <w:rPr>
          <w:rtl/>
        </w:rPr>
      </w:pPr>
    </w:p>
    <w:p w14:paraId="2F063F4F" w14:textId="77777777" w:rsidR="00F85217" w:rsidRDefault="00F85217" w:rsidP="00F85217">
      <w:pPr>
        <w:spacing w:line="360" w:lineRule="auto"/>
        <w:jc w:val="both"/>
        <w:rPr>
          <w:rtl/>
        </w:rPr>
      </w:pPr>
      <w:r>
        <w:rPr>
          <w:rFonts w:hint="cs"/>
          <w:rtl/>
        </w:rPr>
        <w:t xml:space="preserve">כאמור, סברתי כי יש מקום לענישה מחמירה במקרה זה, אשר תרוצה בעבודות שירות, אך בשל שורה של שיקולים אשר יפורטו ל הלן החלטתי להימנע מהטלת החלופה של מאסר של ממש ולהסתפק במאסר מותנה. </w:t>
      </w:r>
    </w:p>
    <w:p w14:paraId="1DB7787E" w14:textId="77777777" w:rsidR="00F85217" w:rsidRDefault="00F85217" w:rsidP="00F85217">
      <w:pPr>
        <w:spacing w:line="360" w:lineRule="auto"/>
        <w:jc w:val="both"/>
        <w:rPr>
          <w:rtl/>
        </w:rPr>
      </w:pPr>
    </w:p>
    <w:p w14:paraId="2296357E" w14:textId="77777777" w:rsidR="00F85217" w:rsidRDefault="00F85217" w:rsidP="00F85217">
      <w:pPr>
        <w:spacing w:line="360" w:lineRule="auto"/>
        <w:jc w:val="both"/>
        <w:rPr>
          <w:rtl/>
        </w:rPr>
      </w:pPr>
      <w:r>
        <w:rPr>
          <w:rFonts w:hint="cs"/>
          <w:rtl/>
        </w:rPr>
        <w:t>ראשית, אכן חלף זמן ניכר מאז ביצוע העבירה עד להגשת כתב האישום ועד לגזר הדין.</w:t>
      </w:r>
    </w:p>
    <w:p w14:paraId="778EF3B1" w14:textId="77777777" w:rsidR="00F85217" w:rsidRDefault="00F85217" w:rsidP="00F85217">
      <w:pPr>
        <w:spacing w:line="360" w:lineRule="auto"/>
        <w:jc w:val="both"/>
        <w:rPr>
          <w:rtl/>
        </w:rPr>
      </w:pPr>
      <w:r>
        <w:rPr>
          <w:rFonts w:hint="cs"/>
          <w:rtl/>
        </w:rPr>
        <w:t xml:space="preserve">הסיבות לכך יכולות להיות מוצדקות אך אין מקום להתעלם מכך. על אחת כמה וכמה החלטתי להעניק לכך משקל מכריע נוכח העובדה כי לא נפתחו לנאשם תיקים נוספים מאז ולכן יש תימוכין לטענתו בפני שירות המבחן לפיה מאז ביצוען של העבירות חל שינוי בהתנהלותו והוא אף הביע מוטיבציה להמשיך ולערוך שינוי בדפוסי התנהגותו. שיקול נוסף הינו הודאת הנאשם אשר ללא ספק חסכה זמן שיפוטי יקר בהתחשב בעובדה כי מדובר בתיק בו הופעל סוכן משטרתי על הקשיים הכרוכים בכך. כמו כן, מדובר בנאשם יליד 1995 אשר בעת ביצוע העבירה היה מעט מעל גיל 18. העונשים אשר הוטלו על מעורבים אחרים בפרשיית סוכן זו נעים בין מאסר קצר בעבודות שירות למאסר קצר בפועל כפי שנטען על ידי הצדדים על אף שלא הוצגו לעיוני אסמכתאות מתאימות. לא מצאתי הצדקה להפלות נאשם זה ולגזור עליו מאסר בפועל כאשר מהתרשמותי מנסיבות תיק זה </w:t>
      </w:r>
      <w:r>
        <w:rPr>
          <w:rFonts w:hint="cs"/>
          <w:rtl/>
        </w:rPr>
        <w:lastRenderedPageBreak/>
        <w:t xml:space="preserve">עולה כי מדובר באספקה של סם מסוג חשיש בכמות נמוכה וללא תמורה. לא נטען כי עניינו של נאשם זה חמור יותר משל האחרים, ולכן יש הצדקה להחמיר עמו ביחס למעורבים האחרים. </w:t>
      </w:r>
    </w:p>
    <w:p w14:paraId="4227D419" w14:textId="77777777" w:rsidR="00F85217" w:rsidRDefault="00F85217" w:rsidP="00F85217">
      <w:pPr>
        <w:spacing w:line="360" w:lineRule="auto"/>
        <w:jc w:val="both"/>
        <w:rPr>
          <w:rtl/>
        </w:rPr>
      </w:pPr>
    </w:p>
    <w:p w14:paraId="0D00943C" w14:textId="77777777" w:rsidR="00F85217" w:rsidRDefault="00F85217" w:rsidP="00F85217">
      <w:pPr>
        <w:spacing w:line="360" w:lineRule="auto"/>
        <w:jc w:val="both"/>
        <w:rPr>
          <w:rtl/>
        </w:rPr>
      </w:pPr>
      <w:r>
        <w:rPr>
          <w:rFonts w:hint="cs"/>
          <w:rtl/>
        </w:rPr>
        <w:t xml:space="preserve">לכן, סבורני כי מכלול השיקולים כאמור, ובהיעדר חלופה עונשית בדמות מאסר בעבודות שירות, מצדיקים הטלת ענישה הצופה פני עתיד, אם כי חמורה ומרתיעה בצירוף קנס כספי אשר ישולם על ידי הנאשם עצמו. </w:t>
      </w:r>
    </w:p>
    <w:p w14:paraId="6A436A68" w14:textId="77777777" w:rsidR="00F85217" w:rsidRDefault="00F85217" w:rsidP="00F85217">
      <w:pPr>
        <w:spacing w:line="360" w:lineRule="auto"/>
        <w:jc w:val="both"/>
        <w:rPr>
          <w:rtl/>
        </w:rPr>
      </w:pPr>
    </w:p>
    <w:p w14:paraId="375602DB" w14:textId="77777777" w:rsidR="00F85217" w:rsidRPr="00571D54" w:rsidRDefault="00F85217" w:rsidP="00F85217">
      <w:pPr>
        <w:spacing w:line="360" w:lineRule="auto"/>
        <w:rPr>
          <w:b/>
          <w:bCs/>
          <w:rtl/>
        </w:rPr>
      </w:pPr>
      <w:r w:rsidRPr="00571D54">
        <w:rPr>
          <w:rFonts w:hint="cs"/>
          <w:b/>
          <w:bCs/>
          <w:rtl/>
        </w:rPr>
        <w:t>לאחר ששמעתי את טיעוני ב"כ המאשימה ואת טיעוני הנאשם, ובהתחשב בנסיבות, אני גוזר על הנאשם את העונשים הבאים:</w:t>
      </w:r>
    </w:p>
    <w:p w14:paraId="79B854AF" w14:textId="77777777" w:rsidR="00F85217" w:rsidRDefault="00F85217" w:rsidP="00F85217">
      <w:pPr>
        <w:spacing w:line="360" w:lineRule="auto"/>
        <w:ind w:left="720" w:hanging="720"/>
        <w:rPr>
          <w:rtl/>
        </w:rPr>
      </w:pPr>
      <w:r w:rsidRPr="00E02787">
        <w:rPr>
          <w:rFonts w:hint="cs"/>
          <w:rtl/>
        </w:rPr>
        <w:t>א.</w:t>
      </w:r>
      <w:r w:rsidRPr="00E02787">
        <w:rPr>
          <w:rFonts w:hint="cs"/>
          <w:rtl/>
        </w:rPr>
        <w:tab/>
        <w:t xml:space="preserve">מאסר על תנאי לתקופה של </w:t>
      </w:r>
      <w:r>
        <w:rPr>
          <w:rFonts w:hint="cs"/>
          <w:rtl/>
        </w:rPr>
        <w:t xml:space="preserve"> 10 </w:t>
      </w:r>
      <w:r w:rsidRPr="00E02787">
        <w:rPr>
          <w:rFonts w:hint="cs"/>
          <w:rtl/>
        </w:rPr>
        <w:t xml:space="preserve">חודשים והתנאי הוא כי במשך  </w:t>
      </w:r>
      <w:r>
        <w:rPr>
          <w:rFonts w:hint="cs"/>
          <w:rtl/>
        </w:rPr>
        <w:t xml:space="preserve">3 </w:t>
      </w:r>
      <w:r w:rsidRPr="00E02787">
        <w:rPr>
          <w:rFonts w:hint="cs"/>
          <w:rtl/>
        </w:rPr>
        <w:t xml:space="preserve">שנים החל מהיום לא יעבור </w:t>
      </w:r>
      <w:r>
        <w:rPr>
          <w:rFonts w:hint="cs"/>
          <w:rtl/>
        </w:rPr>
        <w:t xml:space="preserve">עבירה מסוג פשע לפי </w:t>
      </w:r>
      <w:hyperlink r:id="rId7" w:history="1">
        <w:r w:rsidR="0016622E" w:rsidRPr="0016622E">
          <w:rPr>
            <w:rStyle w:val="Hyperlink"/>
            <w:rFonts w:hint="eastAsia"/>
            <w:rtl/>
          </w:rPr>
          <w:t>פקודת</w:t>
        </w:r>
        <w:r w:rsidR="0016622E" w:rsidRPr="0016622E">
          <w:rPr>
            <w:rStyle w:val="Hyperlink"/>
            <w:rtl/>
          </w:rPr>
          <w:t xml:space="preserve"> הסמים המסוכנים</w:t>
        </w:r>
      </w:hyperlink>
      <w:r w:rsidRPr="00E02787">
        <w:rPr>
          <w:rFonts w:hint="cs"/>
          <w:rtl/>
        </w:rPr>
        <w:t>.</w:t>
      </w:r>
    </w:p>
    <w:p w14:paraId="2F95C891" w14:textId="77777777" w:rsidR="00F85217" w:rsidRDefault="00F85217" w:rsidP="00F85217">
      <w:pPr>
        <w:spacing w:line="360" w:lineRule="auto"/>
        <w:ind w:left="720" w:hanging="720"/>
        <w:rPr>
          <w:rtl/>
        </w:rPr>
      </w:pPr>
    </w:p>
    <w:p w14:paraId="203C3A6B" w14:textId="77777777" w:rsidR="00F85217" w:rsidRPr="00E02787" w:rsidRDefault="00F85217" w:rsidP="00F85217">
      <w:pPr>
        <w:spacing w:line="360" w:lineRule="auto"/>
        <w:ind w:left="720" w:hanging="720"/>
        <w:rPr>
          <w:rtl/>
        </w:rPr>
      </w:pPr>
      <w:r w:rsidRPr="00E02787">
        <w:rPr>
          <w:rFonts w:hint="cs"/>
          <w:rtl/>
        </w:rPr>
        <w:t>ב.</w:t>
      </w:r>
      <w:r w:rsidRPr="00E02787">
        <w:rPr>
          <w:rFonts w:hint="cs"/>
          <w:rtl/>
        </w:rPr>
        <w:tab/>
        <w:t xml:space="preserve">קנס בסך  </w:t>
      </w:r>
      <w:r>
        <w:rPr>
          <w:rFonts w:hint="cs"/>
          <w:rtl/>
        </w:rPr>
        <w:t>3,000</w:t>
      </w:r>
      <w:r w:rsidRPr="00E02787">
        <w:rPr>
          <w:rFonts w:hint="cs"/>
          <w:rtl/>
        </w:rPr>
        <w:t xml:space="preserve">  ש"ח או  </w:t>
      </w:r>
      <w:r>
        <w:rPr>
          <w:rFonts w:hint="cs"/>
          <w:rtl/>
        </w:rPr>
        <w:t>30</w:t>
      </w:r>
      <w:r w:rsidRPr="00E02787">
        <w:rPr>
          <w:rFonts w:hint="cs"/>
          <w:rtl/>
        </w:rPr>
        <w:t xml:space="preserve">  ימי מאסר תמורתו; </w:t>
      </w:r>
    </w:p>
    <w:p w14:paraId="4199E93F" w14:textId="77777777" w:rsidR="00F85217" w:rsidRPr="00E02787" w:rsidRDefault="00F85217" w:rsidP="00F85217">
      <w:pPr>
        <w:spacing w:line="360" w:lineRule="auto"/>
        <w:ind w:left="720"/>
        <w:rPr>
          <w:rtl/>
        </w:rPr>
      </w:pPr>
      <w:r w:rsidRPr="00E02787">
        <w:rPr>
          <w:rFonts w:hint="cs"/>
          <w:rtl/>
        </w:rPr>
        <w:t xml:space="preserve">הקנס ישולם  ב -  </w:t>
      </w:r>
      <w:r>
        <w:rPr>
          <w:rFonts w:hint="cs"/>
          <w:rtl/>
        </w:rPr>
        <w:t xml:space="preserve">6 </w:t>
      </w:r>
      <w:r w:rsidRPr="00E02787">
        <w:rPr>
          <w:rFonts w:hint="cs"/>
          <w:rtl/>
        </w:rPr>
        <w:t xml:space="preserve">שיעורים חודשיים שווים ורצופים, תשלום  ראשון </w:t>
      </w:r>
      <w:r>
        <w:rPr>
          <w:rFonts w:hint="cs"/>
          <w:rtl/>
        </w:rPr>
        <w:t xml:space="preserve">ביום 30.6.16 וכל 30 לחודש שלאחריו. </w:t>
      </w:r>
    </w:p>
    <w:p w14:paraId="4895EF93" w14:textId="77777777" w:rsidR="00F85217" w:rsidRPr="00E02787" w:rsidRDefault="00F85217" w:rsidP="00F85217">
      <w:pPr>
        <w:pStyle w:val="a7"/>
        <w:rPr>
          <w:b w:val="0"/>
          <w:bCs w:val="0"/>
          <w:szCs w:val="24"/>
          <w:rtl/>
        </w:rPr>
      </w:pPr>
      <w:r w:rsidRPr="00E02787">
        <w:rPr>
          <w:rFonts w:hint="cs"/>
          <w:b w:val="0"/>
          <w:bCs w:val="0"/>
          <w:szCs w:val="24"/>
          <w:rtl/>
        </w:rPr>
        <w:t>אי תשלום אחד מהשיעורים, יעמיד את היתרה לפירעון מיידי.</w:t>
      </w:r>
    </w:p>
    <w:p w14:paraId="3B14C480" w14:textId="77777777" w:rsidR="00F85217" w:rsidRPr="00E02787" w:rsidRDefault="00F85217" w:rsidP="00F85217">
      <w:pPr>
        <w:spacing w:line="360" w:lineRule="auto"/>
        <w:ind w:left="720"/>
      </w:pPr>
    </w:p>
    <w:p w14:paraId="26C34422" w14:textId="77777777" w:rsidR="00F85217" w:rsidRPr="00E02787" w:rsidRDefault="00F85217" w:rsidP="00F85217">
      <w:pPr>
        <w:spacing w:line="360" w:lineRule="auto"/>
        <w:rPr>
          <w:rtl/>
        </w:rPr>
      </w:pPr>
      <w:r w:rsidRPr="00E02787">
        <w:rPr>
          <w:rFonts w:hint="cs"/>
          <w:rtl/>
        </w:rPr>
        <w:t>במידה ובתיק יש פיקדון, הפיקדון יקוזז כנגד קנס שהוטל. במידה וקיימת יתרה, היתרה תוחזר למפקיד.</w:t>
      </w:r>
    </w:p>
    <w:p w14:paraId="2C1999D4" w14:textId="77777777" w:rsidR="00F85217" w:rsidRPr="00E02787" w:rsidRDefault="00F85217" w:rsidP="00F85217">
      <w:pPr>
        <w:pStyle w:val="2"/>
        <w:rPr>
          <w:szCs w:val="24"/>
          <w:u w:val="single"/>
          <w:rtl/>
        </w:rPr>
      </w:pPr>
    </w:p>
    <w:p w14:paraId="6D2F2CCF" w14:textId="77777777" w:rsidR="00F85217" w:rsidRDefault="00F85217" w:rsidP="00F85217">
      <w:pPr>
        <w:pStyle w:val="2"/>
        <w:rPr>
          <w:b/>
          <w:bCs/>
          <w:szCs w:val="24"/>
          <w:u w:val="single"/>
          <w:rtl/>
        </w:rPr>
      </w:pPr>
      <w:r>
        <w:rPr>
          <w:rFonts w:hint="cs"/>
          <w:b/>
          <w:bCs/>
          <w:szCs w:val="24"/>
          <w:u w:val="single"/>
          <w:rtl/>
        </w:rPr>
        <w:t xml:space="preserve">מוצגים </w:t>
      </w:r>
      <w:r>
        <w:rPr>
          <w:b/>
          <w:bCs/>
          <w:szCs w:val="24"/>
          <w:u w:val="single"/>
          <w:rtl/>
        </w:rPr>
        <w:t>–</w:t>
      </w:r>
      <w:r>
        <w:rPr>
          <w:rFonts w:hint="cs"/>
          <w:b/>
          <w:bCs/>
          <w:szCs w:val="24"/>
          <w:u w:val="single"/>
          <w:rtl/>
        </w:rPr>
        <w:t xml:space="preserve"> להשמדה. </w:t>
      </w:r>
    </w:p>
    <w:p w14:paraId="45D6F663" w14:textId="77777777" w:rsidR="00F85217" w:rsidRPr="00E02787" w:rsidRDefault="00F85217" w:rsidP="00F85217">
      <w:pPr>
        <w:pStyle w:val="2"/>
        <w:rPr>
          <w:b/>
          <w:bCs/>
          <w:szCs w:val="24"/>
          <w:rtl/>
        </w:rPr>
      </w:pPr>
    </w:p>
    <w:p w14:paraId="62B71119" w14:textId="77777777" w:rsidR="00F85217" w:rsidRDefault="00F85217" w:rsidP="00F85217">
      <w:pPr>
        <w:pStyle w:val="2"/>
        <w:rPr>
          <w:b/>
          <w:bCs/>
          <w:sz w:val="6"/>
          <w:szCs w:val="6"/>
          <w:rtl/>
        </w:rPr>
      </w:pPr>
      <w:r w:rsidRPr="00E02787">
        <w:rPr>
          <w:rFonts w:hint="cs"/>
          <w:b/>
          <w:bCs/>
          <w:szCs w:val="24"/>
          <w:rtl/>
        </w:rPr>
        <w:t>זכות ערעור תוך 45 יום מהיום בבית משפט המחוזי בנצרת.</w:t>
      </w:r>
      <w:r>
        <w:rPr>
          <w:b/>
          <w:bCs/>
          <w:sz w:val="6"/>
          <w:szCs w:val="6"/>
          <w:rtl/>
        </w:rPr>
        <w:t>&lt;#5#&gt;</w:t>
      </w:r>
    </w:p>
    <w:p w14:paraId="2417E3D2" w14:textId="77777777" w:rsidR="00F85217" w:rsidRPr="00135673" w:rsidRDefault="00135673" w:rsidP="00F85217">
      <w:pPr>
        <w:jc w:val="right"/>
        <w:rPr>
          <w:color w:val="FFFFFF"/>
          <w:sz w:val="2"/>
          <w:szCs w:val="2"/>
          <w:rtl/>
        </w:rPr>
      </w:pPr>
      <w:r w:rsidRPr="00135673">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85217" w14:paraId="72B97A1C" w14:textId="77777777">
        <w:trPr>
          <w:trHeight w:val="316"/>
          <w:jc w:val="right"/>
        </w:trPr>
        <w:tc>
          <w:tcPr>
            <w:tcW w:w="3936" w:type="dxa"/>
            <w:shd w:val="clear" w:color="auto" w:fill="auto"/>
          </w:tcPr>
          <w:p w14:paraId="438BACCE" w14:textId="77777777" w:rsidR="00F85217" w:rsidRPr="005D0026" w:rsidRDefault="00135673" w:rsidP="00135673">
            <w:pPr>
              <w:jc w:val="center"/>
              <w:rPr>
                <w:rFonts w:ascii="Times New Roman" w:eastAsia="Times New Roman" w:hAnsi="Times New Roman" w:cs="Times New Roman"/>
              </w:rPr>
            </w:pPr>
            <w:r w:rsidRPr="00135673">
              <w:rPr>
                <w:b/>
                <w:bCs/>
                <w:color w:val="FFFFFF"/>
                <w:sz w:val="2"/>
                <w:szCs w:val="2"/>
                <w:rtl/>
              </w:rPr>
              <w:t>54678313</w:t>
            </w:r>
            <w:r>
              <w:rPr>
                <w:b/>
                <w:bCs/>
                <w:rtl/>
              </w:rPr>
              <w:t xml:space="preserve">ניתנה והודעה היום ח' אייר תשע"ו, 16/05/2016 במעמד הנוכחים. </w:t>
            </w:r>
          </w:p>
          <w:p w14:paraId="6071398B" w14:textId="77777777" w:rsidR="00F85217" w:rsidRPr="005D0026" w:rsidRDefault="00F85217" w:rsidP="00135673">
            <w:pPr>
              <w:jc w:val="center"/>
              <w:rPr>
                <w:rFonts w:ascii="Times New Roman" w:eastAsia="Times New Roman" w:hAnsi="Times New Roman" w:cs="Times New Roman"/>
                <w:rtl/>
              </w:rPr>
            </w:pPr>
          </w:p>
        </w:tc>
      </w:tr>
      <w:tr w:rsidR="00F85217" w14:paraId="0681C850" w14:textId="77777777">
        <w:trPr>
          <w:trHeight w:val="361"/>
          <w:jc w:val="right"/>
        </w:trPr>
        <w:tc>
          <w:tcPr>
            <w:tcW w:w="3936" w:type="dxa"/>
            <w:shd w:val="clear" w:color="auto" w:fill="auto"/>
          </w:tcPr>
          <w:p w14:paraId="508E8499" w14:textId="77777777" w:rsidR="00F85217" w:rsidRPr="005D0026" w:rsidRDefault="00F85217" w:rsidP="00135673">
            <w:pPr>
              <w:jc w:val="center"/>
              <w:rPr>
                <w:rFonts w:ascii="Times New Roman" w:eastAsia="Times New Roman" w:hAnsi="Times New Roman"/>
                <w:b/>
                <w:bCs/>
                <w:rtl/>
              </w:rPr>
            </w:pPr>
            <w:r w:rsidRPr="005D0026">
              <w:rPr>
                <w:rFonts w:ascii="Times New Roman" w:eastAsia="Times New Roman" w:hAnsi="Times New Roman" w:hint="cs"/>
                <w:b/>
                <w:bCs/>
                <w:rtl/>
              </w:rPr>
              <w:t>יריב נבון</w:t>
            </w:r>
            <w:r w:rsidRPr="005D0026">
              <w:rPr>
                <w:rFonts w:ascii="Times New Roman" w:eastAsia="Times New Roman" w:hAnsi="Times New Roman"/>
                <w:b/>
                <w:bCs/>
                <w:rtl/>
              </w:rPr>
              <w:t xml:space="preserve"> </w:t>
            </w:r>
            <w:r w:rsidRPr="005D0026">
              <w:rPr>
                <w:rFonts w:ascii="Times New Roman" w:eastAsia="Times New Roman" w:hAnsi="Times New Roman" w:hint="cs"/>
                <w:b/>
                <w:bCs/>
                <w:rtl/>
              </w:rPr>
              <w:t>, שופט</w:t>
            </w:r>
            <w:r w:rsidRPr="005D0026">
              <w:rPr>
                <w:rFonts w:ascii="Times New Roman" w:eastAsia="Times New Roman" w:hAnsi="Times New Roman"/>
                <w:b/>
                <w:bCs/>
                <w:rtl/>
              </w:rPr>
              <w:t xml:space="preserve"> </w:t>
            </w:r>
          </w:p>
        </w:tc>
      </w:tr>
    </w:tbl>
    <w:p w14:paraId="3BEE59AA" w14:textId="77777777" w:rsidR="00F85217" w:rsidRPr="0095373E" w:rsidRDefault="0095373E" w:rsidP="00F85217">
      <w:pPr>
        <w:jc w:val="right"/>
        <w:rPr>
          <w:color w:val="FFFFFF"/>
          <w:sz w:val="2"/>
          <w:szCs w:val="2"/>
          <w:rtl/>
        </w:rPr>
      </w:pPr>
      <w:r w:rsidRPr="0095373E">
        <w:rPr>
          <w:color w:val="FFFFFF"/>
          <w:sz w:val="2"/>
          <w:szCs w:val="2"/>
          <w:rtl/>
        </w:rPr>
        <w:t>5129371</w:t>
      </w:r>
    </w:p>
    <w:p w14:paraId="41F295DD" w14:textId="77777777" w:rsidR="00135673" w:rsidRPr="0095373E" w:rsidRDefault="0095373E" w:rsidP="00135673">
      <w:pPr>
        <w:keepNext/>
        <w:rPr>
          <w:color w:val="FFFFFF"/>
          <w:sz w:val="2"/>
          <w:szCs w:val="2"/>
          <w:rtl/>
        </w:rPr>
      </w:pPr>
      <w:r w:rsidRPr="0095373E">
        <w:rPr>
          <w:color w:val="FFFFFF"/>
          <w:sz w:val="2"/>
          <w:szCs w:val="2"/>
          <w:rtl/>
        </w:rPr>
        <w:t>54678313</w:t>
      </w:r>
    </w:p>
    <w:p w14:paraId="126C2797" w14:textId="77777777" w:rsidR="00135673" w:rsidRDefault="00135673" w:rsidP="00135673">
      <w:pPr>
        <w:rPr>
          <w:rtl/>
        </w:rPr>
      </w:pPr>
    </w:p>
    <w:p w14:paraId="5A377956" w14:textId="77777777" w:rsidR="00135673" w:rsidRDefault="00135673" w:rsidP="00135673">
      <w:pPr>
        <w:jc w:val="center"/>
        <w:rPr>
          <w:color w:val="0000FF"/>
          <w:u w:val="single"/>
        </w:rPr>
      </w:pPr>
      <w:hyperlink r:id="rId8" w:history="1">
        <w:r>
          <w:rPr>
            <w:color w:val="0000FF"/>
            <w:u w:val="single"/>
            <w:rtl/>
          </w:rPr>
          <w:t>בעניין עריכה ושינויים במסמכי פסיקה, חקיקה ועוד באתר נבו – הקש כאן</w:t>
        </w:r>
      </w:hyperlink>
    </w:p>
    <w:p w14:paraId="1D36BBE6" w14:textId="77777777" w:rsidR="0095373E" w:rsidRPr="0095373E" w:rsidRDefault="0095373E" w:rsidP="0095373E">
      <w:pPr>
        <w:keepNext/>
        <w:rPr>
          <w:color w:val="000000"/>
          <w:sz w:val="22"/>
          <w:szCs w:val="22"/>
          <w:rtl/>
        </w:rPr>
      </w:pPr>
    </w:p>
    <w:p w14:paraId="57D3305C" w14:textId="77777777" w:rsidR="0095373E" w:rsidRPr="0095373E" w:rsidRDefault="0095373E" w:rsidP="0095373E">
      <w:pPr>
        <w:keepNext/>
        <w:rPr>
          <w:color w:val="000000"/>
          <w:sz w:val="22"/>
          <w:szCs w:val="22"/>
          <w:rtl/>
        </w:rPr>
      </w:pPr>
      <w:r w:rsidRPr="0095373E">
        <w:rPr>
          <w:color w:val="000000"/>
          <w:sz w:val="22"/>
          <w:szCs w:val="22"/>
          <w:rtl/>
        </w:rPr>
        <w:t>יריב נבון 54678313-/</w:t>
      </w:r>
    </w:p>
    <w:p w14:paraId="5BF3100A" w14:textId="77777777" w:rsidR="00B1215F" w:rsidRPr="00135673" w:rsidRDefault="0095373E" w:rsidP="0095373E">
      <w:pPr>
        <w:rPr>
          <w:color w:val="0000FF"/>
          <w:u w:val="single"/>
        </w:rPr>
      </w:pPr>
      <w:r w:rsidRPr="0095373E">
        <w:rPr>
          <w:color w:val="000000"/>
          <w:u w:val="single"/>
          <w:rtl/>
        </w:rPr>
        <w:t>נוסח מסמך זה כפוף לשינויי ניסוח ועריכה</w:t>
      </w:r>
    </w:p>
    <w:sectPr w:rsidR="00B1215F" w:rsidRPr="00135673" w:rsidSect="0095373E">
      <w:headerReference w:type="even" r:id="rId9"/>
      <w:headerReference w:type="default" r:id="rId10"/>
      <w:footerReference w:type="even" r:id="rId11"/>
      <w:footerReference w:type="default" r:id="rId12"/>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91325" w14:textId="77777777" w:rsidR="00BC72AD" w:rsidRDefault="00BC72AD">
      <w:r>
        <w:separator/>
      </w:r>
    </w:p>
  </w:endnote>
  <w:endnote w:type="continuationSeparator" w:id="0">
    <w:p w14:paraId="11E09000" w14:textId="77777777" w:rsidR="00BC72AD" w:rsidRDefault="00BC7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CB3A2" w14:textId="77777777" w:rsidR="0095373E" w:rsidRDefault="0095373E" w:rsidP="009537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213F770" w14:textId="77777777" w:rsidR="00F85861" w:rsidRPr="0095373E" w:rsidRDefault="0095373E" w:rsidP="0095373E">
    <w:pPr>
      <w:pStyle w:val="a5"/>
      <w:pBdr>
        <w:top w:val="single" w:sz="4" w:space="1" w:color="auto"/>
        <w:between w:val="single" w:sz="4" w:space="0" w:color="auto"/>
      </w:pBdr>
      <w:spacing w:after="60"/>
      <w:jc w:val="center"/>
      <w:rPr>
        <w:rFonts w:ascii="FrankRuehl" w:hAnsi="FrankRuehl" w:cs="FrankRuehl"/>
        <w:color w:val="000000"/>
      </w:rPr>
    </w:pPr>
    <w:r w:rsidRPr="0095373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20242" w14:textId="77777777" w:rsidR="0095373E" w:rsidRDefault="0095373E" w:rsidP="0095373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F1687">
      <w:rPr>
        <w:rFonts w:ascii="FrankRuehl" w:hAnsi="FrankRuehl" w:cs="FrankRuehl"/>
        <w:noProof/>
        <w:rtl/>
      </w:rPr>
      <w:t>1</w:t>
    </w:r>
    <w:r>
      <w:rPr>
        <w:rFonts w:ascii="FrankRuehl" w:hAnsi="FrankRuehl" w:cs="FrankRuehl"/>
        <w:rtl/>
      </w:rPr>
      <w:fldChar w:fldCharType="end"/>
    </w:r>
  </w:p>
  <w:p w14:paraId="667D8779" w14:textId="77777777" w:rsidR="00F85861" w:rsidRPr="0095373E" w:rsidRDefault="0095373E" w:rsidP="0095373E">
    <w:pPr>
      <w:pStyle w:val="a5"/>
      <w:pBdr>
        <w:top w:val="single" w:sz="4" w:space="1" w:color="auto"/>
        <w:between w:val="single" w:sz="4" w:space="0" w:color="auto"/>
      </w:pBdr>
      <w:spacing w:after="60"/>
      <w:jc w:val="center"/>
      <w:rPr>
        <w:rFonts w:ascii="FrankRuehl" w:hAnsi="FrankRuehl" w:cs="FrankRuehl"/>
        <w:color w:val="000000"/>
      </w:rPr>
    </w:pPr>
    <w:r w:rsidRPr="0095373E">
      <w:rPr>
        <w:rFonts w:ascii="FrankRuehl" w:hAnsi="FrankRuehl" w:cs="FrankRuehl"/>
        <w:color w:val="000000"/>
      </w:rPr>
      <w:pict w14:anchorId="1ACC55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05A2F" w14:textId="77777777" w:rsidR="00BC72AD" w:rsidRDefault="00BC72AD">
      <w:r>
        <w:separator/>
      </w:r>
    </w:p>
  </w:footnote>
  <w:footnote w:type="continuationSeparator" w:id="0">
    <w:p w14:paraId="3362D088" w14:textId="77777777" w:rsidR="00BC72AD" w:rsidRDefault="00BC7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5F7776" w14:textId="77777777" w:rsidR="00F85861" w:rsidRPr="0095373E" w:rsidRDefault="0095373E" w:rsidP="009537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61231-03-15</w:t>
    </w:r>
    <w:r>
      <w:rPr>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FF2D8" w14:textId="77777777" w:rsidR="00F85861" w:rsidRPr="0095373E" w:rsidRDefault="0095373E" w:rsidP="0095373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(טב') 61231-03-15</w:t>
    </w:r>
    <w:r>
      <w:rPr>
        <w:color w:val="000000"/>
        <w:sz w:val="22"/>
        <w:szCs w:val="22"/>
        <w:rtl/>
      </w:rPr>
      <w:tab/>
      <w:t xml:space="preserve"> מדינת ישראל נ' פלוני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5217"/>
    <w:rsid w:val="000B4CCE"/>
    <w:rsid w:val="00135673"/>
    <w:rsid w:val="0016622E"/>
    <w:rsid w:val="00174FB2"/>
    <w:rsid w:val="006344AB"/>
    <w:rsid w:val="006F47F9"/>
    <w:rsid w:val="008E2A4A"/>
    <w:rsid w:val="0095373E"/>
    <w:rsid w:val="00B1215F"/>
    <w:rsid w:val="00BC72AD"/>
    <w:rsid w:val="00C93AD8"/>
    <w:rsid w:val="00DD3A1F"/>
    <w:rsid w:val="00DF1687"/>
    <w:rsid w:val="00F85217"/>
    <w:rsid w:val="00F858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C9BB097"/>
  <w15:chartTrackingRefBased/>
  <w15:docId w15:val="{BFCAD96E-7823-4BFC-A994-1B7A59623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5217"/>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F85217"/>
  </w:style>
  <w:style w:type="paragraph" w:styleId="a4">
    <w:name w:val="header"/>
    <w:basedOn w:val="a"/>
    <w:rsid w:val="00F85217"/>
    <w:pPr>
      <w:tabs>
        <w:tab w:val="center" w:pos="4153"/>
        <w:tab w:val="right" w:pos="8306"/>
      </w:tabs>
    </w:pPr>
  </w:style>
  <w:style w:type="paragraph" w:styleId="a5">
    <w:name w:val="footer"/>
    <w:basedOn w:val="a"/>
    <w:rsid w:val="00F85217"/>
    <w:pPr>
      <w:tabs>
        <w:tab w:val="center" w:pos="4153"/>
        <w:tab w:val="right" w:pos="8306"/>
      </w:tabs>
    </w:pPr>
  </w:style>
  <w:style w:type="character" w:styleId="a6">
    <w:name w:val="page number"/>
    <w:basedOn w:val="a0"/>
    <w:rsid w:val="00F85217"/>
  </w:style>
  <w:style w:type="paragraph" w:customStyle="1" w:styleId="12">
    <w:name w:val="רגיל + ‏12 נק'"/>
    <w:aliases w:val="מיושר לשני הצדדים,מרווח בין שורות:  שורה וחצי"/>
    <w:basedOn w:val="a"/>
    <w:rsid w:val="00F85217"/>
    <w:rPr>
      <w:rFonts w:ascii="Times New Roman" w:eastAsia="Times New Roman" w:hAnsi="Times New Roman"/>
      <w:b/>
      <w:bCs/>
      <w:u w:val="single"/>
    </w:rPr>
  </w:style>
  <w:style w:type="paragraph" w:styleId="a7">
    <w:name w:val="Body Text Indent"/>
    <w:basedOn w:val="a"/>
    <w:link w:val="a8"/>
    <w:rsid w:val="00F85217"/>
    <w:pPr>
      <w:spacing w:line="360" w:lineRule="auto"/>
      <w:ind w:left="720"/>
      <w:jc w:val="both"/>
    </w:pPr>
    <w:rPr>
      <w:rFonts w:ascii="Times New Roman" w:eastAsia="Times New Roman" w:hAnsi="Times New Roman"/>
      <w:b/>
      <w:bCs/>
      <w:szCs w:val="28"/>
      <w:lang w:eastAsia="he-IL"/>
    </w:rPr>
  </w:style>
  <w:style w:type="character" w:customStyle="1" w:styleId="a8">
    <w:name w:val="כניסה בגוף טקסט תו"/>
    <w:link w:val="a7"/>
    <w:rsid w:val="00F85217"/>
    <w:rPr>
      <w:rFonts w:cs="David"/>
      <w:b/>
      <w:bCs/>
      <w:sz w:val="24"/>
      <w:szCs w:val="28"/>
      <w:lang w:val="en-US" w:eastAsia="he-IL" w:bidi="he-IL"/>
    </w:rPr>
  </w:style>
  <w:style w:type="paragraph" w:styleId="2">
    <w:name w:val="Body Text 2"/>
    <w:basedOn w:val="a"/>
    <w:link w:val="20"/>
    <w:rsid w:val="00F85217"/>
    <w:pPr>
      <w:spacing w:line="360" w:lineRule="auto"/>
      <w:jc w:val="both"/>
    </w:pPr>
    <w:rPr>
      <w:rFonts w:ascii="Times New Roman" w:eastAsia="Times New Roman" w:hAnsi="Times New Roman"/>
      <w:szCs w:val="28"/>
      <w:lang w:eastAsia="he-IL"/>
    </w:rPr>
  </w:style>
  <w:style w:type="character" w:customStyle="1" w:styleId="20">
    <w:name w:val="גוף טקסט 2 תו"/>
    <w:link w:val="2"/>
    <w:rsid w:val="00F85217"/>
    <w:rPr>
      <w:rFonts w:cs="David"/>
      <w:sz w:val="24"/>
      <w:szCs w:val="28"/>
      <w:lang w:val="en-US" w:eastAsia="he-IL" w:bidi="he-IL"/>
    </w:rPr>
  </w:style>
  <w:style w:type="character" w:styleId="Hyperlink">
    <w:name w:val="Hyperlink"/>
    <w:basedOn w:val="a0"/>
    <w:rsid w:val="00135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805</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4824</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8257637</vt:i4>
      </vt:variant>
      <vt:variant>
        <vt:i4>3</vt:i4>
      </vt:variant>
      <vt:variant>
        <vt:i4>0</vt:i4>
      </vt:variant>
      <vt:variant>
        <vt:i4>5</vt:i4>
      </vt:variant>
      <vt:variant>
        <vt:lpwstr>http://www.nevo.co.il/law/4216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2025-04-22T22:39:00Z</dcterms:created>
  <dcterms:modified xsi:type="dcterms:W3CDTF">2025-04-22T22:39:00Z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61231</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יובל זולטי;תומר בן חמו;ו יובל זולטי</vt:lpwstr>
  </property>
  <property fmtid="{D5CDD505-2E9C-101B-9397-08002B2CF9AE}" pid="11" name="JUDGE">
    <vt:lpwstr>יריב נבון</vt:lpwstr>
  </property>
  <property fmtid="{D5CDD505-2E9C-101B-9397-08002B2CF9AE}" pid="12" name="CITY">
    <vt:lpwstr>טב'</vt:lpwstr>
  </property>
  <property fmtid="{D5CDD505-2E9C-101B-9397-08002B2CF9AE}" pid="13" name="DATE">
    <vt:lpwstr>20160516</vt:lpwstr>
  </property>
  <property fmtid="{D5CDD505-2E9C-101B-9397-08002B2CF9AE}" pid="14" name="TYPE_N_DATE">
    <vt:lpwstr>38020160516</vt:lpwstr>
  </property>
  <property fmtid="{D5CDD505-2E9C-101B-9397-08002B2CF9AE}" pid="15" name="WORDNUMPAGES">
    <vt:lpwstr>3</vt:lpwstr>
  </property>
  <property fmtid="{D5CDD505-2E9C-101B-9397-08002B2CF9AE}" pid="16" name="TYPE_ABS_DATE">
    <vt:lpwstr>380020160516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vt:lpwstr>
  </property>
</Properties>
</file>