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047C6" w:rsidRPr="000354F7" w14:paraId="53E96211" w14:textId="77777777">
        <w:trPr>
          <w:trHeight w:hRule="exact" w:val="418"/>
          <w:jc w:val="center"/>
        </w:trPr>
        <w:tc>
          <w:tcPr>
            <w:tcW w:w="8720" w:type="dxa"/>
            <w:gridSpan w:val="3"/>
          </w:tcPr>
          <w:p w14:paraId="42EB31FC" w14:textId="77777777" w:rsidR="00A047C6" w:rsidRPr="000354F7" w:rsidRDefault="000354F7">
            <w:pPr>
              <w:pStyle w:val="a4"/>
              <w:tabs>
                <w:tab w:val="clear" w:pos="8306"/>
              </w:tabs>
              <w:spacing w:line="360" w:lineRule="auto"/>
              <w:jc w:val="center"/>
              <w:rPr>
                <w:rFonts w:ascii="Tahoma" w:hAnsi="Tahoma" w:cs="Tahoma"/>
                <w:b/>
                <w:bCs/>
                <w:color w:val="000080"/>
                <w:sz w:val="20"/>
                <w:szCs w:val="20"/>
                <w:rtl/>
              </w:rPr>
            </w:pPr>
            <w:bookmarkStart w:id="0" w:name="LastJudge"/>
            <w:r w:rsidRPr="000354F7">
              <w:rPr>
                <w:rFonts w:ascii="Tahoma" w:hAnsi="Tahoma" w:cs="Tahoma"/>
                <w:b/>
                <w:bCs/>
                <w:color w:val="000080"/>
                <w:sz w:val="20"/>
                <w:szCs w:val="20"/>
                <w:rtl/>
              </w:rPr>
              <w:t>בית משפט השלום בראשון לציון</w:t>
            </w:r>
          </w:p>
        </w:tc>
      </w:tr>
      <w:tr w:rsidR="00A047C6" w:rsidRPr="000354F7" w14:paraId="4F7E8AD8" w14:textId="77777777">
        <w:trPr>
          <w:trHeight w:val="337"/>
          <w:jc w:val="center"/>
        </w:trPr>
        <w:tc>
          <w:tcPr>
            <w:tcW w:w="6396" w:type="dxa"/>
          </w:tcPr>
          <w:p w14:paraId="3B6417FE" w14:textId="77777777" w:rsidR="00A047C6" w:rsidRPr="000354F7" w:rsidRDefault="000354F7">
            <w:pPr>
              <w:spacing w:line="360" w:lineRule="auto"/>
              <w:rPr>
                <w:rtl/>
              </w:rPr>
            </w:pPr>
            <w:r w:rsidRPr="000354F7">
              <w:rPr>
                <w:b/>
                <w:bCs/>
                <w:sz w:val="26"/>
                <w:szCs w:val="26"/>
                <w:rtl/>
              </w:rPr>
              <w:t>ת"פ</w:t>
            </w:r>
            <w:r w:rsidRPr="000354F7">
              <w:rPr>
                <w:rFonts w:hint="cs"/>
                <w:b/>
                <w:bCs/>
                <w:sz w:val="26"/>
                <w:szCs w:val="26"/>
                <w:rtl/>
              </w:rPr>
              <w:t xml:space="preserve"> </w:t>
            </w:r>
            <w:r w:rsidRPr="000354F7">
              <w:rPr>
                <w:b/>
                <w:bCs/>
                <w:sz w:val="26"/>
                <w:szCs w:val="26"/>
                <w:rtl/>
              </w:rPr>
              <w:t>2147-04-15</w:t>
            </w:r>
            <w:r w:rsidRPr="000354F7">
              <w:rPr>
                <w:rFonts w:hint="cs"/>
                <w:b/>
                <w:bCs/>
                <w:sz w:val="26"/>
                <w:szCs w:val="26"/>
                <w:rtl/>
              </w:rPr>
              <w:t xml:space="preserve"> </w:t>
            </w:r>
            <w:r w:rsidRPr="000354F7">
              <w:rPr>
                <w:b/>
                <w:bCs/>
                <w:sz w:val="26"/>
                <w:szCs w:val="26"/>
                <w:rtl/>
              </w:rPr>
              <w:t>מדינת ישראל נ' פרץ</w:t>
            </w:r>
          </w:p>
          <w:p w14:paraId="09F941BF" w14:textId="77777777" w:rsidR="00A047C6" w:rsidRPr="000354F7" w:rsidRDefault="000354F7">
            <w:pPr>
              <w:spacing w:line="360" w:lineRule="auto"/>
              <w:rPr>
                <w:b/>
                <w:bCs/>
                <w:sz w:val="26"/>
                <w:szCs w:val="26"/>
                <w:rtl/>
              </w:rPr>
            </w:pPr>
            <w:r w:rsidRPr="000354F7">
              <w:rPr>
                <w:rFonts w:hint="cs"/>
                <w:b/>
                <w:bCs/>
                <w:rtl/>
              </w:rPr>
              <w:t>ת"פ 16277-07-15 מדינת ישראל נ' פרץ</w:t>
            </w:r>
          </w:p>
          <w:p w14:paraId="3A5BE107" w14:textId="77777777" w:rsidR="00A047C6" w:rsidRPr="000354F7" w:rsidRDefault="00A047C6">
            <w:pPr>
              <w:spacing w:line="360" w:lineRule="auto"/>
              <w:rPr>
                <w:b/>
                <w:bCs/>
                <w:sz w:val="26"/>
                <w:szCs w:val="26"/>
                <w:rtl/>
              </w:rPr>
            </w:pPr>
          </w:p>
        </w:tc>
        <w:tc>
          <w:tcPr>
            <w:tcW w:w="236" w:type="dxa"/>
          </w:tcPr>
          <w:p w14:paraId="71D49C90" w14:textId="77777777" w:rsidR="00A047C6" w:rsidRPr="000354F7" w:rsidRDefault="00A047C6">
            <w:pPr>
              <w:pStyle w:val="a4"/>
              <w:spacing w:line="360" w:lineRule="auto"/>
              <w:jc w:val="right"/>
              <w:rPr>
                <w:b/>
                <w:bCs/>
                <w:sz w:val="26"/>
                <w:szCs w:val="26"/>
                <w:rtl/>
              </w:rPr>
            </w:pPr>
          </w:p>
        </w:tc>
        <w:tc>
          <w:tcPr>
            <w:tcW w:w="2088" w:type="dxa"/>
          </w:tcPr>
          <w:p w14:paraId="0487240C" w14:textId="77777777" w:rsidR="00A047C6" w:rsidRPr="000354F7" w:rsidRDefault="000354F7">
            <w:pPr>
              <w:pStyle w:val="a4"/>
              <w:tabs>
                <w:tab w:val="clear" w:pos="4153"/>
              </w:tabs>
              <w:spacing w:line="360" w:lineRule="auto"/>
              <w:jc w:val="right"/>
              <w:rPr>
                <w:b/>
                <w:bCs/>
                <w:sz w:val="26"/>
                <w:szCs w:val="26"/>
                <w:rtl/>
              </w:rPr>
            </w:pPr>
            <w:r w:rsidRPr="000354F7">
              <w:rPr>
                <w:b/>
                <w:bCs/>
                <w:sz w:val="26"/>
                <w:szCs w:val="26"/>
                <w:rtl/>
              </w:rPr>
              <w:t>16 יולי 2015</w:t>
            </w:r>
          </w:p>
        </w:tc>
      </w:tr>
    </w:tbl>
    <w:p w14:paraId="44A159EF" w14:textId="77777777" w:rsidR="00A047C6" w:rsidRPr="000354F7" w:rsidRDefault="00A047C6">
      <w:pPr>
        <w:pStyle w:val="a4"/>
        <w:spacing w:line="360" w:lineRule="auto"/>
        <w:jc w:val="center"/>
        <w:rPr>
          <w:rFonts w:ascii="Tahoma" w:hAnsi="Tahoma" w:cs="Tahoma"/>
          <w:b/>
          <w:bCs/>
          <w:color w:val="000080"/>
          <w:sz w:val="20"/>
          <w:szCs w:val="20"/>
          <w:rtl/>
        </w:rPr>
      </w:pPr>
    </w:p>
    <w:p w14:paraId="7D03FB04" w14:textId="77777777" w:rsidR="00A047C6" w:rsidRPr="000354F7" w:rsidRDefault="00A047C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A047C6" w:rsidRPr="000354F7" w14:paraId="4E812621" w14:textId="77777777">
        <w:trPr>
          <w:gridAfter w:val="1"/>
          <w:wAfter w:w="55" w:type="dxa"/>
        </w:trPr>
        <w:tc>
          <w:tcPr>
            <w:tcW w:w="8719" w:type="dxa"/>
            <w:gridSpan w:val="2"/>
            <w:shd w:val="clear" w:color="auto" w:fill="auto"/>
          </w:tcPr>
          <w:p w14:paraId="1CC1B673" w14:textId="77777777" w:rsidR="00A047C6" w:rsidRPr="000354F7" w:rsidRDefault="000354F7">
            <w:pPr>
              <w:spacing w:line="360" w:lineRule="auto"/>
              <w:rPr>
                <w:rFonts w:ascii="Times New Roman" w:eastAsia="Times New Roman" w:hAnsi="Times New Roman"/>
                <w:b/>
                <w:bCs/>
                <w:sz w:val="26"/>
                <w:szCs w:val="26"/>
                <w:rtl/>
              </w:rPr>
            </w:pPr>
            <w:r w:rsidRPr="000354F7">
              <w:rPr>
                <w:rFonts w:ascii="Times New Roman" w:eastAsia="Times New Roman" w:hAnsi="Times New Roman" w:hint="cs"/>
                <w:b/>
                <w:bCs/>
                <w:sz w:val="26"/>
                <w:szCs w:val="26"/>
                <w:rtl/>
              </w:rPr>
              <w:t>לפני כבוד ה</w:t>
            </w:r>
            <w:r w:rsidRPr="000354F7">
              <w:rPr>
                <w:rFonts w:ascii="Times New Roman" w:eastAsia="Times New Roman" w:hAnsi="Times New Roman" w:hint="cs"/>
                <w:rtl/>
              </w:rPr>
              <w:t>שופטת שירלי דקל נוה</w:t>
            </w:r>
            <w:r w:rsidRPr="000354F7">
              <w:rPr>
                <w:rStyle w:val="TimesNewRomanTimesNewRoman"/>
                <w:rFonts w:eastAsia="Times New Roman"/>
                <w:rtl/>
              </w:rPr>
              <w:t xml:space="preserve"> </w:t>
            </w:r>
          </w:p>
        </w:tc>
      </w:tr>
      <w:tr w:rsidR="00A047C6" w:rsidRPr="000354F7" w14:paraId="7098492F" w14:textId="77777777">
        <w:tc>
          <w:tcPr>
            <w:tcW w:w="2880" w:type="dxa"/>
            <w:shd w:val="clear" w:color="auto" w:fill="auto"/>
          </w:tcPr>
          <w:p w14:paraId="4BA09D59" w14:textId="77777777" w:rsidR="00A047C6" w:rsidRPr="000354F7" w:rsidRDefault="000354F7">
            <w:pPr>
              <w:spacing w:line="360" w:lineRule="auto"/>
              <w:ind w:left="26"/>
              <w:rPr>
                <w:rFonts w:ascii="Times New Roman" w:eastAsia="Times New Roman" w:hAnsi="Times New Roman"/>
                <w:b/>
                <w:bCs/>
                <w:sz w:val="26"/>
                <w:szCs w:val="26"/>
                <w:rtl/>
              </w:rPr>
            </w:pPr>
            <w:bookmarkStart w:id="1" w:name="FirstAppellant"/>
            <w:r w:rsidRPr="000354F7">
              <w:rPr>
                <w:rFonts w:ascii="Times New Roman" w:eastAsia="Times New Roman" w:hAnsi="Times New Roman" w:hint="cs"/>
                <w:b/>
                <w:bCs/>
                <w:sz w:val="26"/>
                <w:szCs w:val="26"/>
                <w:rtl/>
              </w:rPr>
              <w:t>ה</w:t>
            </w:r>
            <w:r w:rsidRPr="000354F7">
              <w:rPr>
                <w:rFonts w:ascii="Times New Roman" w:eastAsia="Times New Roman" w:hAnsi="Times New Roman" w:hint="cs"/>
                <w:rtl/>
              </w:rPr>
              <w:t>מאשימה</w:t>
            </w:r>
          </w:p>
        </w:tc>
        <w:tc>
          <w:tcPr>
            <w:tcW w:w="5922" w:type="dxa"/>
            <w:gridSpan w:val="2"/>
            <w:shd w:val="clear" w:color="auto" w:fill="auto"/>
          </w:tcPr>
          <w:p w14:paraId="6BC1459B" w14:textId="77777777" w:rsidR="00A047C6" w:rsidRPr="000354F7" w:rsidRDefault="000354F7">
            <w:pPr>
              <w:spacing w:line="360" w:lineRule="auto"/>
              <w:rPr>
                <w:rFonts w:ascii="Times New Roman" w:eastAsia="Times New Roman" w:hAnsi="Times New Roman"/>
                <w:b/>
                <w:bCs/>
                <w:sz w:val="26"/>
                <w:szCs w:val="26"/>
                <w:rtl/>
              </w:rPr>
            </w:pPr>
            <w:r w:rsidRPr="000354F7">
              <w:rPr>
                <w:rFonts w:ascii="Times New Roman" w:eastAsia="Times New Roman" w:hAnsi="Times New Roman" w:hint="cs"/>
                <w:rtl/>
              </w:rPr>
              <w:t>מדינת ישראל</w:t>
            </w:r>
          </w:p>
        </w:tc>
      </w:tr>
      <w:bookmarkEnd w:id="1"/>
      <w:tr w:rsidR="00A047C6" w:rsidRPr="000354F7" w14:paraId="7EE336BD" w14:textId="77777777">
        <w:tc>
          <w:tcPr>
            <w:tcW w:w="8802" w:type="dxa"/>
            <w:gridSpan w:val="3"/>
            <w:shd w:val="clear" w:color="auto" w:fill="auto"/>
          </w:tcPr>
          <w:p w14:paraId="1D3C9646" w14:textId="77777777" w:rsidR="00A047C6" w:rsidRPr="000354F7" w:rsidRDefault="000354F7">
            <w:pPr>
              <w:spacing w:line="360" w:lineRule="auto"/>
              <w:jc w:val="center"/>
              <w:rPr>
                <w:rFonts w:ascii="Arial" w:eastAsia="Times New Roman" w:hAnsi="Arial"/>
                <w:b/>
                <w:bCs/>
                <w:sz w:val="26"/>
                <w:szCs w:val="26"/>
                <w:rtl/>
              </w:rPr>
            </w:pPr>
            <w:r w:rsidRPr="000354F7">
              <w:rPr>
                <w:rFonts w:ascii="Arial" w:eastAsia="Times New Roman" w:hAnsi="Arial"/>
                <w:b/>
                <w:bCs/>
                <w:sz w:val="26"/>
                <w:szCs w:val="26"/>
                <w:rtl/>
              </w:rPr>
              <w:t>נגד</w:t>
            </w:r>
          </w:p>
          <w:p w14:paraId="385DBB32" w14:textId="77777777" w:rsidR="00A047C6" w:rsidRPr="000354F7" w:rsidRDefault="00A047C6">
            <w:pPr>
              <w:spacing w:line="360" w:lineRule="auto"/>
              <w:jc w:val="center"/>
              <w:rPr>
                <w:rFonts w:ascii="Arial" w:eastAsia="Times New Roman" w:hAnsi="Arial"/>
                <w:b/>
                <w:bCs/>
                <w:sz w:val="26"/>
                <w:szCs w:val="26"/>
              </w:rPr>
            </w:pPr>
          </w:p>
        </w:tc>
      </w:tr>
      <w:tr w:rsidR="00A047C6" w:rsidRPr="000354F7" w14:paraId="263C4A91" w14:textId="77777777">
        <w:tc>
          <w:tcPr>
            <w:tcW w:w="2880" w:type="dxa"/>
            <w:shd w:val="clear" w:color="auto" w:fill="auto"/>
          </w:tcPr>
          <w:p w14:paraId="6DB7FF19" w14:textId="77777777" w:rsidR="00A047C6" w:rsidRPr="000354F7" w:rsidRDefault="000354F7">
            <w:pPr>
              <w:spacing w:line="360" w:lineRule="auto"/>
              <w:ind w:left="26"/>
              <w:rPr>
                <w:rFonts w:ascii="Times New Roman" w:eastAsia="Times New Roman" w:hAnsi="Times New Roman"/>
                <w:b/>
                <w:bCs/>
                <w:sz w:val="26"/>
                <w:szCs w:val="26"/>
                <w:rtl/>
              </w:rPr>
            </w:pPr>
            <w:r w:rsidRPr="000354F7">
              <w:rPr>
                <w:rFonts w:ascii="Times New Roman" w:eastAsia="Times New Roman" w:hAnsi="Times New Roman" w:hint="cs"/>
                <w:b/>
                <w:bCs/>
                <w:sz w:val="26"/>
                <w:szCs w:val="26"/>
                <w:rtl/>
              </w:rPr>
              <w:t>ה</w:t>
            </w:r>
            <w:r w:rsidRPr="000354F7">
              <w:rPr>
                <w:rFonts w:ascii="Times New Roman" w:eastAsia="Times New Roman" w:hAnsi="Times New Roman" w:hint="cs"/>
                <w:rtl/>
              </w:rPr>
              <w:t>נאשם</w:t>
            </w:r>
          </w:p>
        </w:tc>
        <w:tc>
          <w:tcPr>
            <w:tcW w:w="5922" w:type="dxa"/>
            <w:gridSpan w:val="2"/>
            <w:shd w:val="clear" w:color="auto" w:fill="auto"/>
          </w:tcPr>
          <w:p w14:paraId="46C24776" w14:textId="77777777" w:rsidR="00A047C6" w:rsidRPr="000354F7" w:rsidRDefault="000354F7">
            <w:pPr>
              <w:spacing w:line="360" w:lineRule="auto"/>
              <w:rPr>
                <w:rFonts w:ascii="Times New Roman" w:eastAsia="Times New Roman" w:hAnsi="Times New Roman"/>
                <w:b/>
                <w:bCs/>
                <w:sz w:val="26"/>
                <w:szCs w:val="26"/>
                <w:rtl/>
              </w:rPr>
            </w:pPr>
            <w:r w:rsidRPr="000354F7">
              <w:rPr>
                <w:rFonts w:ascii="Times New Roman" w:eastAsia="Times New Roman" w:hAnsi="Times New Roman" w:hint="cs"/>
                <w:rtl/>
              </w:rPr>
              <w:t>אריס פרץ</w:t>
            </w:r>
          </w:p>
        </w:tc>
      </w:tr>
    </w:tbl>
    <w:p w14:paraId="72056833" w14:textId="77777777" w:rsidR="00A047C6" w:rsidRPr="000354F7" w:rsidRDefault="000354F7">
      <w:pPr>
        <w:spacing w:line="360" w:lineRule="auto"/>
        <w:jc w:val="both"/>
        <w:rPr>
          <w:sz w:val="6"/>
          <w:szCs w:val="6"/>
          <w:rtl/>
        </w:rPr>
      </w:pPr>
      <w:r w:rsidRPr="000354F7">
        <w:rPr>
          <w:sz w:val="6"/>
          <w:szCs w:val="6"/>
          <w:rtl/>
        </w:rPr>
        <w:t>&lt;#1#&gt;</w:t>
      </w:r>
    </w:p>
    <w:p w14:paraId="547B7053" w14:textId="77777777" w:rsidR="00A047C6" w:rsidRPr="000354F7" w:rsidRDefault="000354F7">
      <w:pPr>
        <w:pStyle w:val="12"/>
        <w:spacing w:line="360" w:lineRule="auto"/>
        <w:rPr>
          <w:u w:val="none"/>
        </w:rPr>
      </w:pPr>
      <w:r w:rsidRPr="000354F7">
        <w:rPr>
          <w:rFonts w:hint="cs"/>
          <w:u w:val="none"/>
          <w:rtl/>
        </w:rPr>
        <w:t>נוכחים:</w:t>
      </w:r>
    </w:p>
    <w:p w14:paraId="1E910D7A" w14:textId="77777777" w:rsidR="00A047C6" w:rsidRPr="000354F7" w:rsidRDefault="000354F7">
      <w:pPr>
        <w:pStyle w:val="12"/>
        <w:spacing w:line="360" w:lineRule="auto"/>
        <w:rPr>
          <w:b w:val="0"/>
          <w:bCs w:val="0"/>
          <w:u w:val="none"/>
          <w:rtl/>
        </w:rPr>
      </w:pPr>
      <w:bookmarkStart w:id="2" w:name="FirstLawyer"/>
      <w:r w:rsidRPr="000354F7">
        <w:rPr>
          <w:rFonts w:hint="cs"/>
          <w:b w:val="0"/>
          <w:bCs w:val="0"/>
          <w:u w:val="none"/>
          <w:rtl/>
        </w:rPr>
        <w:t>ב"כ</w:t>
      </w:r>
      <w:bookmarkEnd w:id="2"/>
      <w:r w:rsidRPr="000354F7">
        <w:rPr>
          <w:rFonts w:hint="cs"/>
          <w:b w:val="0"/>
          <w:bCs w:val="0"/>
          <w:u w:val="none"/>
          <w:rtl/>
        </w:rPr>
        <w:t xml:space="preserve"> המאשימה עו"ד פרטוק</w:t>
      </w:r>
    </w:p>
    <w:p w14:paraId="3DBEB552" w14:textId="77777777" w:rsidR="00A047C6" w:rsidRPr="000354F7" w:rsidRDefault="000354F7">
      <w:pPr>
        <w:pStyle w:val="12"/>
        <w:spacing w:line="360" w:lineRule="auto"/>
        <w:rPr>
          <w:b w:val="0"/>
          <w:bCs w:val="0"/>
          <w:u w:val="none"/>
          <w:rtl/>
        </w:rPr>
      </w:pPr>
      <w:r w:rsidRPr="000354F7">
        <w:rPr>
          <w:rFonts w:hint="cs"/>
          <w:b w:val="0"/>
          <w:bCs w:val="0"/>
          <w:u w:val="none"/>
          <w:rtl/>
        </w:rPr>
        <w:t>ב"כ הנאשם עו"ד קריטי</w:t>
      </w:r>
    </w:p>
    <w:p w14:paraId="583EE6E0" w14:textId="77777777" w:rsidR="00A047C6" w:rsidRPr="000354F7" w:rsidRDefault="000354F7">
      <w:pPr>
        <w:pStyle w:val="12"/>
        <w:spacing w:line="360" w:lineRule="auto"/>
        <w:rPr>
          <w:b w:val="0"/>
          <w:bCs w:val="0"/>
          <w:u w:val="none"/>
          <w:rtl/>
        </w:rPr>
      </w:pPr>
      <w:r w:rsidRPr="000354F7">
        <w:rPr>
          <w:rFonts w:hint="cs"/>
          <w:b w:val="0"/>
          <w:bCs w:val="0"/>
          <w:u w:val="none"/>
          <w:rtl/>
        </w:rPr>
        <w:t>הנאשם התייצב</w:t>
      </w:r>
    </w:p>
    <w:p w14:paraId="002C0249" w14:textId="77777777" w:rsidR="009D7670" w:rsidRDefault="009D7670" w:rsidP="009D7670">
      <w:pPr>
        <w:spacing w:after="120" w:line="240" w:lineRule="exact"/>
        <w:ind w:left="283" w:hanging="283"/>
        <w:jc w:val="both"/>
        <w:rPr>
          <w:rFonts w:ascii="FrankRuehl" w:hAnsi="FrankRuehl" w:cs="FrankRuehl" w:hint="cs"/>
          <w:rtl/>
        </w:rPr>
      </w:pPr>
    </w:p>
    <w:p w14:paraId="33605501" w14:textId="77777777" w:rsidR="009D7670" w:rsidRPr="009D7670" w:rsidRDefault="009D7670" w:rsidP="009D7670">
      <w:pPr>
        <w:spacing w:after="120" w:line="240" w:lineRule="exact"/>
        <w:ind w:left="283" w:hanging="283"/>
        <w:jc w:val="both"/>
        <w:rPr>
          <w:rFonts w:ascii="FrankRuehl" w:hAnsi="FrankRuehl" w:cs="FrankRuehl"/>
          <w:rtl/>
        </w:rPr>
      </w:pPr>
      <w:r w:rsidRPr="009D7670">
        <w:rPr>
          <w:rFonts w:ascii="FrankRuehl" w:hAnsi="FrankRuehl" w:cs="FrankRuehl"/>
          <w:rtl/>
        </w:rPr>
        <w:t xml:space="preserve">חקיקה שאוזכרה: </w:t>
      </w:r>
    </w:p>
    <w:p w14:paraId="11A9E0D5" w14:textId="77777777" w:rsidR="009D7670" w:rsidRPr="009D7670" w:rsidRDefault="009D7670" w:rsidP="009D7670">
      <w:pPr>
        <w:spacing w:after="120" w:line="240" w:lineRule="exact"/>
        <w:ind w:left="283" w:hanging="283"/>
        <w:jc w:val="both"/>
        <w:rPr>
          <w:rFonts w:ascii="FrankRuehl" w:hAnsi="FrankRuehl" w:cs="FrankRuehl"/>
          <w:rtl/>
        </w:rPr>
      </w:pPr>
      <w:hyperlink r:id="rId6" w:history="1">
        <w:r w:rsidRPr="009D7670">
          <w:rPr>
            <w:rFonts w:ascii="FrankRuehl" w:hAnsi="FrankRuehl" w:cs="FrankRuehl"/>
            <w:color w:val="0000FF"/>
            <w:u w:val="single"/>
            <w:rtl/>
          </w:rPr>
          <w:t>פקודת הסמים המסוכנים [נוסח חדש], תשל"ג-1973</w:t>
        </w:r>
      </w:hyperlink>
      <w:r w:rsidRPr="009D7670">
        <w:rPr>
          <w:rFonts w:ascii="FrankRuehl" w:hAnsi="FrankRuehl" w:cs="FrankRuehl"/>
          <w:rtl/>
        </w:rPr>
        <w:t xml:space="preserve">: סע'  </w:t>
      </w:r>
      <w:hyperlink r:id="rId7" w:history="1">
        <w:r w:rsidRPr="009D7670">
          <w:rPr>
            <w:rFonts w:ascii="FrankRuehl" w:hAnsi="FrankRuehl" w:cs="FrankRuehl"/>
            <w:color w:val="0000FF"/>
            <w:u w:val="single"/>
            <w:rtl/>
          </w:rPr>
          <w:t>7 (א)</w:t>
        </w:r>
      </w:hyperlink>
      <w:r w:rsidRPr="009D7670">
        <w:rPr>
          <w:rFonts w:ascii="FrankRuehl" w:hAnsi="FrankRuehl" w:cs="FrankRuehl"/>
          <w:rtl/>
        </w:rPr>
        <w:t xml:space="preserve">, </w:t>
      </w:r>
      <w:hyperlink r:id="rId8" w:history="1">
        <w:r w:rsidRPr="009D7670">
          <w:rPr>
            <w:rFonts w:ascii="FrankRuehl" w:hAnsi="FrankRuehl" w:cs="FrankRuehl"/>
            <w:color w:val="0000FF"/>
            <w:u w:val="single"/>
            <w:rtl/>
          </w:rPr>
          <w:t>(ג)</w:t>
        </w:r>
      </w:hyperlink>
    </w:p>
    <w:p w14:paraId="3D230899" w14:textId="77777777" w:rsidR="009D7670" w:rsidRPr="009D7670" w:rsidRDefault="009D7670" w:rsidP="009D7670">
      <w:pPr>
        <w:spacing w:after="120" w:line="240" w:lineRule="exact"/>
        <w:ind w:left="283" w:hanging="283"/>
        <w:jc w:val="both"/>
        <w:rPr>
          <w:rFonts w:ascii="FrankRuehl" w:hAnsi="FrankRuehl" w:cs="FrankRuehl"/>
          <w:rtl/>
        </w:rPr>
      </w:pPr>
    </w:p>
    <w:p w14:paraId="040D986C" w14:textId="77777777" w:rsidR="009D7670" w:rsidRPr="009D7670" w:rsidRDefault="009D7670" w:rsidP="009D7670">
      <w:pPr>
        <w:spacing w:line="360" w:lineRule="auto"/>
        <w:jc w:val="center"/>
        <w:rPr>
          <w:rFonts w:ascii="Arial" w:hAnsi="Arial"/>
          <w:sz w:val="28"/>
          <w:szCs w:val="28"/>
          <w:rtl/>
        </w:rPr>
      </w:pPr>
      <w:bookmarkStart w:id="3" w:name="LawTable_End"/>
      <w:bookmarkEnd w:id="3"/>
    </w:p>
    <w:p w14:paraId="189D1B9D" w14:textId="77777777" w:rsidR="009D7670" w:rsidRPr="000354F7" w:rsidRDefault="009D7670" w:rsidP="009D7670">
      <w:pPr>
        <w:spacing w:after="120" w:line="240" w:lineRule="exact"/>
        <w:ind w:left="283" w:hanging="283"/>
        <w:jc w:val="both"/>
        <w:rPr>
          <w:rFonts w:ascii="FrankRuehl" w:hAnsi="FrankRuehl" w:cs="FrankRuehl" w:hint="cs"/>
          <w:rtl/>
        </w:rPr>
      </w:pPr>
    </w:p>
    <w:p w14:paraId="5E39083C" w14:textId="77777777" w:rsidR="009D7670" w:rsidRPr="000354F7" w:rsidRDefault="009D7670" w:rsidP="009D7670">
      <w:pPr>
        <w:spacing w:line="360" w:lineRule="auto"/>
        <w:jc w:val="center"/>
        <w:rPr>
          <w:rFonts w:ascii="Arial" w:hAnsi="Arial"/>
          <w:b/>
          <w:bCs/>
          <w:sz w:val="28"/>
          <w:szCs w:val="28"/>
          <w:rtl/>
        </w:rPr>
      </w:pPr>
    </w:p>
    <w:p w14:paraId="4CFDDA76" w14:textId="77777777" w:rsidR="00A047C6" w:rsidRPr="000354F7" w:rsidRDefault="00A047C6">
      <w:pPr>
        <w:pStyle w:val="12"/>
        <w:spacing w:line="360" w:lineRule="auto"/>
        <w:rPr>
          <w:b w:val="0"/>
          <w:bCs w:val="0"/>
          <w:u w:val="none"/>
          <w:rtl/>
        </w:rPr>
      </w:pPr>
    </w:p>
    <w:p w14:paraId="41B2B397" w14:textId="77777777" w:rsidR="00A047C6" w:rsidRPr="000354F7" w:rsidRDefault="000354F7">
      <w:pPr>
        <w:spacing w:line="360" w:lineRule="auto"/>
        <w:jc w:val="center"/>
        <w:rPr>
          <w:rFonts w:ascii="Arial" w:hAnsi="Arial"/>
          <w:b/>
          <w:bCs/>
          <w:sz w:val="28"/>
          <w:szCs w:val="28"/>
          <w:rtl/>
        </w:rPr>
      </w:pPr>
      <w:r w:rsidRPr="000354F7">
        <w:rPr>
          <w:rFonts w:ascii="Arial" w:hAnsi="Arial"/>
          <w:b/>
          <w:color w:val="FF0000"/>
          <w:sz w:val="28"/>
          <w:rtl/>
        </w:rPr>
        <w:t>במסמך זה הושמטו פרוטוקולים</w:t>
      </w:r>
    </w:p>
    <w:p w14:paraId="7FA06FB5" w14:textId="77777777" w:rsidR="00A047C6" w:rsidRPr="000354F7" w:rsidRDefault="000354F7">
      <w:pPr>
        <w:spacing w:line="360" w:lineRule="auto"/>
        <w:jc w:val="center"/>
        <w:rPr>
          <w:rFonts w:ascii="Arial" w:hAnsi="Arial"/>
          <w:b/>
          <w:bCs/>
          <w:sz w:val="28"/>
          <w:szCs w:val="28"/>
          <w:rtl/>
        </w:rPr>
      </w:pPr>
      <w:r w:rsidRPr="000354F7">
        <w:rPr>
          <w:rFonts w:ascii="Arial" w:hAnsi="Arial"/>
          <w:b/>
          <w:bCs/>
          <w:sz w:val="28"/>
          <w:szCs w:val="28"/>
          <w:rtl/>
        </w:rPr>
        <w:t>החלטה והכרעת דין</w:t>
      </w:r>
    </w:p>
    <w:p w14:paraId="48EA7A60" w14:textId="77777777" w:rsidR="00A047C6" w:rsidRPr="000354F7" w:rsidRDefault="00A047C6">
      <w:pPr>
        <w:spacing w:line="360" w:lineRule="auto"/>
        <w:jc w:val="both"/>
        <w:rPr>
          <w:rtl/>
        </w:rPr>
      </w:pPr>
    </w:p>
    <w:p w14:paraId="66658605" w14:textId="77777777" w:rsidR="00A047C6" w:rsidRPr="000354F7" w:rsidRDefault="000354F7">
      <w:pPr>
        <w:spacing w:line="360" w:lineRule="auto"/>
        <w:jc w:val="both"/>
        <w:rPr>
          <w:rtl/>
        </w:rPr>
      </w:pPr>
      <w:r w:rsidRPr="000354F7">
        <w:rPr>
          <w:rFonts w:hint="cs"/>
          <w:rtl/>
        </w:rPr>
        <w:t xml:space="preserve">לבקשת הנאשם ובהתאם להודאתו, אני מרשיעה אותו בעבירה של החזקה / שימוש בסמים לצריכה עצמית לפי </w:t>
      </w:r>
      <w:hyperlink r:id="rId9" w:history="1">
        <w:r w:rsidR="009D7670" w:rsidRPr="009D7670">
          <w:rPr>
            <w:color w:val="0000FF"/>
            <w:u w:val="single"/>
            <w:rtl/>
          </w:rPr>
          <w:t>סעיף 7 (א)</w:t>
        </w:r>
      </w:hyperlink>
      <w:r w:rsidRPr="000354F7">
        <w:rPr>
          <w:rFonts w:hint="cs"/>
          <w:rtl/>
        </w:rPr>
        <w:t xml:space="preserve"> + </w:t>
      </w:r>
      <w:hyperlink r:id="rId10" w:history="1">
        <w:r w:rsidR="009D7670" w:rsidRPr="009D7670">
          <w:rPr>
            <w:color w:val="0000FF"/>
            <w:u w:val="single"/>
            <w:rtl/>
          </w:rPr>
          <w:t>(ג)</w:t>
        </w:r>
      </w:hyperlink>
      <w:r w:rsidRPr="000354F7">
        <w:rPr>
          <w:rFonts w:hint="cs"/>
          <w:rtl/>
        </w:rPr>
        <w:t xml:space="preserve"> סיפא ל</w:t>
      </w:r>
      <w:hyperlink r:id="rId11" w:history="1">
        <w:r w:rsidRPr="000354F7">
          <w:rPr>
            <w:color w:val="0000FF"/>
            <w:u w:val="single"/>
            <w:rtl/>
          </w:rPr>
          <w:t>פקודת הסמים המסוכנים</w:t>
        </w:r>
      </w:hyperlink>
      <w:r w:rsidRPr="000354F7">
        <w:rPr>
          <w:rFonts w:hint="cs"/>
          <w:rtl/>
        </w:rPr>
        <w:t xml:space="preserve"> [נוסח חדש] תשל"ג-1973, ולבקשתו אני מורה על צירוף העבירה לתיק העיקרי.</w:t>
      </w:r>
    </w:p>
    <w:p w14:paraId="5FD36327" w14:textId="77777777" w:rsidR="00A047C6" w:rsidRPr="000354F7" w:rsidRDefault="000354F7">
      <w:pPr>
        <w:spacing w:line="360" w:lineRule="auto"/>
        <w:jc w:val="both"/>
        <w:rPr>
          <w:sz w:val="6"/>
          <w:szCs w:val="6"/>
          <w:rtl/>
        </w:rPr>
      </w:pPr>
      <w:r w:rsidRPr="000354F7">
        <w:rPr>
          <w:sz w:val="6"/>
          <w:szCs w:val="6"/>
          <w:rtl/>
        </w:rPr>
        <w:t>&lt;#3#&gt;</w:t>
      </w:r>
    </w:p>
    <w:p w14:paraId="4B8FBA3D" w14:textId="77777777" w:rsidR="00A047C6" w:rsidRPr="000354F7" w:rsidRDefault="000354F7">
      <w:pPr>
        <w:spacing w:line="360" w:lineRule="auto"/>
        <w:rPr>
          <w:rtl/>
        </w:rPr>
      </w:pPr>
      <w:r w:rsidRPr="000354F7">
        <w:rPr>
          <w:rFonts w:hint="cs"/>
          <w:b/>
          <w:bCs/>
          <w:rtl/>
        </w:rPr>
        <w:t xml:space="preserve">ניתנה והודעה היום </w:t>
      </w:r>
      <w:r w:rsidRPr="000354F7">
        <w:rPr>
          <w:rFonts w:hint="cs"/>
          <w:rtl/>
        </w:rPr>
        <w:t>כ"ט תמוז תשע"ה</w:t>
      </w:r>
      <w:r w:rsidRPr="000354F7">
        <w:rPr>
          <w:rFonts w:hint="cs"/>
          <w:b/>
          <w:bCs/>
          <w:rtl/>
        </w:rPr>
        <w:t xml:space="preserve">, </w:t>
      </w:r>
      <w:r w:rsidRPr="000354F7">
        <w:rPr>
          <w:rFonts w:hint="cs"/>
          <w:rtl/>
        </w:rPr>
        <w:t>16/07/2015</w:t>
      </w:r>
      <w:r w:rsidRPr="000354F7">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047C6" w:rsidRPr="000354F7" w14:paraId="673B2746" w14:textId="77777777">
        <w:trPr>
          <w:trHeight w:val="316"/>
          <w:jc w:val="right"/>
        </w:trPr>
        <w:tc>
          <w:tcPr>
            <w:tcW w:w="3936" w:type="dxa"/>
            <w:shd w:val="clear" w:color="auto" w:fill="auto"/>
          </w:tcPr>
          <w:p w14:paraId="63E8A5A7" w14:textId="77777777" w:rsidR="00A047C6" w:rsidRPr="000354F7" w:rsidRDefault="00A047C6">
            <w:pPr>
              <w:spacing w:line="360" w:lineRule="auto"/>
              <w:jc w:val="center"/>
              <w:rPr>
                <w:rFonts w:ascii="Times New Roman" w:eastAsia="Times New Roman" w:hAnsi="Times New Roman" w:cs="Times New Roman"/>
              </w:rPr>
            </w:pPr>
          </w:p>
          <w:p w14:paraId="6F27DC4B" w14:textId="77777777" w:rsidR="00A047C6" w:rsidRPr="000354F7" w:rsidRDefault="00A047C6">
            <w:pPr>
              <w:spacing w:line="360" w:lineRule="auto"/>
              <w:jc w:val="center"/>
              <w:rPr>
                <w:rFonts w:ascii="Times New Roman" w:eastAsia="Times New Roman" w:hAnsi="Times New Roman" w:cs="Times New Roman"/>
                <w:rtl/>
              </w:rPr>
            </w:pPr>
          </w:p>
        </w:tc>
      </w:tr>
      <w:tr w:rsidR="00A047C6" w:rsidRPr="000354F7" w14:paraId="3EBAC014" w14:textId="77777777">
        <w:trPr>
          <w:trHeight w:val="361"/>
          <w:jc w:val="right"/>
        </w:trPr>
        <w:tc>
          <w:tcPr>
            <w:tcW w:w="3936" w:type="dxa"/>
            <w:shd w:val="clear" w:color="auto" w:fill="auto"/>
          </w:tcPr>
          <w:p w14:paraId="635E9659" w14:textId="77777777" w:rsidR="00A047C6" w:rsidRPr="000354F7" w:rsidRDefault="000354F7">
            <w:pPr>
              <w:spacing w:line="360" w:lineRule="auto"/>
              <w:jc w:val="center"/>
              <w:rPr>
                <w:rFonts w:ascii="Times New Roman" w:eastAsia="Times New Roman" w:hAnsi="Times New Roman"/>
                <w:b/>
                <w:bCs/>
                <w:rtl/>
              </w:rPr>
            </w:pPr>
            <w:r w:rsidRPr="000354F7">
              <w:rPr>
                <w:rFonts w:ascii="Times New Roman" w:eastAsia="Times New Roman" w:hAnsi="Times New Roman" w:hint="cs"/>
                <w:b/>
                <w:bCs/>
                <w:rtl/>
              </w:rPr>
              <w:t>שירלי דקל נוה</w:t>
            </w:r>
            <w:r w:rsidRPr="000354F7">
              <w:rPr>
                <w:rFonts w:ascii="Times New Roman" w:eastAsia="Times New Roman" w:hAnsi="Times New Roman"/>
                <w:b/>
                <w:bCs/>
                <w:rtl/>
              </w:rPr>
              <w:t xml:space="preserve"> </w:t>
            </w:r>
            <w:r w:rsidRPr="000354F7">
              <w:rPr>
                <w:rFonts w:ascii="Times New Roman" w:eastAsia="Times New Roman" w:hAnsi="Times New Roman" w:hint="cs"/>
                <w:b/>
                <w:bCs/>
                <w:rtl/>
              </w:rPr>
              <w:t>, שופטת</w:t>
            </w:r>
            <w:r w:rsidRPr="000354F7">
              <w:rPr>
                <w:rFonts w:ascii="Times New Roman" w:eastAsia="Times New Roman" w:hAnsi="Times New Roman"/>
                <w:b/>
                <w:bCs/>
                <w:rtl/>
              </w:rPr>
              <w:t xml:space="preserve"> </w:t>
            </w:r>
          </w:p>
        </w:tc>
      </w:tr>
    </w:tbl>
    <w:p w14:paraId="1D67A0C0" w14:textId="77777777" w:rsidR="009D7670" w:rsidRDefault="009D7670" w:rsidP="000354F7">
      <w:pPr>
        <w:spacing w:line="360" w:lineRule="auto"/>
        <w:jc w:val="center"/>
        <w:rPr>
          <w:rFonts w:ascii="Arial" w:hAnsi="Arial"/>
          <w:sz w:val="28"/>
          <w:szCs w:val="28"/>
          <w:rtl/>
        </w:rPr>
      </w:pPr>
      <w:bookmarkStart w:id="4" w:name="PsakDin"/>
      <w:bookmarkStart w:id="5" w:name="LawTable"/>
      <w:bookmarkEnd w:id="0"/>
      <w:bookmarkEnd w:id="5"/>
    </w:p>
    <w:p w14:paraId="2B8EA54A" w14:textId="77777777" w:rsidR="009D7670" w:rsidRPr="009D7670" w:rsidRDefault="009D7670" w:rsidP="009D7670">
      <w:pPr>
        <w:spacing w:after="120" w:line="240" w:lineRule="exact"/>
        <w:ind w:left="283" w:hanging="283"/>
        <w:jc w:val="both"/>
        <w:rPr>
          <w:rFonts w:ascii="FrankRuehl" w:hAnsi="FrankRuehl" w:cs="FrankRuehl"/>
          <w:rtl/>
        </w:rPr>
      </w:pPr>
    </w:p>
    <w:p w14:paraId="1A67E2EC" w14:textId="77777777" w:rsidR="000354F7" w:rsidRPr="000354F7" w:rsidRDefault="000354F7" w:rsidP="000354F7">
      <w:pPr>
        <w:spacing w:line="360" w:lineRule="auto"/>
        <w:jc w:val="center"/>
        <w:rPr>
          <w:rFonts w:ascii="Arial" w:hAnsi="Arial"/>
          <w:b/>
          <w:bCs/>
          <w:sz w:val="28"/>
          <w:szCs w:val="28"/>
          <w:u w:val="single"/>
          <w:rtl/>
        </w:rPr>
      </w:pPr>
      <w:r w:rsidRPr="000354F7">
        <w:rPr>
          <w:rFonts w:ascii="Arial" w:hAnsi="Arial"/>
          <w:b/>
          <w:bCs/>
          <w:sz w:val="28"/>
          <w:szCs w:val="28"/>
          <w:u w:val="single"/>
          <w:rtl/>
        </w:rPr>
        <w:lastRenderedPageBreak/>
        <w:t>גזר דין</w:t>
      </w:r>
    </w:p>
    <w:bookmarkEnd w:id="4"/>
    <w:p w14:paraId="1E7945D0" w14:textId="77777777" w:rsidR="00A047C6" w:rsidRDefault="00A047C6">
      <w:pPr>
        <w:spacing w:line="360" w:lineRule="auto"/>
        <w:jc w:val="both"/>
        <w:rPr>
          <w:rFonts w:ascii="Arial" w:hAnsi="Arial"/>
        </w:rPr>
      </w:pPr>
    </w:p>
    <w:p w14:paraId="2D77FA61" w14:textId="77777777" w:rsidR="00A047C6" w:rsidRDefault="000354F7">
      <w:pPr>
        <w:spacing w:line="360" w:lineRule="auto"/>
        <w:jc w:val="both"/>
        <w:rPr>
          <w:rtl/>
        </w:rPr>
      </w:pPr>
      <w:r>
        <w:rPr>
          <w:rFonts w:hint="cs"/>
          <w:rtl/>
        </w:rPr>
        <w:t xml:space="preserve">הנאשם הורשע בהתאם להודאתו, ובמסגרת הסדר טיעון בעבירה המיוחסת לו בכתב האישום בתיק העיקרי ובתיק שצורף , בשני המקרים בעבירה של החזקה / שימוש בסמים לצריכה עצמית. </w:t>
      </w:r>
    </w:p>
    <w:p w14:paraId="6ECD2F75" w14:textId="77777777" w:rsidR="00A047C6" w:rsidRDefault="000354F7">
      <w:pPr>
        <w:spacing w:line="360" w:lineRule="auto"/>
        <w:jc w:val="both"/>
        <w:rPr>
          <w:rtl/>
        </w:rPr>
      </w:pPr>
      <w:r>
        <w:rPr>
          <w:rFonts w:hint="cs"/>
          <w:rtl/>
        </w:rPr>
        <w:t xml:space="preserve">לפי עובדות כתב האישום בתיק העיקרי, בתאריך 18/2/14, החזיק הנאשם בתוך מגירה במטבח בביתו סם מסוג קוקאין במשקל 0.524 גרם נטו, וכן החזיק בתוך ארון הכיור שבחדר השירותים סם מסוכן מסוג קנאבוס במשקל 0.24 גרם נטו. </w:t>
      </w:r>
    </w:p>
    <w:p w14:paraId="50A27BA3" w14:textId="77777777" w:rsidR="00A047C6" w:rsidRDefault="00A047C6">
      <w:pPr>
        <w:spacing w:line="360" w:lineRule="auto"/>
        <w:jc w:val="both"/>
        <w:rPr>
          <w:rtl/>
        </w:rPr>
      </w:pPr>
    </w:p>
    <w:p w14:paraId="046DF7DB" w14:textId="77777777" w:rsidR="00A047C6" w:rsidRDefault="000354F7">
      <w:pPr>
        <w:spacing w:line="360" w:lineRule="auto"/>
        <w:jc w:val="both"/>
        <w:rPr>
          <w:rtl/>
        </w:rPr>
      </w:pPr>
      <w:r>
        <w:rPr>
          <w:rFonts w:hint="cs"/>
          <w:rtl/>
        </w:rPr>
        <w:t xml:space="preserve">לפי עובדות כתב האישום בתיק שצורף בתאריך 19/6/14, החזיק הנאשם סם מסוכן מסוג </w:t>
      </w:r>
      <w:r>
        <w:rPr>
          <w:rFonts w:hint="cs"/>
        </w:rPr>
        <w:t>LSD</w:t>
      </w:r>
      <w:r>
        <w:rPr>
          <w:rFonts w:hint="cs"/>
          <w:rtl/>
        </w:rPr>
        <w:t xml:space="preserve"> לצריכה עצמית. </w:t>
      </w:r>
    </w:p>
    <w:p w14:paraId="09CA45A8" w14:textId="77777777" w:rsidR="00A047C6" w:rsidRDefault="00A047C6">
      <w:pPr>
        <w:spacing w:line="360" w:lineRule="auto"/>
        <w:jc w:val="both"/>
        <w:rPr>
          <w:rtl/>
        </w:rPr>
      </w:pPr>
    </w:p>
    <w:p w14:paraId="2FDF013E" w14:textId="77777777" w:rsidR="00A047C6" w:rsidRDefault="000354F7">
      <w:pPr>
        <w:spacing w:line="360" w:lineRule="auto"/>
        <w:jc w:val="both"/>
        <w:rPr>
          <w:rtl/>
        </w:rPr>
      </w:pPr>
      <w:r>
        <w:rPr>
          <w:rFonts w:hint="cs"/>
          <w:rtl/>
        </w:rPr>
        <w:t xml:space="preserve">הצדדים הגיעו להסדר שבמסגרתו עתרו במשותף להשתת מאסר על תנאי וקנס בסך 1,500 ₪. </w:t>
      </w:r>
    </w:p>
    <w:p w14:paraId="193F7EBE" w14:textId="77777777" w:rsidR="00A047C6" w:rsidRDefault="00A047C6">
      <w:pPr>
        <w:spacing w:line="360" w:lineRule="auto"/>
        <w:jc w:val="both"/>
        <w:rPr>
          <w:rtl/>
        </w:rPr>
      </w:pPr>
    </w:p>
    <w:p w14:paraId="33EE02FC" w14:textId="77777777" w:rsidR="00A047C6" w:rsidRDefault="000354F7">
      <w:pPr>
        <w:spacing w:line="360" w:lineRule="auto"/>
        <w:jc w:val="both"/>
        <w:rPr>
          <w:rtl/>
        </w:rPr>
      </w:pPr>
      <w:r>
        <w:rPr>
          <w:rFonts w:hint="cs"/>
          <w:rtl/>
        </w:rPr>
        <w:t xml:space="preserve">באי כח הצדדים, טענו כי מדובר בהסדר ראוי והולם, לנוכח התיקונים לקולא בשני כתבי האישום והודאתו של הנאשם. </w:t>
      </w:r>
    </w:p>
    <w:p w14:paraId="4CF54DB8" w14:textId="77777777" w:rsidR="00A047C6" w:rsidRDefault="00A047C6">
      <w:pPr>
        <w:spacing w:line="360" w:lineRule="auto"/>
        <w:jc w:val="both"/>
        <w:rPr>
          <w:rtl/>
        </w:rPr>
      </w:pPr>
    </w:p>
    <w:p w14:paraId="79B37351" w14:textId="77777777" w:rsidR="00A047C6" w:rsidRDefault="000354F7">
      <w:pPr>
        <w:spacing w:line="360" w:lineRule="auto"/>
        <w:jc w:val="both"/>
        <w:rPr>
          <w:rtl/>
        </w:rPr>
      </w:pPr>
      <w:r>
        <w:rPr>
          <w:rFonts w:hint="cs"/>
          <w:rtl/>
        </w:rPr>
        <w:t>עבירות הסמים פוגעות הן בבריאות המשתמש בסמים והן בציבור בכללותו ובהתאם לפסיקה יש לנקוט ענישה מחמירה. במקרה זה, הנאשם החזיק סמים לצריכה עצמית מסוגים שונים ובמועדים שונים.</w:t>
      </w:r>
    </w:p>
    <w:p w14:paraId="745BE4B5" w14:textId="77777777" w:rsidR="00A047C6" w:rsidRDefault="00A047C6">
      <w:pPr>
        <w:spacing w:line="360" w:lineRule="auto"/>
        <w:jc w:val="both"/>
        <w:rPr>
          <w:rtl/>
        </w:rPr>
      </w:pPr>
    </w:p>
    <w:p w14:paraId="0461DE61" w14:textId="77777777" w:rsidR="00A047C6" w:rsidRDefault="000354F7">
      <w:pPr>
        <w:spacing w:line="360" w:lineRule="auto"/>
        <w:jc w:val="both"/>
        <w:rPr>
          <w:rtl/>
        </w:rPr>
      </w:pPr>
      <w:r>
        <w:rPr>
          <w:rFonts w:hint="cs"/>
          <w:rtl/>
        </w:rPr>
        <w:t xml:space="preserve">מתחם העונש ההולם את העבירות בנסיבותיהן נע בין מאסר על תנאי ברף הנמוך לבין מאסר בפועל או בעבודות שירות למשך מספר מצומצם של חודשים וכן ענישה נלווית. </w:t>
      </w:r>
    </w:p>
    <w:p w14:paraId="399CF4FF" w14:textId="77777777" w:rsidR="00A047C6" w:rsidRDefault="00A047C6">
      <w:pPr>
        <w:spacing w:line="360" w:lineRule="auto"/>
        <w:jc w:val="both"/>
        <w:rPr>
          <w:rtl/>
        </w:rPr>
      </w:pPr>
    </w:p>
    <w:p w14:paraId="556FB899" w14:textId="77777777" w:rsidR="00A047C6" w:rsidRDefault="000354F7">
      <w:pPr>
        <w:spacing w:line="360" w:lineRule="auto"/>
        <w:jc w:val="both"/>
        <w:rPr>
          <w:rtl/>
        </w:rPr>
      </w:pPr>
      <w:r>
        <w:rPr>
          <w:rFonts w:hint="cs"/>
          <w:rtl/>
        </w:rPr>
        <w:t xml:space="preserve">נאשם זה הוא בן 25 בעל עבר פלילי הכולל 3 הרשעות קודמות בעבירות נגד הרכוש, סמים, עבירות כלפי שוטרים ועובדי ציבור ועוד והוא אף ריצה מאסר בפועל בן 12 חודשים. </w:t>
      </w:r>
    </w:p>
    <w:p w14:paraId="3A0996E1" w14:textId="77777777" w:rsidR="00A047C6" w:rsidRDefault="00A047C6">
      <w:pPr>
        <w:spacing w:line="360" w:lineRule="auto"/>
        <w:jc w:val="both"/>
        <w:rPr>
          <w:rtl/>
        </w:rPr>
      </w:pPr>
    </w:p>
    <w:p w14:paraId="1CEE12A7" w14:textId="77777777" w:rsidR="00A047C6" w:rsidRDefault="000354F7">
      <w:pPr>
        <w:spacing w:line="360" w:lineRule="auto"/>
        <w:jc w:val="both"/>
      </w:pPr>
      <w:r>
        <w:rPr>
          <w:rFonts w:hint="cs"/>
          <w:rtl/>
        </w:rPr>
        <w:t xml:space="preserve">לאחר ששקלתי את כל הנסיבות הצריכות לעניין ואת טיעוני הצדדים, ובהם גילו של הנאשם, עברו הפלילי, התיקון בכתבי האישום, הודאתו של הנאשם והחסכון בזמן שיפוטי יקר ואת האינטרס הציבורי, ההסדר הינו סביר ועולה בקנה אחד עם מתחם הענישה ההולם והראוי. </w:t>
      </w:r>
    </w:p>
    <w:p w14:paraId="744E4D22" w14:textId="77777777" w:rsidR="00A047C6" w:rsidRDefault="00A047C6">
      <w:pPr>
        <w:spacing w:line="360" w:lineRule="auto"/>
        <w:jc w:val="both"/>
        <w:rPr>
          <w:rtl/>
        </w:rPr>
      </w:pPr>
    </w:p>
    <w:p w14:paraId="7AF20197" w14:textId="77777777" w:rsidR="00A047C6" w:rsidRDefault="000354F7">
      <w:pPr>
        <w:spacing w:line="360" w:lineRule="auto"/>
        <w:jc w:val="both"/>
        <w:rPr>
          <w:rtl/>
        </w:rPr>
      </w:pPr>
      <w:r>
        <w:rPr>
          <w:rFonts w:hint="cs"/>
          <w:rtl/>
        </w:rPr>
        <w:t>לפיכך, מוצאת אני לנכון לכבד את הסדר הטיעון וגוזרת על הנאשם את העונשים הבאים:</w:t>
      </w:r>
    </w:p>
    <w:p w14:paraId="313401F5" w14:textId="77777777" w:rsidR="00A047C6" w:rsidRDefault="00A047C6">
      <w:pPr>
        <w:spacing w:line="360" w:lineRule="auto"/>
        <w:jc w:val="both"/>
        <w:rPr>
          <w:sz w:val="20"/>
          <w:rtl/>
        </w:rPr>
      </w:pPr>
    </w:p>
    <w:p w14:paraId="333BD079" w14:textId="77777777" w:rsidR="00A047C6" w:rsidRDefault="000354F7">
      <w:pPr>
        <w:spacing w:line="360" w:lineRule="auto"/>
        <w:ind w:left="720" w:hanging="720"/>
        <w:jc w:val="both"/>
      </w:pPr>
      <w:r>
        <w:rPr>
          <w:rFonts w:hint="cs"/>
          <w:rtl/>
        </w:rPr>
        <w:t>א)</w:t>
      </w:r>
      <w:r>
        <w:rPr>
          <w:rFonts w:hint="cs"/>
          <w:rtl/>
        </w:rPr>
        <w:tab/>
        <w:t xml:space="preserve">מאסר על תנאי למשך 6 חודשים, והנאשם לא יישא בעונש זה אלא אם כן יעבור בתוך שלוש שנים מהיום עבירה על </w:t>
      </w:r>
      <w:hyperlink r:id="rId12" w:history="1">
        <w:r w:rsidRPr="000354F7">
          <w:rPr>
            <w:color w:val="0000FF"/>
            <w:u w:val="single"/>
            <w:rtl/>
          </w:rPr>
          <w:t>פקודת הסמים המסוכנים</w:t>
        </w:r>
      </w:hyperlink>
      <w:r>
        <w:rPr>
          <w:rFonts w:hint="cs"/>
          <w:rtl/>
        </w:rPr>
        <w:t xml:space="preserve"> מסוג פשע. </w:t>
      </w:r>
    </w:p>
    <w:p w14:paraId="18B97BD7" w14:textId="77777777" w:rsidR="00A047C6" w:rsidRDefault="00A047C6">
      <w:pPr>
        <w:spacing w:line="360" w:lineRule="auto"/>
        <w:ind w:left="720" w:hanging="720"/>
        <w:jc w:val="both"/>
        <w:rPr>
          <w:rtl/>
        </w:rPr>
      </w:pPr>
    </w:p>
    <w:p w14:paraId="1ED09E54" w14:textId="77777777" w:rsidR="00A047C6" w:rsidRDefault="000354F7">
      <w:pPr>
        <w:spacing w:line="360" w:lineRule="auto"/>
        <w:ind w:left="720" w:hanging="720"/>
        <w:jc w:val="both"/>
      </w:pPr>
      <w:r>
        <w:rPr>
          <w:rFonts w:hint="cs"/>
          <w:rtl/>
        </w:rPr>
        <w:t>ב)</w:t>
      </w:r>
      <w:r>
        <w:rPr>
          <w:rFonts w:hint="cs"/>
          <w:rtl/>
        </w:rPr>
        <w:tab/>
        <w:t xml:space="preserve">מאסר על תנאי למשך 3 חודשים, והנאשם לא יישא בעונש זה אלא אם כן יעבור בתוך שלוש שנים מהיום עבירה על </w:t>
      </w:r>
      <w:hyperlink r:id="rId13" w:history="1">
        <w:r w:rsidRPr="000354F7">
          <w:rPr>
            <w:color w:val="0000FF"/>
            <w:u w:val="single"/>
            <w:rtl/>
          </w:rPr>
          <w:t>פקודת הסמים המסוכנים</w:t>
        </w:r>
      </w:hyperlink>
      <w:r>
        <w:rPr>
          <w:rFonts w:hint="cs"/>
          <w:rtl/>
        </w:rPr>
        <w:t xml:space="preserve"> מסוג עוון. </w:t>
      </w:r>
    </w:p>
    <w:p w14:paraId="4456D156" w14:textId="77777777" w:rsidR="00A047C6" w:rsidRDefault="00A047C6">
      <w:pPr>
        <w:spacing w:line="360" w:lineRule="auto"/>
        <w:ind w:left="720" w:hanging="720"/>
        <w:jc w:val="both"/>
        <w:rPr>
          <w:rtl/>
        </w:rPr>
      </w:pPr>
    </w:p>
    <w:p w14:paraId="51A99B65" w14:textId="77777777" w:rsidR="00A047C6" w:rsidRDefault="000354F7">
      <w:pPr>
        <w:spacing w:line="360" w:lineRule="auto"/>
        <w:ind w:left="720" w:hanging="720"/>
        <w:jc w:val="both"/>
        <w:rPr>
          <w:rtl/>
        </w:rPr>
      </w:pPr>
      <w:r>
        <w:rPr>
          <w:rFonts w:hint="cs"/>
          <w:rtl/>
        </w:rPr>
        <w:t>ג)</w:t>
      </w:r>
      <w:r>
        <w:rPr>
          <w:rFonts w:hint="cs"/>
          <w:rtl/>
        </w:rPr>
        <w:tab/>
        <w:t>קנס כספי בסך 1,500 ₪ או 15 ימי מאסר תמורתו.</w:t>
      </w:r>
    </w:p>
    <w:p w14:paraId="72BB52A5" w14:textId="77777777" w:rsidR="00A047C6" w:rsidRDefault="000354F7">
      <w:pPr>
        <w:spacing w:line="360" w:lineRule="auto"/>
        <w:ind w:left="720" w:hanging="720"/>
        <w:jc w:val="both"/>
        <w:rPr>
          <w:rtl/>
        </w:rPr>
      </w:pPr>
      <w:r>
        <w:rPr>
          <w:rFonts w:hint="cs"/>
          <w:rtl/>
        </w:rPr>
        <w:tab/>
      </w:r>
    </w:p>
    <w:p w14:paraId="175E85CC" w14:textId="77777777" w:rsidR="00A047C6" w:rsidRDefault="000354F7">
      <w:pPr>
        <w:spacing w:line="360" w:lineRule="auto"/>
        <w:ind w:left="720"/>
        <w:jc w:val="both"/>
        <w:rPr>
          <w:rtl/>
        </w:rPr>
      </w:pPr>
      <w:r>
        <w:rPr>
          <w:rFonts w:hint="cs"/>
          <w:rtl/>
        </w:rPr>
        <w:t xml:space="preserve">הקנס ישולם בשני תשלומים שווים, האחד לא יאוחר מיום 1/8/15 והשני לא יאוחר מיום 1/9/15. </w:t>
      </w:r>
    </w:p>
    <w:p w14:paraId="203F8E58" w14:textId="77777777" w:rsidR="00A047C6" w:rsidRDefault="00A047C6">
      <w:pPr>
        <w:spacing w:line="360" w:lineRule="auto"/>
        <w:ind w:left="720" w:hanging="720"/>
        <w:jc w:val="both"/>
        <w:rPr>
          <w:rtl/>
        </w:rPr>
      </w:pPr>
    </w:p>
    <w:p w14:paraId="41449864" w14:textId="77777777" w:rsidR="00A047C6" w:rsidRDefault="000354F7">
      <w:pPr>
        <w:spacing w:line="360" w:lineRule="auto"/>
        <w:ind w:left="720"/>
        <w:jc w:val="both"/>
        <w:rPr>
          <w:rtl/>
        </w:rPr>
      </w:pPr>
      <w:r>
        <w:rPr>
          <w:rFonts w:hint="cs"/>
          <w:rtl/>
        </w:rPr>
        <w:t xml:space="preserve">באם תשלום אחד מן התשלומים לא יפרע במועדו או במלואו, יעמוד כל הקנס או יתרתו לפירעון מידי.  </w:t>
      </w:r>
    </w:p>
    <w:p w14:paraId="7F9706AC" w14:textId="77777777" w:rsidR="00A047C6" w:rsidRDefault="00A047C6">
      <w:pPr>
        <w:spacing w:line="360" w:lineRule="auto"/>
        <w:ind w:left="720"/>
        <w:jc w:val="both"/>
        <w:rPr>
          <w:rtl/>
        </w:rPr>
      </w:pPr>
    </w:p>
    <w:p w14:paraId="5FE7E639" w14:textId="77777777" w:rsidR="00A047C6" w:rsidRDefault="000354F7">
      <w:pPr>
        <w:spacing w:line="360" w:lineRule="auto"/>
        <w:jc w:val="both"/>
        <w:rPr>
          <w:b/>
          <w:bCs/>
          <w:rtl/>
        </w:rPr>
      </w:pPr>
      <w:r>
        <w:rPr>
          <w:rFonts w:hint="cs"/>
          <w:b/>
          <w:bCs/>
          <w:rtl/>
        </w:rPr>
        <w:t xml:space="preserve">הנאשם יפנה למזכירות בית-המשפט לקבלת שוברים לתשלום הקנס. </w:t>
      </w:r>
    </w:p>
    <w:p w14:paraId="5E780EB8" w14:textId="77777777" w:rsidR="00A047C6" w:rsidRDefault="00A047C6">
      <w:pPr>
        <w:spacing w:line="360" w:lineRule="auto"/>
        <w:jc w:val="both"/>
        <w:rPr>
          <w:b/>
          <w:bCs/>
          <w:rtl/>
        </w:rPr>
      </w:pPr>
    </w:p>
    <w:p w14:paraId="3ED985E8" w14:textId="77777777" w:rsidR="00A047C6" w:rsidRDefault="000354F7">
      <w:pPr>
        <w:spacing w:line="360" w:lineRule="auto"/>
        <w:jc w:val="both"/>
        <w:rPr>
          <w:b/>
          <w:bCs/>
          <w:u w:val="single"/>
        </w:rPr>
      </w:pPr>
      <w:r>
        <w:rPr>
          <w:rFonts w:hint="cs"/>
          <w:b/>
          <w:bCs/>
          <w:u w:val="single"/>
          <w:rtl/>
        </w:rPr>
        <w:t>זכות ערעור לבית המשפט מחוזי מרכז – לוד תוך 45 ימים מהיום.</w:t>
      </w:r>
    </w:p>
    <w:p w14:paraId="39F2DFB0" w14:textId="77777777" w:rsidR="00A047C6" w:rsidRDefault="00A047C6">
      <w:pPr>
        <w:spacing w:line="360" w:lineRule="auto"/>
        <w:jc w:val="both"/>
        <w:rPr>
          <w:b/>
          <w:bCs/>
          <w:u w:val="single"/>
          <w:rtl/>
        </w:rPr>
      </w:pPr>
    </w:p>
    <w:p w14:paraId="357C2493" w14:textId="77777777" w:rsidR="00A047C6" w:rsidRDefault="00A047C6">
      <w:pPr>
        <w:spacing w:line="360" w:lineRule="auto"/>
        <w:jc w:val="both"/>
        <w:rPr>
          <w:rtl/>
        </w:rPr>
      </w:pPr>
    </w:p>
    <w:p w14:paraId="7693F9BC" w14:textId="77777777" w:rsidR="00A047C6" w:rsidRDefault="000354F7">
      <w:pPr>
        <w:spacing w:line="360" w:lineRule="auto"/>
        <w:jc w:val="both"/>
        <w:rPr>
          <w:sz w:val="6"/>
          <w:szCs w:val="6"/>
          <w:rtl/>
        </w:rPr>
      </w:pPr>
      <w:r>
        <w:rPr>
          <w:sz w:val="6"/>
          <w:szCs w:val="6"/>
          <w:rtl/>
        </w:rPr>
        <w:t>&lt;#5#&gt;</w:t>
      </w:r>
    </w:p>
    <w:p w14:paraId="25E09570" w14:textId="77777777" w:rsidR="00A047C6" w:rsidRDefault="00A047C6">
      <w:pPr>
        <w:spacing w:line="360" w:lineRule="auto"/>
        <w:jc w:val="right"/>
        <w:rPr>
          <w:rtl/>
        </w:rPr>
      </w:pPr>
    </w:p>
    <w:p w14:paraId="33D1B225" w14:textId="77777777" w:rsidR="00A047C6" w:rsidRDefault="000354F7">
      <w:pPr>
        <w:spacing w:line="360" w:lineRule="auto"/>
        <w:jc w:val="center"/>
        <w:rPr>
          <w:rtl/>
        </w:rPr>
      </w:pPr>
      <w:r w:rsidRPr="000354F7">
        <w:rPr>
          <w:b/>
          <w:bCs/>
          <w:color w:val="FFFFFF"/>
          <w:sz w:val="2"/>
          <w:szCs w:val="2"/>
          <w:rtl/>
        </w:rPr>
        <w:t>5129371</w:t>
      </w:r>
      <w:r>
        <w:rPr>
          <w:b/>
          <w:bCs/>
          <w:rtl/>
        </w:rPr>
        <w:t xml:space="preserve">ניתן והודע היום כ"ט תמוז תשע"ה, 16/07/2015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047C6" w14:paraId="3923D632" w14:textId="77777777">
        <w:trPr>
          <w:trHeight w:val="316"/>
          <w:jc w:val="right"/>
        </w:trPr>
        <w:tc>
          <w:tcPr>
            <w:tcW w:w="3936" w:type="dxa"/>
            <w:shd w:val="clear" w:color="auto" w:fill="auto"/>
          </w:tcPr>
          <w:p w14:paraId="0EAC01B9" w14:textId="77777777" w:rsidR="00A047C6" w:rsidRPr="000354F7" w:rsidRDefault="000354F7">
            <w:pPr>
              <w:spacing w:line="360" w:lineRule="auto"/>
              <w:jc w:val="center"/>
              <w:rPr>
                <w:rFonts w:ascii="Times New Roman" w:eastAsia="Times New Roman" w:hAnsi="Times New Roman" w:cs="Times New Roman"/>
                <w:color w:val="FFFFFF"/>
                <w:sz w:val="2"/>
                <w:szCs w:val="2"/>
              </w:rPr>
            </w:pPr>
            <w:r w:rsidRPr="000354F7">
              <w:rPr>
                <w:rFonts w:ascii="Times New Roman" w:eastAsia="Times New Roman" w:hAnsi="Times New Roman" w:cs="Times New Roman"/>
                <w:color w:val="FFFFFF"/>
                <w:sz w:val="2"/>
                <w:szCs w:val="2"/>
                <w:rtl/>
              </w:rPr>
              <w:t>54678313</w:t>
            </w:r>
          </w:p>
          <w:p w14:paraId="77CAC63C" w14:textId="77777777" w:rsidR="00A047C6" w:rsidRDefault="00A047C6">
            <w:pPr>
              <w:spacing w:line="360" w:lineRule="auto"/>
              <w:jc w:val="center"/>
              <w:rPr>
                <w:rFonts w:ascii="Times New Roman" w:eastAsia="Times New Roman" w:hAnsi="Times New Roman" w:cs="Times New Roman"/>
                <w:rtl/>
              </w:rPr>
            </w:pPr>
          </w:p>
        </w:tc>
      </w:tr>
      <w:tr w:rsidR="00A047C6" w14:paraId="723A7AB0" w14:textId="77777777">
        <w:trPr>
          <w:trHeight w:val="361"/>
          <w:jc w:val="right"/>
        </w:trPr>
        <w:tc>
          <w:tcPr>
            <w:tcW w:w="3936" w:type="dxa"/>
            <w:shd w:val="clear" w:color="auto" w:fill="auto"/>
          </w:tcPr>
          <w:p w14:paraId="2EDD134F" w14:textId="77777777" w:rsidR="00A047C6" w:rsidRDefault="000354F7">
            <w:pPr>
              <w:spacing w:line="360" w:lineRule="auto"/>
              <w:jc w:val="center"/>
              <w:rPr>
                <w:rFonts w:ascii="Times New Roman" w:eastAsia="Times New Roman" w:hAnsi="Times New Roman"/>
                <w:b/>
                <w:bCs/>
                <w:rtl/>
              </w:rPr>
            </w:pPr>
            <w:r>
              <w:rPr>
                <w:rFonts w:ascii="Times New Roman" w:eastAsia="Times New Roman" w:hAnsi="Times New Roman" w:hint="cs"/>
                <w:b/>
                <w:bCs/>
                <w:rtl/>
              </w:rPr>
              <w:t>שירלי דקל נוה</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4881AC98" w14:textId="77777777" w:rsidR="00A047C6" w:rsidRDefault="00A047C6">
      <w:pPr>
        <w:spacing w:line="360" w:lineRule="auto"/>
        <w:jc w:val="right"/>
        <w:rPr>
          <w:rtl/>
        </w:rPr>
      </w:pPr>
    </w:p>
    <w:p w14:paraId="31C72A65" w14:textId="77777777" w:rsidR="00A047C6" w:rsidRDefault="00A047C6">
      <w:pPr>
        <w:spacing w:line="360" w:lineRule="auto"/>
        <w:jc w:val="both"/>
        <w:rPr>
          <w:rtl/>
        </w:rPr>
      </w:pPr>
    </w:p>
    <w:p w14:paraId="40B2431A" w14:textId="77777777" w:rsidR="00A047C6" w:rsidRDefault="000354F7">
      <w:r>
        <w:rPr>
          <w:rtl/>
        </w:rPr>
        <w:t>הוקלד</w:t>
      </w:r>
      <w:r>
        <w:t xml:space="preserve"> </w:t>
      </w:r>
      <w:r>
        <w:rPr>
          <w:rtl/>
        </w:rPr>
        <w:t>על</w:t>
      </w:r>
      <w:r>
        <w:t xml:space="preserve"> </w:t>
      </w:r>
      <w:r>
        <w:rPr>
          <w:rtl/>
        </w:rPr>
        <w:t>ידי</w:t>
      </w:r>
      <w:r>
        <w:t xml:space="preserve"> </w:t>
      </w:r>
      <w:r>
        <w:rPr>
          <w:rtl/>
        </w:rPr>
        <w:t>איילין</w:t>
      </w:r>
      <w:r>
        <w:t xml:space="preserve"> </w:t>
      </w:r>
      <w:r>
        <w:rPr>
          <w:rtl/>
        </w:rPr>
        <w:t>אלון</w:t>
      </w:r>
    </w:p>
    <w:p w14:paraId="11C51131" w14:textId="77777777" w:rsidR="000354F7" w:rsidRPr="000354F7" w:rsidRDefault="000354F7" w:rsidP="000354F7">
      <w:pPr>
        <w:keepNext/>
        <w:rPr>
          <w:color w:val="000000"/>
          <w:sz w:val="22"/>
          <w:szCs w:val="22"/>
          <w:rtl/>
        </w:rPr>
      </w:pPr>
    </w:p>
    <w:p w14:paraId="503148FC" w14:textId="77777777" w:rsidR="000354F7" w:rsidRPr="000354F7" w:rsidRDefault="000354F7" w:rsidP="000354F7">
      <w:pPr>
        <w:keepNext/>
        <w:rPr>
          <w:color w:val="000000"/>
          <w:sz w:val="22"/>
          <w:szCs w:val="22"/>
          <w:rtl/>
        </w:rPr>
      </w:pPr>
      <w:r w:rsidRPr="000354F7">
        <w:rPr>
          <w:color w:val="000000"/>
          <w:sz w:val="22"/>
          <w:szCs w:val="22"/>
          <w:rtl/>
        </w:rPr>
        <w:t>שירלי דקל נוה 54678313</w:t>
      </w:r>
    </w:p>
    <w:p w14:paraId="0DC9D0A1" w14:textId="77777777" w:rsidR="000354F7" w:rsidRDefault="000354F7" w:rsidP="000354F7">
      <w:r w:rsidRPr="000354F7">
        <w:rPr>
          <w:color w:val="000000"/>
          <w:rtl/>
        </w:rPr>
        <w:t>נוסח מסמך זה כפוף לשינויי ניסוח ועריכה</w:t>
      </w:r>
    </w:p>
    <w:p w14:paraId="1255653E" w14:textId="77777777" w:rsidR="000354F7" w:rsidRDefault="000354F7" w:rsidP="000354F7">
      <w:pPr>
        <w:rPr>
          <w:rtl/>
        </w:rPr>
      </w:pPr>
    </w:p>
    <w:p w14:paraId="7119AA33" w14:textId="77777777" w:rsidR="000354F7" w:rsidRDefault="000354F7" w:rsidP="000354F7">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00A36CF4" w14:textId="77777777" w:rsidR="00A047C6" w:rsidRPr="000354F7" w:rsidRDefault="00A047C6" w:rsidP="000354F7">
      <w:pPr>
        <w:jc w:val="center"/>
        <w:rPr>
          <w:color w:val="0000FF"/>
          <w:u w:val="single"/>
        </w:rPr>
      </w:pPr>
    </w:p>
    <w:sectPr w:rsidR="00A047C6" w:rsidRPr="000354F7" w:rsidSect="000354F7">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E7A55" w14:textId="77777777" w:rsidR="00E00485" w:rsidRDefault="00E00485">
      <w:r>
        <w:separator/>
      </w:r>
    </w:p>
  </w:endnote>
  <w:endnote w:type="continuationSeparator" w:id="0">
    <w:p w14:paraId="3367F922" w14:textId="77777777" w:rsidR="00E00485" w:rsidRDefault="00E00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ECE3F" w14:textId="77777777" w:rsidR="00E00485" w:rsidRDefault="00E00485" w:rsidP="000354F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F4AF929" w14:textId="77777777" w:rsidR="00E00485" w:rsidRPr="000354F7" w:rsidRDefault="00E00485" w:rsidP="000354F7">
    <w:pPr>
      <w:pStyle w:val="a5"/>
      <w:pBdr>
        <w:top w:val="single" w:sz="4" w:space="1" w:color="auto"/>
        <w:between w:val="single" w:sz="4" w:space="0" w:color="auto"/>
      </w:pBdr>
      <w:spacing w:after="60"/>
      <w:jc w:val="center"/>
      <w:rPr>
        <w:rFonts w:ascii="FrankRuehl" w:hAnsi="FrankRuehl" w:cs="FrankRuehl"/>
        <w:color w:val="000000"/>
      </w:rPr>
    </w:pPr>
    <w:r w:rsidRPr="000354F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62ACB" w14:textId="77777777" w:rsidR="00E00485" w:rsidRDefault="00E00485" w:rsidP="000354F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7D54">
      <w:rPr>
        <w:rFonts w:ascii="FrankRuehl" w:hAnsi="FrankRuehl" w:cs="FrankRuehl"/>
        <w:noProof/>
        <w:rtl/>
      </w:rPr>
      <w:t>1</w:t>
    </w:r>
    <w:r>
      <w:rPr>
        <w:rFonts w:ascii="FrankRuehl" w:hAnsi="FrankRuehl" w:cs="FrankRuehl"/>
        <w:rtl/>
      </w:rPr>
      <w:fldChar w:fldCharType="end"/>
    </w:r>
  </w:p>
  <w:p w14:paraId="682483FD" w14:textId="77777777" w:rsidR="00E00485" w:rsidRPr="000354F7" w:rsidRDefault="00E00485" w:rsidP="000354F7">
    <w:pPr>
      <w:pStyle w:val="a5"/>
      <w:pBdr>
        <w:top w:val="single" w:sz="4" w:space="1" w:color="auto"/>
        <w:between w:val="single" w:sz="4" w:space="0" w:color="auto"/>
      </w:pBdr>
      <w:spacing w:after="60"/>
      <w:jc w:val="center"/>
      <w:rPr>
        <w:rFonts w:ascii="FrankRuehl" w:hAnsi="FrankRuehl" w:cs="FrankRuehl"/>
        <w:color w:val="000000"/>
      </w:rPr>
    </w:pPr>
    <w:r w:rsidRPr="000354F7">
      <w:rPr>
        <w:rFonts w:ascii="FrankRuehl" w:hAnsi="FrankRuehl" w:cs="FrankRuehl"/>
        <w:color w:val="000000"/>
      </w:rPr>
      <w:pict w14:anchorId="132407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7595F" w14:textId="77777777" w:rsidR="00E00485" w:rsidRDefault="00E00485">
      <w:r>
        <w:separator/>
      </w:r>
    </w:p>
  </w:footnote>
  <w:footnote w:type="continuationSeparator" w:id="0">
    <w:p w14:paraId="4F681A8C" w14:textId="77777777" w:rsidR="00E00485" w:rsidRDefault="00E00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4713E" w14:textId="77777777" w:rsidR="00E00485" w:rsidRPr="000354F7" w:rsidRDefault="00E00485" w:rsidP="000354F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2147-04-15</w:t>
    </w:r>
    <w:r>
      <w:rPr>
        <w:color w:val="000000"/>
        <w:sz w:val="22"/>
        <w:szCs w:val="22"/>
        <w:rtl/>
      </w:rPr>
      <w:tab/>
      <w:t xml:space="preserve"> מדינת ישראל נ' אריס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55CA2" w14:textId="77777777" w:rsidR="00E00485" w:rsidRPr="000354F7" w:rsidRDefault="00E00485" w:rsidP="000354F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2147-04-15</w:t>
    </w:r>
    <w:r>
      <w:rPr>
        <w:color w:val="000000"/>
        <w:sz w:val="22"/>
        <w:szCs w:val="22"/>
        <w:rtl/>
      </w:rPr>
      <w:tab/>
      <w:t xml:space="preserve"> מדינת ישראל נ' אריס פרץ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47C6"/>
    <w:rsid w:val="000354F7"/>
    <w:rsid w:val="00193AE6"/>
    <w:rsid w:val="004229DD"/>
    <w:rsid w:val="006F5C14"/>
    <w:rsid w:val="009D7670"/>
    <w:rsid w:val="00A047C6"/>
    <w:rsid w:val="00C86901"/>
    <w:rsid w:val="00E00485"/>
    <w:rsid w:val="00E17D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87175D"/>
  <w15:chartTrackingRefBased/>
  <w15:docId w15:val="{ED31380B-545E-45C1-A8A4-51E2062B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47C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A047C6"/>
  </w:style>
  <w:style w:type="paragraph" w:styleId="a4">
    <w:name w:val="header"/>
    <w:basedOn w:val="a"/>
    <w:rsid w:val="00A047C6"/>
    <w:pPr>
      <w:tabs>
        <w:tab w:val="center" w:pos="4153"/>
        <w:tab w:val="right" w:pos="8306"/>
      </w:tabs>
    </w:pPr>
  </w:style>
  <w:style w:type="paragraph" w:styleId="a5">
    <w:name w:val="footer"/>
    <w:basedOn w:val="a"/>
    <w:rsid w:val="00A047C6"/>
    <w:pPr>
      <w:tabs>
        <w:tab w:val="center" w:pos="4153"/>
        <w:tab w:val="right" w:pos="8306"/>
      </w:tabs>
    </w:pPr>
  </w:style>
  <w:style w:type="character" w:styleId="a6">
    <w:name w:val="page number"/>
    <w:basedOn w:val="a0"/>
    <w:rsid w:val="00A047C6"/>
  </w:style>
  <w:style w:type="character" w:customStyle="1" w:styleId="TimesNewRomanTimesNewRoman">
    <w:name w:val="סגנון (לטיני) Times New Roman (עברית ושפות אחרות) Times New Roman..."/>
    <w:rsid w:val="00A047C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047C6"/>
    <w:rPr>
      <w:rFonts w:ascii="Times New Roman" w:eastAsia="Times New Roman" w:hAnsi="Times New Roman"/>
      <w:b/>
      <w:bCs/>
      <w:u w:val="single"/>
    </w:rPr>
  </w:style>
  <w:style w:type="paragraph" w:styleId="a7">
    <w:name w:val="Body Text"/>
    <w:basedOn w:val="a"/>
    <w:link w:val="a8"/>
    <w:rsid w:val="00A047C6"/>
    <w:pPr>
      <w:snapToGrid w:val="0"/>
      <w:spacing w:line="360" w:lineRule="auto"/>
      <w:ind w:right="720"/>
    </w:pPr>
    <w:rPr>
      <w:rFonts w:ascii="Times New Roman" w:eastAsia="Times New Roman" w:hAnsi="Times New Roman" w:cs="Times New Roman"/>
      <w:sz w:val="22"/>
      <w:lang w:eastAsia="he-IL"/>
    </w:rPr>
  </w:style>
  <w:style w:type="character" w:customStyle="1" w:styleId="a8">
    <w:name w:val="גוף טקסט תו"/>
    <w:link w:val="a7"/>
    <w:rsid w:val="00A047C6"/>
    <w:rPr>
      <w:sz w:val="22"/>
      <w:szCs w:val="24"/>
      <w:lang w:val="en-US" w:eastAsia="he-IL" w:bidi="he-IL"/>
    </w:rPr>
  </w:style>
  <w:style w:type="character" w:styleId="Hyperlink">
    <w:name w:val="Hyperlink"/>
    <w:basedOn w:val="a0"/>
    <w:rsid w:val="00035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4216/7.c"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3475</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2025-04-22T22:40:00Z</dcterms:created>
  <dcterms:modified xsi:type="dcterms:W3CDTF">2025-04-22T22:40:00Z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2147;16277</vt:lpwstr>
  </property>
  <property fmtid="{D5CDD505-2E9C-101B-9397-08002B2CF9AE}" pid="6" name="NEWPARTB">
    <vt:lpwstr>04;07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אריס פרץ</vt:lpwstr>
  </property>
  <property fmtid="{D5CDD505-2E9C-101B-9397-08002B2CF9AE}" pid="10" name="LAWYER">
    <vt:lpwstr>פרטוק;קריטי;לעונש</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20150716</vt:lpwstr>
  </property>
  <property fmtid="{D5CDD505-2E9C-101B-9397-08002B2CF9AE}" pid="14" name="TYPE_N_DATE">
    <vt:lpwstr>38020150716</vt:lpwstr>
  </property>
  <property fmtid="{D5CDD505-2E9C-101B-9397-08002B2CF9AE}" pid="15" name="WORDNUMPAGES">
    <vt:lpwstr>3</vt:lpwstr>
  </property>
  <property fmtid="{D5CDD505-2E9C-101B-9397-08002B2CF9AE}" pid="16" name="TYPE_ABS_DATE">
    <vt:lpwstr>380020150716</vt:lpwstr>
  </property>
  <property fmtid="{D5CDD505-2E9C-101B-9397-08002B2CF9AE}" pid="17" name="LAWLISTTMP1">
    <vt:lpwstr>4216/007.a;007.c</vt:lpwstr>
  </property>
</Properties>
</file>