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EC41B8" w:rsidRPr="00DA4A3F" w14:paraId="50AF72EC" w14:textId="77777777">
        <w:trPr>
          <w:trHeight w:hRule="exact" w:val="418"/>
          <w:jc w:val="center"/>
        </w:trPr>
        <w:tc>
          <w:tcPr>
            <w:tcW w:w="8720" w:type="dxa"/>
            <w:gridSpan w:val="3"/>
          </w:tcPr>
          <w:p w14:paraId="1DAB5382" w14:textId="77777777" w:rsidR="00EC41B8" w:rsidRPr="00DA4A3F" w:rsidRDefault="00DA4A3F">
            <w:pPr>
              <w:pStyle w:val="a4"/>
              <w:tabs>
                <w:tab w:val="clear" w:pos="8306"/>
              </w:tabs>
              <w:jc w:val="center"/>
              <w:rPr>
                <w:rFonts w:ascii="Tahoma" w:hAnsi="Tahoma" w:cs="Tahoma"/>
                <w:b/>
                <w:bCs/>
                <w:color w:val="000080"/>
                <w:sz w:val="20"/>
                <w:szCs w:val="20"/>
                <w:rtl/>
              </w:rPr>
            </w:pPr>
            <w:r w:rsidRPr="00DA4A3F">
              <w:rPr>
                <w:rFonts w:ascii="Tahoma" w:hAnsi="Tahoma" w:cs="Tahoma"/>
                <w:b/>
                <w:bCs/>
                <w:color w:val="000080"/>
                <w:sz w:val="20"/>
                <w:szCs w:val="20"/>
                <w:rtl/>
              </w:rPr>
              <w:t>בית משפט השלום ברמלה</w:t>
            </w:r>
          </w:p>
        </w:tc>
      </w:tr>
      <w:tr w:rsidR="00EC41B8" w:rsidRPr="00DA4A3F" w14:paraId="7E077301" w14:textId="77777777">
        <w:trPr>
          <w:trHeight w:val="337"/>
          <w:jc w:val="center"/>
        </w:trPr>
        <w:tc>
          <w:tcPr>
            <w:tcW w:w="3973" w:type="dxa"/>
          </w:tcPr>
          <w:p w14:paraId="75D8B99F" w14:textId="77777777" w:rsidR="00EC41B8" w:rsidRPr="00DA4A3F" w:rsidRDefault="00DA4A3F">
            <w:pPr>
              <w:rPr>
                <w:b/>
                <w:bCs/>
                <w:sz w:val="26"/>
                <w:szCs w:val="26"/>
                <w:rtl/>
              </w:rPr>
            </w:pPr>
            <w:r w:rsidRPr="00DA4A3F">
              <w:rPr>
                <w:b/>
                <w:bCs/>
                <w:sz w:val="26"/>
                <w:szCs w:val="26"/>
                <w:rtl/>
              </w:rPr>
              <w:t>ת"פ</w:t>
            </w:r>
            <w:r w:rsidRPr="00DA4A3F">
              <w:rPr>
                <w:rFonts w:hint="cs"/>
                <w:b/>
                <w:bCs/>
                <w:sz w:val="26"/>
                <w:szCs w:val="26"/>
                <w:rtl/>
              </w:rPr>
              <w:t xml:space="preserve"> </w:t>
            </w:r>
            <w:r w:rsidRPr="00DA4A3F">
              <w:rPr>
                <w:b/>
                <w:bCs/>
                <w:sz w:val="26"/>
                <w:szCs w:val="26"/>
                <w:rtl/>
              </w:rPr>
              <w:t>21938-04-15</w:t>
            </w:r>
            <w:r w:rsidRPr="00DA4A3F">
              <w:rPr>
                <w:rFonts w:hint="cs"/>
                <w:b/>
                <w:bCs/>
                <w:sz w:val="26"/>
                <w:szCs w:val="26"/>
                <w:rtl/>
              </w:rPr>
              <w:t xml:space="preserve"> </w:t>
            </w:r>
            <w:r w:rsidRPr="00DA4A3F">
              <w:rPr>
                <w:b/>
                <w:bCs/>
                <w:sz w:val="26"/>
                <w:szCs w:val="26"/>
                <w:rtl/>
              </w:rPr>
              <w:t>מדינת ישראל נ' אל עליוי</w:t>
            </w:r>
          </w:p>
          <w:p w14:paraId="16560C90" w14:textId="77777777" w:rsidR="00EC41B8" w:rsidRPr="00DA4A3F" w:rsidRDefault="00DA4A3F">
            <w:pPr>
              <w:rPr>
                <w:b/>
                <w:bCs/>
                <w:sz w:val="26"/>
                <w:szCs w:val="26"/>
                <w:rtl/>
              </w:rPr>
            </w:pPr>
            <w:r w:rsidRPr="00DA4A3F">
              <w:rPr>
                <w:b/>
                <w:bCs/>
                <w:sz w:val="26"/>
                <w:szCs w:val="26"/>
                <w:rtl/>
              </w:rPr>
              <w:t>ת"פ</w:t>
            </w:r>
            <w:r w:rsidRPr="00DA4A3F">
              <w:rPr>
                <w:rFonts w:hint="cs"/>
                <w:b/>
                <w:bCs/>
                <w:sz w:val="26"/>
                <w:szCs w:val="26"/>
                <w:rtl/>
              </w:rPr>
              <w:t xml:space="preserve"> </w:t>
            </w:r>
            <w:r w:rsidRPr="00DA4A3F">
              <w:rPr>
                <w:b/>
                <w:bCs/>
                <w:sz w:val="26"/>
                <w:szCs w:val="26"/>
                <w:rtl/>
              </w:rPr>
              <w:t>22335-07-15</w:t>
            </w:r>
            <w:r w:rsidRPr="00DA4A3F">
              <w:rPr>
                <w:rFonts w:hint="cs"/>
                <w:b/>
                <w:bCs/>
                <w:sz w:val="26"/>
                <w:szCs w:val="26"/>
                <w:rtl/>
              </w:rPr>
              <w:t xml:space="preserve"> </w:t>
            </w:r>
            <w:r w:rsidRPr="00DA4A3F">
              <w:rPr>
                <w:b/>
                <w:bCs/>
                <w:sz w:val="26"/>
                <w:szCs w:val="26"/>
                <w:rtl/>
              </w:rPr>
              <w:t>משטרת ישראל תביעות- שלוחת רמלה נ' אל עליוי(עציר)</w:t>
            </w:r>
          </w:p>
          <w:p w14:paraId="7E2CB744" w14:textId="77777777" w:rsidR="00EC41B8" w:rsidRPr="00DA4A3F" w:rsidRDefault="00EC41B8">
            <w:pPr>
              <w:rPr>
                <w:b/>
                <w:bCs/>
                <w:sz w:val="26"/>
                <w:szCs w:val="26"/>
                <w:rtl/>
              </w:rPr>
            </w:pPr>
          </w:p>
        </w:tc>
        <w:tc>
          <w:tcPr>
            <w:tcW w:w="1068" w:type="dxa"/>
          </w:tcPr>
          <w:p w14:paraId="147FAC6F" w14:textId="77777777" w:rsidR="00EC41B8" w:rsidRPr="00DA4A3F" w:rsidRDefault="00EC41B8">
            <w:pPr>
              <w:pStyle w:val="a4"/>
              <w:jc w:val="right"/>
              <w:rPr>
                <w:b/>
                <w:bCs/>
                <w:sz w:val="26"/>
                <w:szCs w:val="26"/>
                <w:rtl/>
              </w:rPr>
            </w:pPr>
          </w:p>
        </w:tc>
        <w:tc>
          <w:tcPr>
            <w:tcW w:w="3679" w:type="dxa"/>
          </w:tcPr>
          <w:p w14:paraId="0106D434" w14:textId="77777777" w:rsidR="00EC41B8" w:rsidRPr="00DA4A3F" w:rsidRDefault="00DA4A3F">
            <w:pPr>
              <w:pStyle w:val="a4"/>
              <w:tabs>
                <w:tab w:val="clear" w:pos="4153"/>
              </w:tabs>
              <w:jc w:val="right"/>
              <w:rPr>
                <w:b/>
                <w:bCs/>
                <w:sz w:val="26"/>
                <w:szCs w:val="26"/>
                <w:rtl/>
              </w:rPr>
            </w:pPr>
            <w:r w:rsidRPr="00DA4A3F">
              <w:rPr>
                <w:b/>
                <w:bCs/>
                <w:sz w:val="26"/>
                <w:szCs w:val="26"/>
                <w:rtl/>
              </w:rPr>
              <w:t>06 דצמבר 2016</w:t>
            </w:r>
          </w:p>
        </w:tc>
      </w:tr>
    </w:tbl>
    <w:p w14:paraId="7ED3DC54" w14:textId="77777777" w:rsidR="00EC41B8" w:rsidRPr="00DA4A3F" w:rsidRDefault="00EC41B8">
      <w:pPr>
        <w:pStyle w:val="a4"/>
        <w:jc w:val="center"/>
        <w:rPr>
          <w:rFonts w:ascii="Tahoma" w:hAnsi="Tahoma" w:cs="Tahoma"/>
          <w:b/>
          <w:bCs/>
          <w:color w:val="000080"/>
          <w:sz w:val="20"/>
          <w:szCs w:val="20"/>
          <w:rtl/>
        </w:rPr>
      </w:pPr>
    </w:p>
    <w:p w14:paraId="20B88EB5" w14:textId="77777777" w:rsidR="00EC41B8" w:rsidRPr="00DA4A3F" w:rsidRDefault="00EC41B8">
      <w:pPr>
        <w:spacing w:line="360" w:lineRule="auto"/>
        <w:jc w:val="both"/>
        <w:rPr>
          <w:rFonts w:ascii="Arial" w:hAnsi="Arial"/>
          <w:rtl/>
        </w:rPr>
      </w:pPr>
    </w:p>
    <w:tbl>
      <w:tblPr>
        <w:bidiVisual/>
        <w:tblW w:w="0" w:type="auto"/>
        <w:jc w:val="center"/>
        <w:tblLook w:val="0000" w:firstRow="0" w:lastRow="0" w:firstColumn="0" w:lastColumn="0" w:noHBand="0" w:noVBand="0"/>
      </w:tblPr>
      <w:tblGrid>
        <w:gridCol w:w="8720"/>
      </w:tblGrid>
      <w:tr w:rsidR="00EC41B8" w:rsidRPr="00DA4A3F" w14:paraId="7B881386" w14:textId="77777777">
        <w:trPr>
          <w:trHeight w:val="337"/>
          <w:jc w:val="center"/>
        </w:trPr>
        <w:tc>
          <w:tcPr>
            <w:tcW w:w="8720" w:type="dxa"/>
          </w:tcPr>
          <w:p w14:paraId="634789E6" w14:textId="77777777" w:rsidR="00EC41B8" w:rsidRPr="00DA4A3F" w:rsidRDefault="00DA4A3F">
            <w:pPr>
              <w:pStyle w:val="a4"/>
              <w:spacing w:line="360" w:lineRule="auto"/>
              <w:jc w:val="both"/>
              <w:rPr>
                <w:rtl/>
              </w:rPr>
            </w:pPr>
            <w:r w:rsidRPr="00DA4A3F">
              <w:rPr>
                <w:b/>
                <w:bCs/>
                <w:sz w:val="26"/>
                <w:szCs w:val="26"/>
                <w:rtl/>
              </w:rPr>
              <w:t xml:space="preserve">  בפני כב' השופט ד"ר </w:t>
            </w:r>
            <w:r w:rsidRPr="00DA4A3F">
              <w:rPr>
                <w:rFonts w:hint="cs"/>
                <w:b/>
                <w:bCs/>
                <w:sz w:val="26"/>
                <w:szCs w:val="26"/>
                <w:rtl/>
              </w:rPr>
              <w:t>עמי קובו, סגן הנשיאה</w:t>
            </w:r>
          </w:p>
          <w:p w14:paraId="4A8215B8" w14:textId="77777777" w:rsidR="00EC41B8" w:rsidRPr="00DA4A3F" w:rsidRDefault="00EC41B8">
            <w:pPr>
              <w:pStyle w:val="a4"/>
              <w:jc w:val="both"/>
              <w:rPr>
                <w:rtl/>
              </w:rPr>
            </w:pPr>
          </w:p>
        </w:tc>
      </w:tr>
    </w:tbl>
    <w:p w14:paraId="2E61FA29" w14:textId="77777777" w:rsidR="00EC41B8" w:rsidRPr="00DA4A3F" w:rsidRDefault="00EC41B8">
      <w:pPr>
        <w:spacing w:line="360" w:lineRule="auto"/>
        <w:jc w:val="both"/>
        <w:rPr>
          <w:rFonts w:ascii="Arial" w:hAnsi="Arial"/>
          <w:rtl/>
        </w:rPr>
      </w:pPr>
      <w:bookmarkStart w:id="0" w:name="LastJudge"/>
      <w:bookmarkEnd w:id="0"/>
    </w:p>
    <w:p w14:paraId="7FC6C1BF" w14:textId="77777777" w:rsidR="00EC41B8" w:rsidRPr="00DA4A3F" w:rsidRDefault="00EC41B8">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EC41B8" w:rsidRPr="00DA4A3F" w14:paraId="3404EE2A" w14:textId="77777777">
        <w:tc>
          <w:tcPr>
            <w:tcW w:w="3240" w:type="dxa"/>
            <w:shd w:val="clear" w:color="auto" w:fill="auto"/>
          </w:tcPr>
          <w:p w14:paraId="0703A7D6" w14:textId="77777777" w:rsidR="00EC41B8" w:rsidRPr="00DA4A3F" w:rsidRDefault="00DA4A3F">
            <w:pPr>
              <w:ind w:left="26"/>
              <w:rPr>
                <w:rFonts w:ascii="Times New Roman" w:eastAsia="Times New Roman" w:hAnsi="Times New Roman"/>
                <w:b/>
                <w:bCs/>
                <w:sz w:val="26"/>
                <w:szCs w:val="26"/>
                <w:rtl/>
              </w:rPr>
            </w:pPr>
            <w:bookmarkStart w:id="1" w:name="FirstAppellant"/>
            <w:r w:rsidRPr="00DA4A3F">
              <w:rPr>
                <w:rFonts w:ascii="Times New Roman" w:eastAsia="Times New Roman" w:hAnsi="Times New Roman" w:hint="cs"/>
                <w:b/>
                <w:bCs/>
                <w:sz w:val="26"/>
                <w:szCs w:val="26"/>
                <w:rtl/>
              </w:rPr>
              <w:t>ה</w:t>
            </w:r>
            <w:r w:rsidRPr="00DA4A3F">
              <w:rPr>
                <w:rFonts w:ascii="Times New Roman" w:eastAsia="Times New Roman" w:hAnsi="Times New Roman" w:hint="cs"/>
                <w:rtl/>
              </w:rPr>
              <w:t>מאשימה</w:t>
            </w:r>
          </w:p>
        </w:tc>
        <w:tc>
          <w:tcPr>
            <w:tcW w:w="5562" w:type="dxa"/>
            <w:shd w:val="clear" w:color="auto" w:fill="auto"/>
          </w:tcPr>
          <w:p w14:paraId="324A8280" w14:textId="77777777" w:rsidR="00EC41B8" w:rsidRPr="00DA4A3F" w:rsidRDefault="00DA4A3F">
            <w:pPr>
              <w:rPr>
                <w:rFonts w:ascii="Times New Roman" w:eastAsia="Times New Roman" w:hAnsi="Times New Roman"/>
                <w:b/>
                <w:bCs/>
                <w:sz w:val="26"/>
                <w:szCs w:val="26"/>
                <w:rtl/>
              </w:rPr>
            </w:pPr>
            <w:r w:rsidRPr="00DA4A3F">
              <w:rPr>
                <w:rFonts w:ascii="Times New Roman" w:eastAsia="Times New Roman" w:hAnsi="Times New Roman" w:hint="cs"/>
                <w:rtl/>
              </w:rPr>
              <w:t>מדינת ישראל</w:t>
            </w:r>
          </w:p>
          <w:p w14:paraId="6F7D4675" w14:textId="77777777" w:rsidR="00EC41B8" w:rsidRPr="00DA4A3F" w:rsidRDefault="00DA4A3F">
            <w:pPr>
              <w:rPr>
                <w:rFonts w:ascii="Times New Roman" w:eastAsia="Times New Roman" w:hAnsi="Times New Roman"/>
                <w:b/>
                <w:bCs/>
                <w:sz w:val="26"/>
                <w:szCs w:val="26"/>
                <w:rtl/>
              </w:rPr>
            </w:pPr>
            <w:r w:rsidRPr="00DA4A3F">
              <w:rPr>
                <w:rFonts w:ascii="Times New Roman" w:eastAsia="Times New Roman" w:hAnsi="Times New Roman" w:cs="Times New Roman"/>
                <w:rtl/>
              </w:rPr>
              <w:t xml:space="preserve">     </w:t>
            </w:r>
          </w:p>
        </w:tc>
      </w:tr>
      <w:bookmarkEnd w:id="1"/>
      <w:tr w:rsidR="00EC41B8" w:rsidRPr="00DA4A3F" w14:paraId="5070F39B" w14:textId="77777777">
        <w:tc>
          <w:tcPr>
            <w:tcW w:w="8802" w:type="dxa"/>
            <w:gridSpan w:val="2"/>
            <w:shd w:val="clear" w:color="auto" w:fill="auto"/>
          </w:tcPr>
          <w:p w14:paraId="3C319E3F" w14:textId="77777777" w:rsidR="00EC41B8" w:rsidRPr="00DA4A3F" w:rsidRDefault="00EC41B8">
            <w:pPr>
              <w:jc w:val="both"/>
              <w:rPr>
                <w:rFonts w:ascii="Arial" w:eastAsia="Times New Roman" w:hAnsi="Arial"/>
                <w:b/>
                <w:bCs/>
                <w:sz w:val="26"/>
                <w:szCs w:val="26"/>
                <w:rtl/>
              </w:rPr>
            </w:pPr>
          </w:p>
          <w:p w14:paraId="56909A52" w14:textId="77777777" w:rsidR="00EC41B8" w:rsidRPr="00DA4A3F" w:rsidRDefault="00DA4A3F">
            <w:pPr>
              <w:jc w:val="center"/>
              <w:rPr>
                <w:rFonts w:ascii="Arial" w:eastAsia="Times New Roman" w:hAnsi="Arial"/>
                <w:b/>
                <w:bCs/>
                <w:sz w:val="26"/>
                <w:szCs w:val="26"/>
                <w:rtl/>
              </w:rPr>
            </w:pPr>
            <w:r w:rsidRPr="00DA4A3F">
              <w:rPr>
                <w:rFonts w:ascii="Arial" w:eastAsia="Times New Roman" w:hAnsi="Arial"/>
                <w:b/>
                <w:bCs/>
                <w:sz w:val="26"/>
                <w:szCs w:val="26"/>
                <w:rtl/>
              </w:rPr>
              <w:t>נגד</w:t>
            </w:r>
          </w:p>
          <w:p w14:paraId="047D27EA" w14:textId="77777777" w:rsidR="00EC41B8" w:rsidRPr="00DA4A3F" w:rsidRDefault="00EC41B8">
            <w:pPr>
              <w:jc w:val="center"/>
              <w:rPr>
                <w:rFonts w:ascii="Arial" w:eastAsia="Times New Roman" w:hAnsi="Arial"/>
                <w:b/>
                <w:bCs/>
                <w:sz w:val="26"/>
                <w:szCs w:val="26"/>
              </w:rPr>
            </w:pPr>
          </w:p>
        </w:tc>
      </w:tr>
      <w:tr w:rsidR="00EC41B8" w:rsidRPr="00DA4A3F" w14:paraId="76F0FC39" w14:textId="77777777">
        <w:tc>
          <w:tcPr>
            <w:tcW w:w="3240" w:type="dxa"/>
            <w:shd w:val="clear" w:color="auto" w:fill="auto"/>
          </w:tcPr>
          <w:p w14:paraId="183E529C" w14:textId="77777777" w:rsidR="00EC41B8" w:rsidRPr="00DA4A3F" w:rsidRDefault="00DA4A3F">
            <w:pPr>
              <w:ind w:left="26"/>
              <w:rPr>
                <w:rFonts w:ascii="Times New Roman" w:eastAsia="Times New Roman" w:hAnsi="Times New Roman"/>
                <w:b/>
                <w:bCs/>
                <w:sz w:val="26"/>
                <w:szCs w:val="26"/>
                <w:rtl/>
              </w:rPr>
            </w:pPr>
            <w:r w:rsidRPr="00DA4A3F">
              <w:rPr>
                <w:rFonts w:ascii="Times New Roman" w:eastAsia="Times New Roman" w:hAnsi="Times New Roman" w:hint="cs"/>
                <w:b/>
                <w:bCs/>
                <w:sz w:val="26"/>
                <w:szCs w:val="26"/>
                <w:rtl/>
              </w:rPr>
              <w:t>ה</w:t>
            </w:r>
            <w:r w:rsidRPr="00DA4A3F">
              <w:rPr>
                <w:rFonts w:ascii="Times New Roman" w:eastAsia="Times New Roman" w:hAnsi="Times New Roman" w:hint="cs"/>
                <w:rtl/>
              </w:rPr>
              <w:t>נאשם</w:t>
            </w:r>
          </w:p>
        </w:tc>
        <w:tc>
          <w:tcPr>
            <w:tcW w:w="5562" w:type="dxa"/>
            <w:shd w:val="clear" w:color="auto" w:fill="auto"/>
          </w:tcPr>
          <w:p w14:paraId="29F3E139" w14:textId="77777777" w:rsidR="00EC41B8" w:rsidRPr="00DA4A3F" w:rsidRDefault="00DA4A3F">
            <w:pPr>
              <w:rPr>
                <w:rFonts w:ascii="Times New Roman" w:eastAsia="Times New Roman" w:hAnsi="Times New Roman"/>
                <w:b/>
                <w:bCs/>
                <w:sz w:val="26"/>
                <w:szCs w:val="26"/>
                <w:rtl/>
              </w:rPr>
            </w:pPr>
            <w:r w:rsidRPr="00DA4A3F">
              <w:rPr>
                <w:rFonts w:ascii="Times New Roman" w:eastAsia="Times New Roman" w:hAnsi="Times New Roman" w:hint="cs"/>
                <w:rtl/>
              </w:rPr>
              <w:t>מוחמד אל עליוי</w:t>
            </w:r>
          </w:p>
          <w:p w14:paraId="0C14042D" w14:textId="77777777" w:rsidR="00EC41B8" w:rsidRPr="00DA4A3F" w:rsidRDefault="00DA4A3F">
            <w:pPr>
              <w:rPr>
                <w:rFonts w:ascii="Times New Roman" w:eastAsia="Times New Roman" w:hAnsi="Times New Roman"/>
                <w:b/>
                <w:bCs/>
                <w:sz w:val="26"/>
                <w:szCs w:val="26"/>
                <w:rtl/>
              </w:rPr>
            </w:pPr>
            <w:r w:rsidRPr="00DA4A3F">
              <w:rPr>
                <w:rFonts w:ascii="Times New Roman" w:eastAsia="Times New Roman" w:hAnsi="Times New Roman" w:cs="Times New Roman"/>
                <w:rtl/>
              </w:rPr>
              <w:t xml:space="preserve">     </w:t>
            </w:r>
          </w:p>
        </w:tc>
      </w:tr>
    </w:tbl>
    <w:p w14:paraId="16091AA9" w14:textId="77777777" w:rsidR="00EC41B8" w:rsidRPr="00DA4A3F" w:rsidRDefault="00EC41B8">
      <w:pPr>
        <w:spacing w:line="360" w:lineRule="auto"/>
        <w:jc w:val="both"/>
        <w:rPr>
          <w:rtl/>
        </w:rPr>
      </w:pPr>
    </w:p>
    <w:p w14:paraId="765073EC" w14:textId="77777777" w:rsidR="00EC41B8" w:rsidRPr="00DA4A3F" w:rsidRDefault="00EC41B8">
      <w:pPr>
        <w:spacing w:line="360" w:lineRule="auto"/>
        <w:jc w:val="both"/>
        <w:rPr>
          <w:rtl/>
        </w:rPr>
      </w:pPr>
    </w:p>
    <w:p w14:paraId="077C1D39" w14:textId="77777777" w:rsidR="00EC41B8" w:rsidRPr="00DA4A3F" w:rsidRDefault="00DA4A3F">
      <w:pPr>
        <w:spacing w:line="360" w:lineRule="auto"/>
        <w:jc w:val="both"/>
        <w:rPr>
          <w:sz w:val="6"/>
          <w:szCs w:val="6"/>
          <w:rtl/>
        </w:rPr>
      </w:pPr>
      <w:r w:rsidRPr="00DA4A3F">
        <w:rPr>
          <w:sz w:val="6"/>
          <w:szCs w:val="6"/>
          <w:rtl/>
        </w:rPr>
        <w:t>&lt;#1#&gt;</w:t>
      </w:r>
    </w:p>
    <w:p w14:paraId="3F79CA2E" w14:textId="77777777" w:rsidR="00EC41B8" w:rsidRPr="00DA4A3F" w:rsidRDefault="00DA4A3F">
      <w:pPr>
        <w:pStyle w:val="12"/>
        <w:rPr>
          <w:b w:val="0"/>
          <w:bCs w:val="0"/>
          <w:u w:val="none"/>
          <w:rtl/>
        </w:rPr>
      </w:pPr>
      <w:bookmarkStart w:id="2" w:name="FirstLawyer"/>
      <w:r w:rsidRPr="00DA4A3F">
        <w:rPr>
          <w:rFonts w:hint="cs"/>
          <w:b w:val="0"/>
          <w:bCs w:val="0"/>
          <w:u w:val="none"/>
          <w:rtl/>
        </w:rPr>
        <w:t>ב"כ</w:t>
      </w:r>
      <w:bookmarkEnd w:id="2"/>
      <w:r w:rsidRPr="00DA4A3F">
        <w:rPr>
          <w:rFonts w:hint="cs"/>
          <w:b w:val="0"/>
          <w:bCs w:val="0"/>
          <w:u w:val="none"/>
          <w:rtl/>
        </w:rPr>
        <w:t xml:space="preserve"> המאשימה עו"ד דפנה קרפל ועו"ד זוהר שקורי שורץ </w:t>
      </w:r>
    </w:p>
    <w:p w14:paraId="3E4E2293" w14:textId="77777777" w:rsidR="00EC41B8" w:rsidRPr="00DA4A3F" w:rsidRDefault="00DA4A3F">
      <w:pPr>
        <w:pStyle w:val="12"/>
        <w:rPr>
          <w:b w:val="0"/>
          <w:bCs w:val="0"/>
          <w:u w:val="none"/>
          <w:rtl/>
        </w:rPr>
      </w:pPr>
      <w:r w:rsidRPr="00DA4A3F">
        <w:rPr>
          <w:rFonts w:hint="cs"/>
          <w:b w:val="0"/>
          <w:bCs w:val="0"/>
          <w:u w:val="none"/>
          <w:rtl/>
        </w:rPr>
        <w:t>ב"כ הנאשם עו"ד חי אוזן</w:t>
      </w:r>
    </w:p>
    <w:p w14:paraId="56912F67" w14:textId="77777777" w:rsidR="00EC41B8" w:rsidRPr="00DA4A3F" w:rsidRDefault="00DA4A3F">
      <w:pPr>
        <w:pStyle w:val="12"/>
        <w:rPr>
          <w:b w:val="0"/>
          <w:bCs w:val="0"/>
          <w:u w:val="none"/>
          <w:rtl/>
        </w:rPr>
      </w:pPr>
      <w:r w:rsidRPr="00DA4A3F">
        <w:rPr>
          <w:rFonts w:hint="cs"/>
          <w:b w:val="0"/>
          <w:bCs w:val="0"/>
          <w:u w:val="none"/>
          <w:rtl/>
        </w:rPr>
        <w:t>הנאשם בעצמו</w:t>
      </w:r>
    </w:p>
    <w:p w14:paraId="1AD45FA2" w14:textId="77777777" w:rsidR="00EC41B8" w:rsidRPr="00DA4A3F" w:rsidRDefault="00EC41B8">
      <w:pPr>
        <w:pStyle w:val="12"/>
        <w:rPr>
          <w:b w:val="0"/>
          <w:bCs w:val="0"/>
          <w:u w:val="none"/>
          <w:rtl/>
        </w:rPr>
      </w:pPr>
    </w:p>
    <w:p w14:paraId="60657BD4" w14:textId="77777777" w:rsidR="00EE4D8F" w:rsidRDefault="00DA4A3F">
      <w:pPr>
        <w:spacing w:line="360" w:lineRule="auto"/>
        <w:jc w:val="center"/>
        <w:rPr>
          <w:rFonts w:ascii="Arial" w:hAnsi="Arial"/>
          <w:sz w:val="28"/>
          <w:szCs w:val="28"/>
          <w:rtl/>
        </w:rPr>
      </w:pPr>
      <w:r w:rsidRPr="00DA4A3F">
        <w:rPr>
          <w:rFonts w:ascii="Arial" w:hAnsi="Arial"/>
          <w:b/>
          <w:color w:val="FF0000"/>
          <w:sz w:val="28"/>
          <w:rtl/>
        </w:rPr>
        <w:t>במסמך זה הושמטו פרוטוקולים</w:t>
      </w:r>
      <w:bookmarkStart w:id="3" w:name="LawTable"/>
      <w:bookmarkEnd w:id="3"/>
    </w:p>
    <w:p w14:paraId="304C53C6" w14:textId="77777777" w:rsidR="00EE4D8F" w:rsidRPr="00EE4D8F" w:rsidRDefault="00EE4D8F" w:rsidP="00EE4D8F">
      <w:pPr>
        <w:spacing w:after="120" w:line="240" w:lineRule="exact"/>
        <w:ind w:left="283" w:hanging="283"/>
        <w:jc w:val="both"/>
        <w:rPr>
          <w:rFonts w:ascii="FrankRuehl" w:hAnsi="FrankRuehl" w:cs="FrankRuehl"/>
          <w:rtl/>
        </w:rPr>
      </w:pPr>
    </w:p>
    <w:p w14:paraId="7B36B203" w14:textId="77777777" w:rsidR="00EE4D8F" w:rsidRPr="00EE4D8F" w:rsidRDefault="00EE4D8F" w:rsidP="00EE4D8F">
      <w:pPr>
        <w:spacing w:after="120" w:line="240" w:lineRule="exact"/>
        <w:ind w:left="283" w:hanging="283"/>
        <w:jc w:val="both"/>
        <w:rPr>
          <w:rFonts w:ascii="FrankRuehl" w:hAnsi="FrankRuehl" w:cs="FrankRuehl"/>
          <w:rtl/>
        </w:rPr>
      </w:pPr>
      <w:r w:rsidRPr="00EE4D8F">
        <w:rPr>
          <w:rFonts w:ascii="FrankRuehl" w:hAnsi="FrankRuehl" w:cs="FrankRuehl"/>
          <w:rtl/>
        </w:rPr>
        <w:t xml:space="preserve">חקיקה שאוזכרה: </w:t>
      </w:r>
    </w:p>
    <w:p w14:paraId="7C580A2F" w14:textId="77777777" w:rsidR="00EE4D8F" w:rsidRPr="00EE4D8F" w:rsidRDefault="00EE4D8F" w:rsidP="00EE4D8F">
      <w:pPr>
        <w:spacing w:after="120" w:line="240" w:lineRule="exact"/>
        <w:ind w:left="283" w:hanging="283"/>
        <w:jc w:val="both"/>
        <w:rPr>
          <w:rFonts w:ascii="FrankRuehl" w:hAnsi="FrankRuehl" w:cs="FrankRuehl"/>
          <w:rtl/>
        </w:rPr>
      </w:pPr>
      <w:hyperlink r:id="rId6" w:history="1">
        <w:r w:rsidRPr="00EE4D8F">
          <w:rPr>
            <w:rFonts w:ascii="FrankRuehl" w:hAnsi="FrankRuehl" w:cs="FrankRuehl"/>
            <w:color w:val="0000FF"/>
            <w:u w:val="single"/>
            <w:rtl/>
          </w:rPr>
          <w:t>פקודת הסמים המסוכנים [נוסח חדש], תשל"ג-1973</w:t>
        </w:r>
      </w:hyperlink>
      <w:r w:rsidRPr="00EE4D8F">
        <w:rPr>
          <w:rFonts w:ascii="FrankRuehl" w:hAnsi="FrankRuehl" w:cs="FrankRuehl"/>
          <w:rtl/>
        </w:rPr>
        <w:t xml:space="preserve">: סע'  </w:t>
      </w:r>
      <w:hyperlink r:id="rId7" w:history="1">
        <w:r w:rsidRPr="00EE4D8F">
          <w:rPr>
            <w:rFonts w:ascii="FrankRuehl" w:hAnsi="FrankRuehl" w:cs="FrankRuehl"/>
            <w:color w:val="0000FF"/>
            <w:u w:val="single"/>
            <w:rtl/>
          </w:rPr>
          <w:t>13</w:t>
        </w:r>
      </w:hyperlink>
      <w:r w:rsidRPr="00EE4D8F">
        <w:rPr>
          <w:rFonts w:ascii="FrankRuehl" w:hAnsi="FrankRuehl" w:cs="FrankRuehl"/>
          <w:rtl/>
        </w:rPr>
        <w:t xml:space="preserve">, </w:t>
      </w:r>
      <w:hyperlink r:id="rId8" w:history="1">
        <w:r w:rsidRPr="00EE4D8F">
          <w:rPr>
            <w:rFonts w:ascii="FrankRuehl" w:hAnsi="FrankRuehl" w:cs="FrankRuehl"/>
            <w:color w:val="0000FF"/>
            <w:u w:val="single"/>
            <w:rtl/>
          </w:rPr>
          <w:t>19</w:t>
        </w:r>
      </w:hyperlink>
    </w:p>
    <w:p w14:paraId="588B98E5" w14:textId="77777777" w:rsidR="00EE4D8F" w:rsidRPr="00EE4D8F" w:rsidRDefault="00EE4D8F" w:rsidP="00EE4D8F">
      <w:pPr>
        <w:spacing w:after="120" w:line="240" w:lineRule="exact"/>
        <w:ind w:left="283" w:hanging="283"/>
        <w:jc w:val="both"/>
        <w:rPr>
          <w:rFonts w:ascii="FrankRuehl" w:hAnsi="FrankRuehl" w:cs="FrankRuehl"/>
          <w:rtl/>
        </w:rPr>
      </w:pPr>
      <w:hyperlink r:id="rId9" w:history="1">
        <w:r w:rsidRPr="00EE4D8F">
          <w:rPr>
            <w:rFonts w:ascii="FrankRuehl" w:hAnsi="FrankRuehl" w:cs="FrankRuehl"/>
            <w:color w:val="0000FF"/>
            <w:u w:val="single"/>
            <w:rtl/>
          </w:rPr>
          <w:t>חוק העונשין, תשל"ז-1977</w:t>
        </w:r>
      </w:hyperlink>
      <w:r w:rsidRPr="00EE4D8F">
        <w:rPr>
          <w:rFonts w:ascii="FrankRuehl" w:hAnsi="FrankRuehl" w:cs="FrankRuehl"/>
          <w:rtl/>
        </w:rPr>
        <w:t xml:space="preserve">: סע'  </w:t>
      </w:r>
      <w:hyperlink r:id="rId10" w:history="1">
        <w:r w:rsidRPr="00EE4D8F">
          <w:rPr>
            <w:rFonts w:ascii="FrankRuehl" w:hAnsi="FrankRuehl" w:cs="FrankRuehl"/>
            <w:color w:val="0000FF"/>
            <w:u w:val="single"/>
            <w:rtl/>
          </w:rPr>
          <w:t>287 (א)</w:t>
        </w:r>
      </w:hyperlink>
    </w:p>
    <w:p w14:paraId="7E7571B6" w14:textId="77777777" w:rsidR="00EE4D8F" w:rsidRPr="00EE4D8F" w:rsidRDefault="00EE4D8F" w:rsidP="00EE4D8F">
      <w:pPr>
        <w:spacing w:after="120" w:line="240" w:lineRule="exact"/>
        <w:ind w:left="283" w:hanging="283"/>
        <w:jc w:val="both"/>
        <w:rPr>
          <w:rFonts w:ascii="FrankRuehl" w:hAnsi="FrankRuehl" w:cs="FrankRuehl"/>
          <w:rtl/>
        </w:rPr>
      </w:pPr>
    </w:p>
    <w:p w14:paraId="7A98623A" w14:textId="77777777" w:rsidR="00DA4A3F" w:rsidRPr="00DA4A3F" w:rsidRDefault="00DA4A3F" w:rsidP="00DA4A3F">
      <w:pPr>
        <w:spacing w:line="360" w:lineRule="auto"/>
        <w:jc w:val="center"/>
        <w:rPr>
          <w:rFonts w:ascii="Arial" w:hAnsi="Arial"/>
          <w:b/>
          <w:bCs/>
          <w:sz w:val="28"/>
          <w:szCs w:val="28"/>
          <w:u w:val="single"/>
          <w:rtl/>
        </w:rPr>
      </w:pPr>
      <w:bookmarkStart w:id="4" w:name="LawTable_End"/>
      <w:bookmarkStart w:id="5" w:name="PsakDin"/>
      <w:bookmarkEnd w:id="4"/>
      <w:r w:rsidRPr="00DA4A3F">
        <w:rPr>
          <w:rFonts w:ascii="Arial" w:hAnsi="Arial"/>
          <w:b/>
          <w:bCs/>
          <w:sz w:val="28"/>
          <w:szCs w:val="28"/>
          <w:u w:val="single"/>
          <w:rtl/>
        </w:rPr>
        <w:t>גזר דין</w:t>
      </w:r>
    </w:p>
    <w:bookmarkEnd w:id="5"/>
    <w:p w14:paraId="42FD48E0" w14:textId="77777777" w:rsidR="00EC41B8" w:rsidRDefault="00EC41B8">
      <w:pPr>
        <w:spacing w:line="360" w:lineRule="auto"/>
        <w:jc w:val="both"/>
        <w:rPr>
          <w:rFonts w:ascii="Arial" w:hAnsi="Arial"/>
        </w:rPr>
      </w:pPr>
    </w:p>
    <w:p w14:paraId="09E19252" w14:textId="77777777" w:rsidR="00EC41B8" w:rsidRDefault="00DA4A3F">
      <w:pPr>
        <w:spacing w:line="360" w:lineRule="auto"/>
        <w:jc w:val="both"/>
        <w:rPr>
          <w:rtl/>
        </w:rPr>
      </w:pPr>
      <w:bookmarkStart w:id="6" w:name="ABSTRACT_START"/>
      <w:bookmarkEnd w:id="6"/>
      <w:r>
        <w:rPr>
          <w:rFonts w:hint="cs"/>
          <w:rtl/>
        </w:rPr>
        <w:t>הנאשם הורשע על פי הודאתו בעובדות שני כתבי אישום כמפורט להלן:</w:t>
      </w:r>
    </w:p>
    <w:p w14:paraId="2DB6F835" w14:textId="77777777" w:rsidR="00EC41B8" w:rsidRDefault="00DA4A3F">
      <w:pPr>
        <w:spacing w:line="360" w:lineRule="auto"/>
        <w:jc w:val="both"/>
        <w:rPr>
          <w:rtl/>
        </w:rPr>
      </w:pPr>
      <w:r>
        <w:rPr>
          <w:rFonts w:hint="cs"/>
          <w:rtl/>
        </w:rPr>
        <w:t>ב</w:t>
      </w:r>
      <w:hyperlink r:id="rId11" w:history="1">
        <w:r w:rsidRPr="00DA4A3F">
          <w:rPr>
            <w:rStyle w:val="Hyperlink"/>
            <w:rFonts w:hint="eastAsia"/>
            <w:rtl/>
          </w:rPr>
          <w:t>ת</w:t>
        </w:r>
        <w:r w:rsidRPr="00DA4A3F">
          <w:rPr>
            <w:rStyle w:val="Hyperlink"/>
            <w:rtl/>
          </w:rPr>
          <w:t>"פ 21938-04-15</w:t>
        </w:r>
      </w:hyperlink>
      <w:r>
        <w:rPr>
          <w:rFonts w:hint="cs"/>
          <w:rtl/>
        </w:rPr>
        <w:t xml:space="preserve"> הורשע הנאשם בעבירה של סחר בסמים, לפי </w:t>
      </w:r>
      <w:hyperlink r:id="rId12" w:history="1">
        <w:r w:rsidR="00EE4D8F" w:rsidRPr="00EE4D8F">
          <w:rPr>
            <w:color w:val="0000FF"/>
            <w:u w:val="single"/>
            <w:rtl/>
          </w:rPr>
          <w:t>סעיפים 13</w:t>
        </w:r>
      </w:hyperlink>
      <w:r>
        <w:rPr>
          <w:rFonts w:hint="cs"/>
          <w:rtl/>
        </w:rPr>
        <w:t xml:space="preserve"> ו- </w:t>
      </w:r>
      <w:hyperlink r:id="rId13" w:history="1">
        <w:r w:rsidR="00EE4D8F" w:rsidRPr="00EE4D8F">
          <w:rPr>
            <w:color w:val="0000FF"/>
            <w:u w:val="single"/>
            <w:rtl/>
          </w:rPr>
          <w:t>19</w:t>
        </w:r>
      </w:hyperlink>
      <w:r>
        <w:rPr>
          <w:rFonts w:hint="cs"/>
          <w:rtl/>
        </w:rPr>
        <w:t xml:space="preserve"> </w:t>
      </w:r>
      <w:hyperlink r:id="rId14" w:history="1">
        <w:r w:rsidR="00EE4D8F" w:rsidRPr="00EE4D8F">
          <w:rPr>
            <w:color w:val="0000FF"/>
            <w:u w:val="single"/>
            <w:rtl/>
          </w:rPr>
          <w:t>לפקודת הסמים, [נוסח חדש] תשל"ג – 1973.</w:t>
        </w:r>
        <w:r w:rsidR="00EE4D8F" w:rsidRPr="00EE4D8F">
          <w:rPr>
            <w:color w:val="0000FF"/>
            <w:u w:val="single"/>
            <w:rtl/>
          </w:rPr>
          <w:cr/>
        </w:r>
      </w:hyperlink>
      <w:r>
        <w:rPr>
          <w:rFonts w:hint="cs"/>
          <w:rtl/>
        </w:rPr>
        <w:t>ב</w:t>
      </w:r>
      <w:hyperlink r:id="rId15" w:history="1">
        <w:r w:rsidRPr="00DA4A3F">
          <w:rPr>
            <w:rStyle w:val="Hyperlink"/>
            <w:rFonts w:hint="eastAsia"/>
            <w:rtl/>
          </w:rPr>
          <w:t>ת</w:t>
        </w:r>
        <w:r w:rsidRPr="00DA4A3F">
          <w:rPr>
            <w:rStyle w:val="Hyperlink"/>
            <w:rtl/>
          </w:rPr>
          <w:t>"פ 22335-07-15</w:t>
        </w:r>
      </w:hyperlink>
      <w:r>
        <w:rPr>
          <w:rFonts w:hint="cs"/>
          <w:rtl/>
        </w:rPr>
        <w:t xml:space="preserve"> הורשע הנאשם בעבירה של הפרת הוראה חוקית לפי סעיף </w:t>
      </w:r>
      <w:hyperlink r:id="rId16" w:history="1">
        <w:r w:rsidR="00EE4D8F" w:rsidRPr="00EE4D8F">
          <w:rPr>
            <w:color w:val="0000FF"/>
            <w:u w:val="single"/>
            <w:rtl/>
          </w:rPr>
          <w:t>287 (א)</w:t>
        </w:r>
      </w:hyperlink>
      <w:r>
        <w:rPr>
          <w:rFonts w:hint="cs"/>
          <w:rtl/>
        </w:rPr>
        <w:t xml:space="preserve"> ל</w:t>
      </w:r>
      <w:hyperlink r:id="rId17" w:history="1">
        <w:r w:rsidRPr="00DA4A3F">
          <w:rPr>
            <w:rStyle w:val="Hyperlink"/>
            <w:rFonts w:hint="eastAsia"/>
            <w:rtl/>
          </w:rPr>
          <w:t>חוק</w:t>
        </w:r>
        <w:r w:rsidRPr="00DA4A3F">
          <w:rPr>
            <w:rStyle w:val="Hyperlink"/>
            <w:rtl/>
          </w:rPr>
          <w:t xml:space="preserve"> העונשין</w:t>
        </w:r>
      </w:hyperlink>
      <w:r>
        <w:rPr>
          <w:rFonts w:hint="cs"/>
          <w:rtl/>
        </w:rPr>
        <w:t xml:space="preserve">, תשל"ז </w:t>
      </w:r>
      <w:r>
        <w:rPr>
          <w:rtl/>
        </w:rPr>
        <w:t>–</w:t>
      </w:r>
      <w:r>
        <w:rPr>
          <w:rFonts w:hint="cs"/>
          <w:rtl/>
        </w:rPr>
        <w:t xml:space="preserve"> 1977.</w:t>
      </w:r>
    </w:p>
    <w:p w14:paraId="5F5CC75E" w14:textId="77777777" w:rsidR="00EC41B8" w:rsidRDefault="00DA4A3F">
      <w:pPr>
        <w:spacing w:line="360" w:lineRule="auto"/>
        <w:jc w:val="both"/>
        <w:rPr>
          <w:rtl/>
        </w:rPr>
      </w:pPr>
      <w:bookmarkStart w:id="7" w:name="ABSTRACT_END"/>
      <w:bookmarkEnd w:id="7"/>
      <w:r>
        <w:rPr>
          <w:rFonts w:hint="cs"/>
          <w:rtl/>
        </w:rPr>
        <w:t>על פי המתואר בעובדות כתב האישום בתיק הראשון הנאשם סחר בסם מסוכן בכך שמכר 3 מנות סם מסוג קוקאין במשקל כולל של 0.73 גרם תמורת 600 ₪.</w:t>
      </w:r>
    </w:p>
    <w:p w14:paraId="0559513F" w14:textId="77777777" w:rsidR="00EC41B8" w:rsidRDefault="00DA4A3F">
      <w:pPr>
        <w:spacing w:line="360" w:lineRule="auto"/>
        <w:jc w:val="both"/>
        <w:rPr>
          <w:rtl/>
        </w:rPr>
      </w:pPr>
      <w:r>
        <w:rPr>
          <w:rFonts w:hint="cs"/>
          <w:rtl/>
        </w:rPr>
        <w:t xml:space="preserve">על פי המתואר בעובדות כתב האישום בתיק השני הפר הנאשם את תנאי שחרורו. </w:t>
      </w:r>
    </w:p>
    <w:p w14:paraId="4E8E872C" w14:textId="77777777" w:rsidR="00EC41B8" w:rsidRDefault="00DA4A3F">
      <w:pPr>
        <w:spacing w:line="360" w:lineRule="auto"/>
        <w:jc w:val="both"/>
        <w:rPr>
          <w:rtl/>
        </w:rPr>
      </w:pPr>
      <w:r>
        <w:rPr>
          <w:rFonts w:hint="cs"/>
          <w:rtl/>
        </w:rPr>
        <w:lastRenderedPageBreak/>
        <w:t xml:space="preserve">הצדדים הגיעו להסדר טיעון ובמסגרתו עתרו במשותף להשית על הנאשם 7 חודשי מאסר בפועל לצד עונשים נלווים. </w:t>
      </w:r>
    </w:p>
    <w:p w14:paraId="4CE4800B" w14:textId="77777777" w:rsidR="00EC41B8" w:rsidRDefault="00DA4A3F">
      <w:pPr>
        <w:spacing w:line="360" w:lineRule="auto"/>
        <w:jc w:val="both"/>
        <w:rPr>
          <w:rtl/>
        </w:rPr>
      </w:pPr>
      <w:r>
        <w:rPr>
          <w:rFonts w:hint="cs"/>
          <w:rtl/>
        </w:rPr>
        <w:t xml:space="preserve">לאחר ששמעתי את טיעוני הצדדים סבורני כי הסדר הטיעון סביר ומאוזן ויש לכבדו. </w:t>
      </w:r>
    </w:p>
    <w:p w14:paraId="751116C3" w14:textId="77777777" w:rsidR="00EC41B8" w:rsidRDefault="00DA4A3F">
      <w:pPr>
        <w:spacing w:line="360" w:lineRule="auto"/>
        <w:jc w:val="both"/>
        <w:rPr>
          <w:rtl/>
        </w:rPr>
      </w:pPr>
      <w:r>
        <w:rPr>
          <w:rFonts w:hint="cs"/>
          <w:rtl/>
        </w:rPr>
        <w:t>אשר על כן אני גוזר על הנאשם את העונשים הבאים:</w:t>
      </w:r>
    </w:p>
    <w:p w14:paraId="2BA31ED8" w14:textId="77777777" w:rsidR="00EC41B8" w:rsidRDefault="00DA4A3F">
      <w:pPr>
        <w:spacing w:line="360" w:lineRule="auto"/>
        <w:ind w:left="720" w:hanging="720"/>
        <w:jc w:val="both"/>
        <w:rPr>
          <w:rtl/>
        </w:rPr>
      </w:pPr>
      <w:r>
        <w:rPr>
          <w:rFonts w:hint="cs"/>
          <w:rtl/>
        </w:rPr>
        <w:t>1.</w:t>
      </w:r>
      <w:r>
        <w:rPr>
          <w:rFonts w:hint="cs"/>
          <w:rtl/>
        </w:rPr>
        <w:tab/>
        <w:t>7 חודשי מאסר בפועל בניכוי ימי מעצרו מיום 6.4.15 ועד ליום 20.4.15. ומיום 11.7.15 ועד ליום 12.7.15.</w:t>
      </w:r>
    </w:p>
    <w:p w14:paraId="2BE2FC71" w14:textId="77777777" w:rsidR="00EC41B8" w:rsidRDefault="00DA4A3F">
      <w:pPr>
        <w:spacing w:line="360" w:lineRule="auto"/>
        <w:ind w:left="720"/>
        <w:jc w:val="both"/>
      </w:pPr>
      <w:r>
        <w:rPr>
          <w:rFonts w:hint="cs"/>
          <w:rtl/>
        </w:rPr>
        <w:t xml:space="preserve">הנאשם יתייצב ביום 1.2.17 בבית מעצר הדרים עד השעה 10.00 או על פי החלטת שב"ס, כשברשותו תעודת זהות או דרכון. </w:t>
      </w:r>
    </w:p>
    <w:p w14:paraId="3DFB48D4" w14:textId="77777777" w:rsidR="00EC41B8" w:rsidRDefault="00DA4A3F">
      <w:pPr>
        <w:spacing w:line="360" w:lineRule="auto"/>
        <w:ind w:left="720"/>
        <w:jc w:val="both"/>
        <w:rPr>
          <w:rtl/>
        </w:rPr>
      </w:pPr>
      <w:r>
        <w:rPr>
          <w:rFonts w:hint="cs"/>
          <w:rtl/>
        </w:rPr>
        <w:t xml:space="preserve">על הנאשם לתאם את הכניסה למאסר, כולל האפשרות למיון מוקדם, עם ענף אבחון ומיון של שב"ס, טלפונים: 08-9787377, 08-9787336. </w:t>
      </w:r>
    </w:p>
    <w:p w14:paraId="6C25B552" w14:textId="77777777" w:rsidR="00EC41B8" w:rsidRDefault="00DA4A3F">
      <w:pPr>
        <w:spacing w:line="360" w:lineRule="auto"/>
        <w:ind w:left="720"/>
        <w:jc w:val="both"/>
        <w:rPr>
          <w:rtl/>
        </w:rPr>
      </w:pPr>
      <w:r>
        <w:rPr>
          <w:rFonts w:hint="cs"/>
          <w:rtl/>
        </w:rPr>
        <w:t xml:space="preserve">הערבויות שקיימות בתיק יוותרו על כנם עד התייצבות הנאשם לתחילת ריצוי מאסרו ולהבטחת ההתייצבות. לאחר ההתייצבות למאסר ב"כ הנאשם יגיש הודעה על כך לביהמ"ש ובהמשך לכך ישולם הקנס מתוך ההפקדה ויתרת ההפקדה תושב לבקשת הנאשם לבא כוחו בכפוף לכל הוראה חוקית. </w:t>
      </w:r>
    </w:p>
    <w:p w14:paraId="7DA9EF7D" w14:textId="77777777" w:rsidR="00EC41B8" w:rsidRDefault="00DA4A3F">
      <w:pPr>
        <w:spacing w:line="360" w:lineRule="auto"/>
        <w:ind w:left="720" w:hanging="720"/>
        <w:jc w:val="both"/>
        <w:rPr>
          <w:rtl/>
        </w:rPr>
      </w:pPr>
      <w:r>
        <w:rPr>
          <w:rFonts w:hint="cs"/>
          <w:rtl/>
        </w:rPr>
        <w:t>2.</w:t>
      </w:r>
      <w:r>
        <w:rPr>
          <w:rFonts w:hint="cs"/>
          <w:rtl/>
        </w:rPr>
        <w:tab/>
        <w:t>10 חודשי מאסר על תנאי לבל יעבור הנאשם במשך 3 שנים מיום שחרורו מהמאסר עבירת סמים מסוג פשע.</w:t>
      </w:r>
    </w:p>
    <w:p w14:paraId="7B559368" w14:textId="77777777" w:rsidR="00EC41B8" w:rsidRDefault="00DA4A3F">
      <w:pPr>
        <w:spacing w:line="360" w:lineRule="auto"/>
        <w:ind w:left="720" w:hanging="720"/>
        <w:jc w:val="both"/>
        <w:rPr>
          <w:rtl/>
        </w:rPr>
      </w:pPr>
      <w:r>
        <w:rPr>
          <w:rFonts w:hint="cs"/>
          <w:rtl/>
        </w:rPr>
        <w:t>3.</w:t>
      </w:r>
      <w:r>
        <w:rPr>
          <w:rFonts w:hint="cs"/>
          <w:rtl/>
        </w:rPr>
        <w:tab/>
        <w:t>5 חודשי מאסר על תנאי לבל יעבור הנאשם במשך 3 שנים מיום שחרורו מהמאסר עבירת סמים מסוג עוון.</w:t>
      </w:r>
    </w:p>
    <w:p w14:paraId="1D04E682" w14:textId="77777777" w:rsidR="00EC41B8" w:rsidRDefault="00DA4A3F">
      <w:pPr>
        <w:spacing w:line="360" w:lineRule="auto"/>
        <w:ind w:left="720" w:hanging="720"/>
        <w:jc w:val="both"/>
        <w:rPr>
          <w:rtl/>
        </w:rPr>
      </w:pPr>
      <w:r>
        <w:rPr>
          <w:rFonts w:hint="cs"/>
          <w:rtl/>
        </w:rPr>
        <w:t>4.</w:t>
      </w:r>
      <w:r>
        <w:rPr>
          <w:rFonts w:hint="cs"/>
          <w:rtl/>
        </w:rPr>
        <w:tab/>
        <w:t>3 חודשי מאסר על תנאי לבל יעבור הנאשם במשך שנתיים מיום שחרורו מהמאסר עבירה של הפרת הוראה חוקית.</w:t>
      </w:r>
    </w:p>
    <w:p w14:paraId="600BC817" w14:textId="77777777" w:rsidR="00EC41B8" w:rsidRDefault="00DA4A3F">
      <w:pPr>
        <w:spacing w:line="360" w:lineRule="auto"/>
        <w:ind w:left="720" w:hanging="720"/>
        <w:jc w:val="both"/>
        <w:rPr>
          <w:rtl/>
        </w:rPr>
      </w:pPr>
      <w:r>
        <w:rPr>
          <w:rFonts w:hint="cs"/>
          <w:rtl/>
        </w:rPr>
        <w:t>5.</w:t>
      </w:r>
      <w:r>
        <w:rPr>
          <w:rFonts w:hint="cs"/>
          <w:rtl/>
        </w:rPr>
        <w:tab/>
        <w:t>קנס בסך של 1,500 ₪ או 30 ימי מאסר תמורתו. הקנס ישולם ב- 3 תשלומים החל מיום 1.3.17.</w:t>
      </w:r>
    </w:p>
    <w:p w14:paraId="3F080368" w14:textId="77777777" w:rsidR="00EC41B8" w:rsidRDefault="00DA4A3F">
      <w:pPr>
        <w:spacing w:line="360" w:lineRule="auto"/>
        <w:jc w:val="both"/>
        <w:rPr>
          <w:rtl/>
        </w:rPr>
      </w:pPr>
      <w:r>
        <w:rPr>
          <w:rFonts w:hint="cs"/>
          <w:rtl/>
        </w:rPr>
        <w:t>6.</w:t>
      </w:r>
      <w:r>
        <w:rPr>
          <w:rFonts w:hint="cs"/>
          <w:rtl/>
        </w:rPr>
        <w:tab/>
        <w:t xml:space="preserve">4 חודשי פסילה בפועל מלקבל או להחזיק ברשיון נהיגה ובמצטבר לכל עונש פסילה אחר. </w:t>
      </w:r>
    </w:p>
    <w:p w14:paraId="31777995" w14:textId="77777777" w:rsidR="00EC41B8" w:rsidRDefault="00DA4A3F">
      <w:pPr>
        <w:spacing w:line="360" w:lineRule="auto"/>
        <w:ind w:left="720"/>
        <w:jc w:val="both"/>
        <w:rPr>
          <w:rtl/>
        </w:rPr>
      </w:pPr>
      <w:r>
        <w:rPr>
          <w:rFonts w:hint="cs"/>
          <w:rtl/>
        </w:rPr>
        <w:t xml:space="preserve">הנאשם יפקיד את רשיון הנהיגה או הצהרה מתאימה במזכירות בימ"ש. תחילת הפסילה מחר, 7.12.16. </w:t>
      </w:r>
    </w:p>
    <w:p w14:paraId="4F8029F0" w14:textId="77777777" w:rsidR="00EC41B8" w:rsidRDefault="00DA4A3F">
      <w:pPr>
        <w:spacing w:line="360" w:lineRule="auto"/>
        <w:ind w:left="720" w:hanging="720"/>
        <w:jc w:val="both"/>
        <w:rPr>
          <w:rtl/>
        </w:rPr>
      </w:pPr>
      <w:r>
        <w:rPr>
          <w:rFonts w:hint="cs"/>
          <w:rtl/>
        </w:rPr>
        <w:t>7.</w:t>
      </w:r>
      <w:r>
        <w:rPr>
          <w:rFonts w:hint="cs"/>
          <w:rtl/>
        </w:rPr>
        <w:tab/>
        <w:t>6 חודשי פסילה על תנאי מלקבל או להחזיק ברשיון נהיגה לבל יעבור הנאשם במשך שנתיים מיום שחרורו מהמאסר כל עבירה לפי פקודת הסמים.</w:t>
      </w:r>
    </w:p>
    <w:p w14:paraId="02D5A9BE" w14:textId="77777777" w:rsidR="00EC41B8" w:rsidRDefault="00DA4A3F">
      <w:pPr>
        <w:spacing w:line="360" w:lineRule="auto"/>
        <w:jc w:val="both"/>
        <w:rPr>
          <w:rtl/>
        </w:rPr>
      </w:pPr>
      <w:r>
        <w:rPr>
          <w:rFonts w:hint="cs"/>
          <w:rtl/>
        </w:rPr>
        <w:t>8.</w:t>
      </w:r>
      <w:r>
        <w:rPr>
          <w:rFonts w:hint="cs"/>
          <w:rtl/>
        </w:rPr>
        <w:tab/>
        <w:t>אני מכריז על הנאשם כסוחר סמים ומורה על חילוט הכסף ומכשיר הטלפון שנתפסו.</w:t>
      </w:r>
    </w:p>
    <w:p w14:paraId="59DD916C" w14:textId="77777777" w:rsidR="00EC41B8" w:rsidRDefault="00EC41B8">
      <w:pPr>
        <w:spacing w:line="360" w:lineRule="auto"/>
        <w:jc w:val="both"/>
        <w:rPr>
          <w:rtl/>
        </w:rPr>
      </w:pPr>
    </w:p>
    <w:p w14:paraId="2420CD4E" w14:textId="77777777" w:rsidR="00EC41B8" w:rsidRDefault="00DA4A3F">
      <w:pPr>
        <w:spacing w:line="360" w:lineRule="auto"/>
        <w:jc w:val="both"/>
        <w:rPr>
          <w:rtl/>
        </w:rPr>
      </w:pPr>
      <w:r>
        <w:rPr>
          <w:rFonts w:hint="cs"/>
          <w:rtl/>
        </w:rPr>
        <w:t xml:space="preserve">לאחר היות גזר הדין חלוט הסמים יושמדו בכפוף לכל הוראה חוקית. </w:t>
      </w:r>
    </w:p>
    <w:p w14:paraId="1970F77D" w14:textId="77777777" w:rsidR="00EC41B8" w:rsidRDefault="00DA4A3F">
      <w:pPr>
        <w:bidi w:val="0"/>
        <w:rPr>
          <w:rtl/>
        </w:rPr>
      </w:pPr>
      <w:r>
        <w:rPr>
          <w:rtl/>
        </w:rPr>
        <w:br w:type="page"/>
      </w:r>
    </w:p>
    <w:p w14:paraId="1DD33B32" w14:textId="77777777" w:rsidR="00EC41B8" w:rsidRDefault="00EC41B8">
      <w:pPr>
        <w:spacing w:line="360" w:lineRule="auto"/>
        <w:jc w:val="both"/>
        <w:rPr>
          <w:rtl/>
        </w:rPr>
      </w:pPr>
    </w:p>
    <w:p w14:paraId="4B92BD43" w14:textId="77777777" w:rsidR="00EC41B8" w:rsidRDefault="00DA4A3F">
      <w:pPr>
        <w:spacing w:line="360" w:lineRule="auto"/>
        <w:jc w:val="both"/>
        <w:rPr>
          <w:rtl/>
        </w:rPr>
      </w:pPr>
      <w:r>
        <w:rPr>
          <w:rFonts w:hint="cs"/>
          <w:rtl/>
        </w:rPr>
        <w:t xml:space="preserve">זכות ערעור לבימ"ש מחוזי תוך 45 יום מהיום.  </w:t>
      </w:r>
    </w:p>
    <w:p w14:paraId="577393D9" w14:textId="77777777" w:rsidR="00EC41B8" w:rsidRDefault="00EC41B8">
      <w:pPr>
        <w:spacing w:line="360" w:lineRule="auto"/>
        <w:jc w:val="both"/>
        <w:rPr>
          <w:rtl/>
        </w:rPr>
      </w:pPr>
    </w:p>
    <w:p w14:paraId="07FBC3E0" w14:textId="77777777" w:rsidR="00EC41B8" w:rsidRDefault="00DA4A3F">
      <w:pPr>
        <w:spacing w:line="360" w:lineRule="auto"/>
        <w:jc w:val="both"/>
        <w:rPr>
          <w:sz w:val="6"/>
          <w:szCs w:val="6"/>
          <w:rtl/>
        </w:rPr>
      </w:pPr>
      <w:r>
        <w:rPr>
          <w:sz w:val="6"/>
          <w:szCs w:val="6"/>
          <w:rtl/>
        </w:rPr>
        <w:t>&lt;#4#&gt;</w:t>
      </w:r>
    </w:p>
    <w:p w14:paraId="60962C42" w14:textId="77777777" w:rsidR="00EC41B8" w:rsidRDefault="00EC41B8">
      <w:pPr>
        <w:jc w:val="right"/>
        <w:rPr>
          <w:rtl/>
        </w:rPr>
      </w:pPr>
    </w:p>
    <w:p w14:paraId="7C2CCF8B" w14:textId="77777777" w:rsidR="00EC41B8" w:rsidRDefault="00DA4A3F">
      <w:pPr>
        <w:jc w:val="center"/>
        <w:rPr>
          <w:rtl/>
        </w:rPr>
      </w:pPr>
      <w:r w:rsidRPr="00DA4A3F">
        <w:rPr>
          <w:b/>
          <w:bCs/>
          <w:color w:val="FFFFFF"/>
          <w:sz w:val="2"/>
          <w:szCs w:val="2"/>
          <w:rtl/>
        </w:rPr>
        <w:t>5129371</w:t>
      </w:r>
      <w:r>
        <w:rPr>
          <w:b/>
          <w:bCs/>
          <w:rtl/>
        </w:rPr>
        <w:t xml:space="preserve">ניתנה והודעה היום ו' כסלו תשע"ז, 06/12/2016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C41B8" w14:paraId="63EDFF7C" w14:textId="77777777">
        <w:trPr>
          <w:trHeight w:val="316"/>
          <w:jc w:val="right"/>
        </w:trPr>
        <w:tc>
          <w:tcPr>
            <w:tcW w:w="3936" w:type="dxa"/>
            <w:shd w:val="clear" w:color="auto" w:fill="auto"/>
          </w:tcPr>
          <w:p w14:paraId="5E22F317" w14:textId="77777777" w:rsidR="00EC41B8" w:rsidRPr="00DA4A3F" w:rsidRDefault="00DA4A3F">
            <w:pPr>
              <w:jc w:val="center"/>
              <w:rPr>
                <w:rFonts w:ascii="Times New Roman" w:eastAsia="Times New Roman" w:hAnsi="Times New Roman" w:cs="Times New Roman"/>
                <w:color w:val="FFFFFF"/>
                <w:sz w:val="2"/>
                <w:szCs w:val="2"/>
              </w:rPr>
            </w:pPr>
            <w:r w:rsidRPr="00DA4A3F">
              <w:rPr>
                <w:rFonts w:ascii="Times New Roman" w:eastAsia="Times New Roman" w:hAnsi="Times New Roman" w:cs="Times New Roman"/>
                <w:color w:val="FFFFFF"/>
                <w:sz w:val="2"/>
                <w:szCs w:val="2"/>
                <w:rtl/>
              </w:rPr>
              <w:t>54678313</w:t>
            </w:r>
          </w:p>
          <w:p w14:paraId="7DD4B343" w14:textId="77777777" w:rsidR="00EC41B8" w:rsidRDefault="00EC41B8">
            <w:pPr>
              <w:jc w:val="center"/>
              <w:rPr>
                <w:rFonts w:ascii="Times New Roman" w:eastAsia="Times New Roman" w:hAnsi="Times New Roman" w:cs="Times New Roman"/>
                <w:rtl/>
              </w:rPr>
            </w:pPr>
          </w:p>
        </w:tc>
      </w:tr>
      <w:tr w:rsidR="00EC41B8" w14:paraId="0C25021B" w14:textId="77777777">
        <w:trPr>
          <w:trHeight w:val="361"/>
          <w:jc w:val="right"/>
        </w:trPr>
        <w:tc>
          <w:tcPr>
            <w:tcW w:w="3936" w:type="dxa"/>
            <w:shd w:val="clear" w:color="auto" w:fill="auto"/>
          </w:tcPr>
          <w:p w14:paraId="3C6F127C" w14:textId="77777777" w:rsidR="00EC41B8" w:rsidRDefault="00DA4A3F">
            <w:pPr>
              <w:jc w:val="center"/>
              <w:rPr>
                <w:rFonts w:ascii="Times New Roman" w:eastAsia="Times New Roman" w:hAnsi="Times New Roman"/>
                <w:b/>
                <w:bCs/>
                <w:rtl/>
              </w:rPr>
            </w:pPr>
            <w:r>
              <w:rPr>
                <w:rFonts w:ascii="Times New Roman" w:eastAsia="Times New Roman" w:hAnsi="Times New Roman" w:hint="cs"/>
                <w:b/>
                <w:bCs/>
                <w:rtl/>
              </w:rPr>
              <w:t>עמי קובו</w:t>
            </w:r>
            <w:r>
              <w:rPr>
                <w:rFonts w:ascii="Times New Roman" w:eastAsia="Times New Roman" w:hAnsi="Times New Roman"/>
                <w:b/>
                <w:bCs/>
                <w:rtl/>
              </w:rPr>
              <w:t xml:space="preserve"> </w:t>
            </w:r>
            <w:r>
              <w:rPr>
                <w:rFonts w:ascii="Times New Roman" w:eastAsia="Times New Roman" w:hAnsi="Times New Roman" w:hint="cs"/>
                <w:b/>
                <w:bCs/>
                <w:rtl/>
              </w:rPr>
              <w:t>, שופט, סגן נשיאה</w:t>
            </w:r>
            <w:r>
              <w:rPr>
                <w:rFonts w:ascii="Times New Roman" w:eastAsia="Times New Roman" w:hAnsi="Times New Roman"/>
                <w:b/>
                <w:bCs/>
                <w:rtl/>
              </w:rPr>
              <w:t xml:space="preserve"> </w:t>
            </w:r>
          </w:p>
        </w:tc>
      </w:tr>
    </w:tbl>
    <w:p w14:paraId="02CE7E3C" w14:textId="77777777" w:rsidR="00EC41B8" w:rsidRDefault="00EC41B8">
      <w:pPr>
        <w:jc w:val="right"/>
        <w:rPr>
          <w:rtl/>
        </w:rPr>
      </w:pPr>
    </w:p>
    <w:p w14:paraId="46CD6EA8" w14:textId="77777777" w:rsidR="00EC41B8" w:rsidRDefault="00EC41B8">
      <w:pPr>
        <w:jc w:val="both"/>
        <w:rPr>
          <w:rtl/>
        </w:rPr>
      </w:pPr>
    </w:p>
    <w:p w14:paraId="521AF8FA" w14:textId="77777777" w:rsidR="00EC41B8" w:rsidRDefault="00EC41B8">
      <w:pPr>
        <w:spacing w:line="360" w:lineRule="auto"/>
        <w:jc w:val="center"/>
        <w:rPr>
          <w:rtl/>
        </w:rPr>
      </w:pPr>
    </w:p>
    <w:p w14:paraId="6FCE6669" w14:textId="77777777" w:rsidR="00EC41B8" w:rsidRDefault="00DA4A3F">
      <w:pPr>
        <w:spacing w:line="360" w:lineRule="auto"/>
        <w:jc w:val="both"/>
        <w:rPr>
          <w:rtl/>
        </w:rPr>
      </w:pPr>
      <w:r>
        <w:rPr>
          <w:rtl/>
        </w:rPr>
        <w:t xml:space="preserve"> </w:t>
      </w:r>
    </w:p>
    <w:p w14:paraId="5C3BB0F2" w14:textId="77777777" w:rsidR="00EC41B8" w:rsidRDefault="00DA4A3F">
      <w:r>
        <w:rPr>
          <w:rtl/>
        </w:rPr>
        <w:t>הוקלד</w:t>
      </w:r>
      <w:r>
        <w:t xml:space="preserve"> </w:t>
      </w:r>
      <w:r>
        <w:rPr>
          <w:rtl/>
        </w:rPr>
        <w:t>על</w:t>
      </w:r>
      <w:r>
        <w:t xml:space="preserve"> </w:t>
      </w:r>
      <w:r>
        <w:rPr>
          <w:rtl/>
        </w:rPr>
        <w:t>ידי</w:t>
      </w:r>
      <w:r>
        <w:t xml:space="preserve"> </w:t>
      </w:r>
      <w:r>
        <w:rPr>
          <w:rtl/>
        </w:rPr>
        <w:t>חנה</w:t>
      </w:r>
      <w:r>
        <w:t xml:space="preserve"> </w:t>
      </w:r>
      <w:r>
        <w:rPr>
          <w:rtl/>
        </w:rPr>
        <w:t>בבו</w:t>
      </w:r>
    </w:p>
    <w:p w14:paraId="790015D8" w14:textId="77777777" w:rsidR="00DA4A3F" w:rsidRPr="00DA4A3F" w:rsidRDefault="00DA4A3F" w:rsidP="00DA4A3F">
      <w:pPr>
        <w:keepNext/>
        <w:rPr>
          <w:color w:val="000000"/>
          <w:sz w:val="22"/>
          <w:szCs w:val="22"/>
          <w:rtl/>
        </w:rPr>
      </w:pPr>
    </w:p>
    <w:p w14:paraId="1352E8D2" w14:textId="77777777" w:rsidR="00DA4A3F" w:rsidRPr="00DA4A3F" w:rsidRDefault="00DA4A3F" w:rsidP="00DA4A3F">
      <w:pPr>
        <w:keepNext/>
        <w:rPr>
          <w:color w:val="000000"/>
          <w:sz w:val="22"/>
          <w:szCs w:val="22"/>
          <w:rtl/>
        </w:rPr>
      </w:pPr>
      <w:r w:rsidRPr="00DA4A3F">
        <w:rPr>
          <w:color w:val="000000"/>
          <w:sz w:val="22"/>
          <w:szCs w:val="22"/>
          <w:rtl/>
        </w:rPr>
        <w:t>ד"ר עמי קובו 54678313</w:t>
      </w:r>
    </w:p>
    <w:p w14:paraId="6EBA82BF" w14:textId="77777777" w:rsidR="00DA4A3F" w:rsidRDefault="00DA4A3F" w:rsidP="00DA4A3F">
      <w:pPr>
        <w:rPr>
          <w:color w:val="000000"/>
          <w:rtl/>
        </w:rPr>
      </w:pPr>
      <w:r w:rsidRPr="00DA4A3F">
        <w:rPr>
          <w:color w:val="000000"/>
          <w:rtl/>
        </w:rPr>
        <w:t>נוסח מסמך זה כפוף לשינויי ניסוח ועריכה</w:t>
      </w:r>
    </w:p>
    <w:p w14:paraId="0436DE04" w14:textId="77777777" w:rsidR="00DA4A3F" w:rsidRDefault="00DA4A3F" w:rsidP="00DA4A3F">
      <w:pPr>
        <w:rPr>
          <w:rtl/>
        </w:rPr>
      </w:pPr>
    </w:p>
    <w:p w14:paraId="47EFE00C" w14:textId="77777777" w:rsidR="00DA4A3F" w:rsidRDefault="00DA4A3F" w:rsidP="00DA4A3F">
      <w:pPr>
        <w:jc w:val="center"/>
        <w:rPr>
          <w:color w:val="0000FF"/>
          <w:u w:val="single"/>
          <w:rtl/>
        </w:rPr>
      </w:pPr>
      <w:hyperlink r:id="rId18" w:history="1">
        <w:r>
          <w:rPr>
            <w:rStyle w:val="Hyperlink"/>
            <w:rtl/>
          </w:rPr>
          <w:t>בעניין עריכה ושינויים במסמכי פסיקה, חקיקה ועוד באתר נבו – הקש כאן</w:t>
        </w:r>
      </w:hyperlink>
    </w:p>
    <w:p w14:paraId="587306B9" w14:textId="77777777" w:rsidR="00EC41B8" w:rsidRPr="00DA4A3F" w:rsidRDefault="00EC41B8" w:rsidP="00DA4A3F">
      <w:pPr>
        <w:jc w:val="center"/>
        <w:rPr>
          <w:color w:val="0000FF"/>
          <w:u w:val="single"/>
        </w:rPr>
      </w:pPr>
    </w:p>
    <w:sectPr w:rsidR="00EC41B8" w:rsidRPr="00DA4A3F" w:rsidSect="00DA4A3F">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85461" w14:textId="77777777" w:rsidR="002D78F4" w:rsidRDefault="002D78F4">
      <w:r>
        <w:separator/>
      </w:r>
    </w:p>
  </w:endnote>
  <w:endnote w:type="continuationSeparator" w:id="0">
    <w:p w14:paraId="092864FA" w14:textId="77777777" w:rsidR="002D78F4" w:rsidRDefault="002D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445C1" w14:textId="77777777" w:rsidR="002D78F4" w:rsidRDefault="002D78F4" w:rsidP="00DA4A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15F4C6EC" w14:textId="77777777" w:rsidR="002D78F4" w:rsidRPr="00DA4A3F" w:rsidRDefault="002D78F4" w:rsidP="00DA4A3F">
    <w:pPr>
      <w:pStyle w:val="a5"/>
      <w:pBdr>
        <w:top w:val="single" w:sz="4" w:space="1" w:color="auto"/>
        <w:between w:val="single" w:sz="4" w:space="0" w:color="auto"/>
      </w:pBdr>
      <w:spacing w:after="60"/>
      <w:jc w:val="center"/>
      <w:rPr>
        <w:rFonts w:ascii="FrankRuehl" w:hAnsi="FrankRuehl" w:cs="FrankRuehl"/>
        <w:color w:val="000000"/>
      </w:rPr>
    </w:pPr>
    <w:r w:rsidRPr="00DA4A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2F1DA" w14:textId="77777777" w:rsidR="002D78F4" w:rsidRDefault="002D78F4" w:rsidP="00DA4A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3FA5">
      <w:rPr>
        <w:rFonts w:ascii="FrankRuehl" w:hAnsi="FrankRuehl" w:cs="FrankRuehl"/>
        <w:noProof/>
        <w:rtl/>
      </w:rPr>
      <w:t>1</w:t>
    </w:r>
    <w:r>
      <w:rPr>
        <w:rFonts w:ascii="FrankRuehl" w:hAnsi="FrankRuehl" w:cs="FrankRuehl"/>
        <w:rtl/>
      </w:rPr>
      <w:fldChar w:fldCharType="end"/>
    </w:r>
  </w:p>
  <w:p w14:paraId="653502F9" w14:textId="77777777" w:rsidR="002D78F4" w:rsidRPr="00DA4A3F" w:rsidRDefault="002D78F4" w:rsidP="00DA4A3F">
    <w:pPr>
      <w:pStyle w:val="a5"/>
      <w:pBdr>
        <w:top w:val="single" w:sz="4" w:space="1" w:color="auto"/>
        <w:between w:val="single" w:sz="4" w:space="0" w:color="auto"/>
      </w:pBdr>
      <w:spacing w:after="60"/>
      <w:jc w:val="center"/>
      <w:rPr>
        <w:rFonts w:ascii="FrankRuehl" w:hAnsi="FrankRuehl" w:cs="FrankRuehl"/>
        <w:color w:val="000000"/>
      </w:rPr>
    </w:pPr>
    <w:r w:rsidRPr="00DA4A3F">
      <w:rPr>
        <w:rFonts w:ascii="FrankRuehl" w:hAnsi="FrankRuehl" w:cs="FrankRuehl"/>
        <w:color w:val="000000"/>
      </w:rPr>
      <w:pict w14:anchorId="78CDA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1F726" w14:textId="77777777" w:rsidR="002D78F4" w:rsidRDefault="002D78F4">
      <w:r>
        <w:separator/>
      </w:r>
    </w:p>
  </w:footnote>
  <w:footnote w:type="continuationSeparator" w:id="0">
    <w:p w14:paraId="7400C6EA" w14:textId="77777777" w:rsidR="002D78F4" w:rsidRDefault="002D7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6650A" w14:textId="77777777" w:rsidR="002D78F4" w:rsidRPr="00DA4A3F" w:rsidRDefault="002D78F4" w:rsidP="00DA4A3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21938-04-15</w:t>
    </w:r>
    <w:r>
      <w:rPr>
        <w:color w:val="000000"/>
        <w:sz w:val="22"/>
        <w:szCs w:val="22"/>
        <w:rtl/>
      </w:rPr>
      <w:tab/>
      <w:t xml:space="preserve"> מדינת ישראל נ' מוחמד אל עליוי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8B5B3" w14:textId="77777777" w:rsidR="002D78F4" w:rsidRPr="00DA4A3F" w:rsidRDefault="002D78F4" w:rsidP="00DA4A3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21938-04-15</w:t>
    </w:r>
    <w:r>
      <w:rPr>
        <w:color w:val="000000"/>
        <w:sz w:val="22"/>
        <w:szCs w:val="22"/>
        <w:rtl/>
      </w:rPr>
      <w:tab/>
      <w:t xml:space="preserve"> מדינת ישראל נ' מוחמד אל עליוי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41B8"/>
    <w:rsid w:val="002D78F4"/>
    <w:rsid w:val="00430D59"/>
    <w:rsid w:val="0068688B"/>
    <w:rsid w:val="009232EA"/>
    <w:rsid w:val="00DA4A3F"/>
    <w:rsid w:val="00E14998"/>
    <w:rsid w:val="00EA3FA5"/>
    <w:rsid w:val="00EC41B8"/>
    <w:rsid w:val="00EE4D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8FBB4B"/>
  <w15:chartTrackingRefBased/>
  <w15:docId w15:val="{94129546-3469-4071-8484-B76C6F7C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41B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C41B8"/>
  </w:style>
  <w:style w:type="paragraph" w:styleId="a4">
    <w:name w:val="header"/>
    <w:basedOn w:val="a"/>
    <w:rsid w:val="00EC41B8"/>
    <w:pPr>
      <w:tabs>
        <w:tab w:val="center" w:pos="4153"/>
        <w:tab w:val="right" w:pos="8306"/>
      </w:tabs>
    </w:pPr>
  </w:style>
  <w:style w:type="paragraph" w:styleId="a5">
    <w:name w:val="footer"/>
    <w:basedOn w:val="a"/>
    <w:rsid w:val="00EC41B8"/>
    <w:pPr>
      <w:tabs>
        <w:tab w:val="center" w:pos="4153"/>
        <w:tab w:val="right" w:pos="8306"/>
      </w:tabs>
    </w:pPr>
  </w:style>
  <w:style w:type="character" w:styleId="a6">
    <w:name w:val="page number"/>
    <w:basedOn w:val="a0"/>
    <w:rsid w:val="00EC41B8"/>
  </w:style>
  <w:style w:type="paragraph" w:customStyle="1" w:styleId="12">
    <w:name w:val="רגיל + ‏12 נק'"/>
    <w:aliases w:val="מיושר לשני הצדדים,מרווח בין שורות:  שורה וחצי"/>
    <w:basedOn w:val="a"/>
    <w:rsid w:val="00EC41B8"/>
    <w:rPr>
      <w:rFonts w:ascii="Times New Roman" w:eastAsia="Times New Roman" w:hAnsi="Times New Roman"/>
      <w:b/>
      <w:bCs/>
      <w:u w:val="single"/>
    </w:rPr>
  </w:style>
  <w:style w:type="character" w:styleId="Hyperlink">
    <w:name w:val="Hyperlink"/>
    <w:basedOn w:val="a0"/>
    <w:rsid w:val="00DA4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 TargetMode="External"/><Relationship Id="rId13" Type="http://schemas.openxmlformats.org/officeDocument/2006/relationships/hyperlink" Target="http://www.nevo.co.il/law/4216/19"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13"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287.a"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199826"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0433092" TargetMode="External"/><Relationship Id="rId23" Type="http://schemas.openxmlformats.org/officeDocument/2006/relationships/fontTable" Target="fontTable.xml"/><Relationship Id="rId10" Type="http://schemas.openxmlformats.org/officeDocument/2006/relationships/hyperlink" Target="http://www.nevo.co.il/law/70301/287.a"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2970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3556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3932279</vt:i4>
      </vt:variant>
      <vt:variant>
        <vt:i4>27</vt:i4>
      </vt:variant>
      <vt:variant>
        <vt:i4>0</vt:i4>
      </vt:variant>
      <vt:variant>
        <vt:i4>5</vt:i4>
      </vt:variant>
      <vt:variant>
        <vt:lpwstr>http://www.nevo.co.il/case/20433092</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http://www.nevo.co.il/law/4216/19</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3670133</vt:i4>
      </vt:variant>
      <vt:variant>
        <vt:i4>15</vt:i4>
      </vt:variant>
      <vt:variant>
        <vt:i4>0</vt:i4>
      </vt:variant>
      <vt:variant>
        <vt:i4>5</vt:i4>
      </vt:variant>
      <vt:variant>
        <vt:lpwstr>http://www.nevo.co.il/case/20199826</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2025-04-22T22:40:00Z</dcterms:created>
  <dcterms:modified xsi:type="dcterms:W3CDTF">2025-04-22T22:40:00Z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21938;22335</vt:lpwstr>
  </property>
  <property fmtid="{D5CDD505-2E9C-101B-9397-08002B2CF9AE}" pid="6" name="NEWPARTB">
    <vt:lpwstr>04;07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אל עליוי</vt:lpwstr>
  </property>
  <property fmtid="{D5CDD505-2E9C-101B-9397-08002B2CF9AE}" pid="10" name="LAWYER">
    <vt:lpwstr>דפנה קרפל זוהר שקורי שורץ;חי אוזן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20161206</vt:lpwstr>
  </property>
  <property fmtid="{D5CDD505-2E9C-101B-9397-08002B2CF9AE}" pid="14" name="TYPE_N_DATE">
    <vt:lpwstr>38020161206</vt:lpwstr>
  </property>
  <property fmtid="{D5CDD505-2E9C-101B-9397-08002B2CF9AE}" pid="15" name="CASESLISTTMP1">
    <vt:lpwstr>20199826;20433092</vt:lpwstr>
  </property>
  <property fmtid="{D5CDD505-2E9C-101B-9397-08002B2CF9AE}" pid="16" name="WORDNUMPAGES">
    <vt:lpwstr>3</vt:lpwstr>
  </property>
  <property fmtid="{D5CDD505-2E9C-101B-9397-08002B2CF9AE}" pid="17" name="TYPE_ABS_DATE">
    <vt:lpwstr>380020161206</vt:lpwstr>
  </property>
  <property fmtid="{D5CDD505-2E9C-101B-9397-08002B2CF9AE}" pid="18" name="ISABSTRACT">
    <vt:lpwstr>Y</vt:lpwstr>
  </property>
  <property fmtid="{D5CDD505-2E9C-101B-9397-08002B2CF9AE}" pid="19" name="LAWLISTTMP1">
    <vt:lpwstr>4216/013;019</vt:lpwstr>
  </property>
  <property fmtid="{D5CDD505-2E9C-101B-9397-08002B2CF9AE}" pid="20" name="LAWLISTTMP2">
    <vt:lpwstr>70301/287.a</vt:lpwstr>
  </property>
</Properties>
</file>