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0423AA" w:rsidRPr="0096481C" w14:paraId="5A6AD6A2" w14:textId="77777777" w:rsidTr="00434AE2">
        <w:trPr>
          <w:trHeight w:hRule="exact" w:val="418"/>
          <w:jc w:val="center"/>
        </w:trPr>
        <w:tc>
          <w:tcPr>
            <w:tcW w:w="8720" w:type="dxa"/>
            <w:gridSpan w:val="3"/>
          </w:tcPr>
          <w:p w14:paraId="4CBF1A90" w14:textId="77777777" w:rsidR="000423AA" w:rsidRPr="0096481C" w:rsidRDefault="000423AA" w:rsidP="00434AE2">
            <w:pPr>
              <w:pStyle w:val="a3"/>
              <w:tabs>
                <w:tab w:val="clear" w:pos="8306"/>
              </w:tabs>
              <w:jc w:val="center"/>
              <w:rPr>
                <w:rFonts w:ascii="Tahoma" w:hAnsi="Tahoma" w:cs="Tahoma"/>
                <w:b/>
                <w:bCs/>
                <w:color w:val="000080"/>
                <w:sz w:val="20"/>
                <w:szCs w:val="20"/>
                <w:rtl/>
              </w:rPr>
            </w:pPr>
            <w:bookmarkStart w:id="0" w:name="LastJudge"/>
            <w:r w:rsidRPr="0096481C">
              <w:rPr>
                <w:rFonts w:ascii="Tahoma" w:hAnsi="Tahoma" w:cs="Tahoma"/>
                <w:b/>
                <w:bCs/>
                <w:color w:val="000080"/>
                <w:sz w:val="20"/>
                <w:szCs w:val="20"/>
                <w:rtl/>
              </w:rPr>
              <w:t>בית משפט השלום בנתניה</w:t>
            </w:r>
          </w:p>
        </w:tc>
      </w:tr>
      <w:tr w:rsidR="000423AA" w:rsidRPr="0096481C" w14:paraId="65B0EBFD" w14:textId="77777777" w:rsidTr="00434AE2">
        <w:trPr>
          <w:trHeight w:val="337"/>
          <w:jc w:val="center"/>
        </w:trPr>
        <w:tc>
          <w:tcPr>
            <w:tcW w:w="6396" w:type="dxa"/>
          </w:tcPr>
          <w:p w14:paraId="4FB8FA43" w14:textId="77777777" w:rsidR="000423AA" w:rsidRPr="0096481C" w:rsidRDefault="000423AA" w:rsidP="00434AE2">
            <w:pPr>
              <w:rPr>
                <w:b/>
                <w:bCs/>
                <w:sz w:val="26"/>
                <w:szCs w:val="26"/>
                <w:rtl/>
              </w:rPr>
            </w:pPr>
            <w:r w:rsidRPr="0096481C">
              <w:rPr>
                <w:b/>
                <w:bCs/>
                <w:sz w:val="26"/>
                <w:szCs w:val="26"/>
                <w:rtl/>
              </w:rPr>
              <w:t>ת"פ</w:t>
            </w:r>
            <w:r w:rsidRPr="0096481C">
              <w:rPr>
                <w:rFonts w:hint="cs"/>
                <w:b/>
                <w:bCs/>
                <w:sz w:val="26"/>
                <w:szCs w:val="26"/>
                <w:rtl/>
              </w:rPr>
              <w:t xml:space="preserve"> </w:t>
            </w:r>
            <w:r w:rsidRPr="0096481C">
              <w:rPr>
                <w:b/>
                <w:bCs/>
                <w:sz w:val="26"/>
                <w:szCs w:val="26"/>
                <w:rtl/>
              </w:rPr>
              <w:t>36599-04-15</w:t>
            </w:r>
            <w:r w:rsidRPr="0096481C">
              <w:rPr>
                <w:rFonts w:hint="cs"/>
                <w:b/>
                <w:bCs/>
                <w:sz w:val="26"/>
                <w:szCs w:val="26"/>
                <w:rtl/>
              </w:rPr>
              <w:t xml:space="preserve"> </w:t>
            </w:r>
            <w:r w:rsidRPr="0096481C">
              <w:rPr>
                <w:b/>
                <w:bCs/>
                <w:sz w:val="26"/>
                <w:szCs w:val="26"/>
                <w:rtl/>
              </w:rPr>
              <w:t>מדינת ישראל נ' קוניו</w:t>
            </w:r>
          </w:p>
          <w:p w14:paraId="0665CE62" w14:textId="77777777" w:rsidR="000423AA" w:rsidRPr="0096481C" w:rsidRDefault="000423AA" w:rsidP="00434AE2">
            <w:pPr>
              <w:rPr>
                <w:b/>
                <w:bCs/>
                <w:sz w:val="26"/>
                <w:szCs w:val="26"/>
                <w:rtl/>
              </w:rPr>
            </w:pPr>
          </w:p>
        </w:tc>
        <w:tc>
          <w:tcPr>
            <w:tcW w:w="236" w:type="dxa"/>
          </w:tcPr>
          <w:p w14:paraId="0AAB4A9D" w14:textId="77777777" w:rsidR="000423AA" w:rsidRPr="0096481C" w:rsidRDefault="000423AA" w:rsidP="00434AE2">
            <w:pPr>
              <w:pStyle w:val="a3"/>
              <w:jc w:val="right"/>
              <w:rPr>
                <w:b/>
                <w:bCs/>
                <w:sz w:val="26"/>
                <w:szCs w:val="26"/>
                <w:rtl/>
              </w:rPr>
            </w:pPr>
          </w:p>
        </w:tc>
        <w:tc>
          <w:tcPr>
            <w:tcW w:w="2088" w:type="dxa"/>
          </w:tcPr>
          <w:p w14:paraId="685A27AC" w14:textId="77777777" w:rsidR="000423AA" w:rsidRPr="0096481C" w:rsidRDefault="000423AA" w:rsidP="00434AE2">
            <w:pPr>
              <w:pStyle w:val="a3"/>
              <w:tabs>
                <w:tab w:val="clear" w:pos="4153"/>
              </w:tabs>
              <w:jc w:val="right"/>
              <w:rPr>
                <w:b/>
                <w:bCs/>
                <w:sz w:val="26"/>
                <w:szCs w:val="26"/>
                <w:rtl/>
              </w:rPr>
            </w:pPr>
            <w:r w:rsidRPr="0096481C">
              <w:rPr>
                <w:b/>
                <w:bCs/>
                <w:sz w:val="26"/>
                <w:szCs w:val="26"/>
                <w:rtl/>
              </w:rPr>
              <w:t>21 נובמבר 2017</w:t>
            </w:r>
          </w:p>
        </w:tc>
      </w:tr>
    </w:tbl>
    <w:p w14:paraId="4F5A4870" w14:textId="77777777" w:rsidR="000423AA" w:rsidRPr="0096481C" w:rsidRDefault="000423AA" w:rsidP="000423AA">
      <w:pPr>
        <w:pStyle w:val="a3"/>
        <w:jc w:val="center"/>
        <w:rPr>
          <w:rFonts w:ascii="Tahoma" w:hAnsi="Tahoma" w:cs="Tahoma"/>
          <w:b/>
          <w:bCs/>
          <w:color w:val="000080"/>
          <w:sz w:val="20"/>
          <w:szCs w:val="20"/>
          <w:rtl/>
        </w:rPr>
      </w:pPr>
    </w:p>
    <w:p w14:paraId="5599D05F" w14:textId="77777777" w:rsidR="000423AA" w:rsidRPr="0096481C" w:rsidRDefault="000423AA" w:rsidP="000423AA">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434AE2" w:rsidRPr="0096481C" w14:paraId="6D477F57" w14:textId="77777777" w:rsidTr="000423AA">
        <w:trPr>
          <w:gridAfter w:val="1"/>
          <w:wAfter w:w="56" w:type="dxa"/>
        </w:trPr>
        <w:tc>
          <w:tcPr>
            <w:tcW w:w="8718" w:type="dxa"/>
            <w:gridSpan w:val="2"/>
            <w:shd w:val="clear" w:color="auto" w:fill="auto"/>
          </w:tcPr>
          <w:p w14:paraId="08DBA4A2" w14:textId="77777777" w:rsidR="000423AA" w:rsidRPr="0096481C" w:rsidRDefault="000423AA" w:rsidP="00434AE2">
            <w:pPr>
              <w:rPr>
                <w:b/>
                <w:bCs/>
                <w:sz w:val="26"/>
                <w:szCs w:val="26"/>
                <w:rtl/>
              </w:rPr>
            </w:pPr>
            <w:r w:rsidRPr="0096481C">
              <w:rPr>
                <w:rFonts w:hint="cs"/>
                <w:b/>
                <w:bCs/>
                <w:sz w:val="26"/>
                <w:szCs w:val="26"/>
                <w:rtl/>
              </w:rPr>
              <w:t>לפני כבוד ה</w:t>
            </w:r>
            <w:r w:rsidRPr="0096481C">
              <w:rPr>
                <w:b/>
                <w:bCs/>
                <w:sz w:val="26"/>
                <w:szCs w:val="26"/>
                <w:rtl/>
              </w:rPr>
              <w:t>שופט עמית פרייז</w:t>
            </w:r>
            <w:r w:rsidRPr="0096481C">
              <w:rPr>
                <w:rStyle w:val="TimesNewRomanTimesNewRoman"/>
                <w:rtl/>
              </w:rPr>
              <w:t xml:space="preserve"> </w:t>
            </w:r>
          </w:p>
        </w:tc>
      </w:tr>
      <w:tr w:rsidR="00434AE2" w:rsidRPr="0096481C" w14:paraId="45700E7F" w14:textId="77777777" w:rsidTr="000423AA">
        <w:trPr>
          <w:cantSplit/>
          <w:trHeight w:val="724"/>
        </w:trPr>
        <w:tc>
          <w:tcPr>
            <w:tcW w:w="2880" w:type="dxa"/>
            <w:shd w:val="clear" w:color="auto" w:fill="auto"/>
          </w:tcPr>
          <w:p w14:paraId="6AED180D" w14:textId="77777777" w:rsidR="000423AA" w:rsidRPr="0096481C" w:rsidRDefault="000423AA" w:rsidP="000423AA">
            <w:pPr>
              <w:ind w:left="26"/>
              <w:rPr>
                <w:b/>
                <w:bCs/>
                <w:sz w:val="26"/>
                <w:szCs w:val="26"/>
                <w:rtl/>
              </w:rPr>
            </w:pPr>
            <w:bookmarkStart w:id="1" w:name="FirstAppellant"/>
          </w:p>
          <w:p w14:paraId="24C096D9" w14:textId="77777777" w:rsidR="000423AA" w:rsidRPr="0096481C" w:rsidRDefault="000423AA" w:rsidP="000423AA">
            <w:pPr>
              <w:ind w:left="26"/>
              <w:rPr>
                <w:b/>
                <w:bCs/>
                <w:sz w:val="26"/>
                <w:szCs w:val="26"/>
                <w:rtl/>
              </w:rPr>
            </w:pPr>
            <w:r w:rsidRPr="0096481C">
              <w:rPr>
                <w:rFonts w:hint="cs"/>
                <w:b/>
                <w:bCs/>
                <w:sz w:val="26"/>
                <w:szCs w:val="26"/>
                <w:rtl/>
              </w:rPr>
              <w:t>ה</w:t>
            </w:r>
            <w:r w:rsidRPr="0096481C">
              <w:rPr>
                <w:b/>
                <w:bCs/>
                <w:sz w:val="26"/>
                <w:szCs w:val="26"/>
                <w:rtl/>
              </w:rPr>
              <w:t>מאשימה</w:t>
            </w:r>
          </w:p>
        </w:tc>
        <w:tc>
          <w:tcPr>
            <w:tcW w:w="5922" w:type="dxa"/>
            <w:gridSpan w:val="2"/>
            <w:shd w:val="clear" w:color="auto" w:fill="auto"/>
          </w:tcPr>
          <w:p w14:paraId="0B67BA82" w14:textId="77777777" w:rsidR="000423AA" w:rsidRPr="0096481C" w:rsidRDefault="000423AA" w:rsidP="00434AE2">
            <w:pPr>
              <w:rPr>
                <w:rtl/>
              </w:rPr>
            </w:pPr>
          </w:p>
          <w:p w14:paraId="256ABF21" w14:textId="77777777" w:rsidR="000423AA" w:rsidRPr="0096481C" w:rsidRDefault="000423AA" w:rsidP="00434AE2">
            <w:pPr>
              <w:rPr>
                <w:b/>
                <w:bCs/>
                <w:sz w:val="26"/>
                <w:szCs w:val="26"/>
                <w:rtl/>
              </w:rPr>
            </w:pPr>
            <w:r w:rsidRPr="0096481C">
              <w:rPr>
                <w:rFonts w:hint="cs"/>
                <w:rtl/>
              </w:rPr>
              <w:t xml:space="preserve"> </w:t>
            </w:r>
            <w:r w:rsidRPr="0096481C">
              <w:rPr>
                <w:b/>
                <w:bCs/>
                <w:sz w:val="26"/>
                <w:szCs w:val="26"/>
                <w:rtl/>
              </w:rPr>
              <w:t>מדינת ישראל</w:t>
            </w:r>
          </w:p>
          <w:p w14:paraId="0B332DC8" w14:textId="77777777" w:rsidR="000423AA" w:rsidRPr="0096481C" w:rsidRDefault="000423AA" w:rsidP="00434AE2">
            <w:pPr>
              <w:rPr>
                <w:b/>
                <w:bCs/>
                <w:sz w:val="26"/>
                <w:szCs w:val="26"/>
                <w:rtl/>
              </w:rPr>
            </w:pPr>
          </w:p>
        </w:tc>
      </w:tr>
      <w:bookmarkEnd w:id="1"/>
      <w:tr w:rsidR="00434AE2" w:rsidRPr="0096481C" w14:paraId="24A90EC3" w14:textId="77777777" w:rsidTr="000423AA">
        <w:tc>
          <w:tcPr>
            <w:tcW w:w="8802" w:type="dxa"/>
            <w:gridSpan w:val="3"/>
            <w:shd w:val="clear" w:color="auto" w:fill="auto"/>
            <w:vAlign w:val="center"/>
          </w:tcPr>
          <w:p w14:paraId="76E90ADB" w14:textId="77777777" w:rsidR="000423AA" w:rsidRPr="0096481C" w:rsidRDefault="000423AA" w:rsidP="000423AA">
            <w:pPr>
              <w:jc w:val="center"/>
              <w:rPr>
                <w:rFonts w:ascii="Arial" w:hAnsi="Arial"/>
                <w:b/>
                <w:bCs/>
                <w:sz w:val="26"/>
                <w:szCs w:val="26"/>
                <w:rtl/>
              </w:rPr>
            </w:pPr>
            <w:r w:rsidRPr="0096481C">
              <w:rPr>
                <w:rFonts w:ascii="Arial" w:hAnsi="Arial"/>
                <w:b/>
                <w:bCs/>
                <w:sz w:val="26"/>
                <w:szCs w:val="26"/>
                <w:rtl/>
              </w:rPr>
              <w:t>נגד</w:t>
            </w:r>
          </w:p>
          <w:p w14:paraId="655262E6" w14:textId="77777777" w:rsidR="000423AA" w:rsidRPr="0096481C" w:rsidRDefault="000423AA" w:rsidP="00434AE2">
            <w:pPr>
              <w:rPr>
                <w:rFonts w:ascii="Arial" w:hAnsi="Arial"/>
                <w:b/>
                <w:bCs/>
                <w:sz w:val="26"/>
                <w:szCs w:val="26"/>
              </w:rPr>
            </w:pPr>
          </w:p>
        </w:tc>
      </w:tr>
      <w:tr w:rsidR="00434AE2" w:rsidRPr="0096481C" w14:paraId="549F3552" w14:textId="77777777" w:rsidTr="000423AA">
        <w:tc>
          <w:tcPr>
            <w:tcW w:w="2880" w:type="dxa"/>
            <w:shd w:val="clear" w:color="auto" w:fill="auto"/>
          </w:tcPr>
          <w:p w14:paraId="04A81653" w14:textId="77777777" w:rsidR="000423AA" w:rsidRPr="0096481C" w:rsidRDefault="000423AA" w:rsidP="000423AA">
            <w:pPr>
              <w:ind w:left="26"/>
              <w:rPr>
                <w:b/>
                <w:bCs/>
                <w:sz w:val="26"/>
                <w:szCs w:val="26"/>
                <w:rtl/>
              </w:rPr>
            </w:pPr>
            <w:r w:rsidRPr="0096481C">
              <w:rPr>
                <w:rFonts w:hint="cs"/>
                <w:b/>
                <w:bCs/>
                <w:sz w:val="26"/>
                <w:szCs w:val="26"/>
                <w:rtl/>
              </w:rPr>
              <w:t>ה</w:t>
            </w:r>
            <w:r w:rsidRPr="0096481C">
              <w:rPr>
                <w:b/>
                <w:bCs/>
                <w:sz w:val="26"/>
                <w:szCs w:val="26"/>
                <w:rtl/>
              </w:rPr>
              <w:t>נאשם</w:t>
            </w:r>
          </w:p>
        </w:tc>
        <w:tc>
          <w:tcPr>
            <w:tcW w:w="5922" w:type="dxa"/>
            <w:gridSpan w:val="2"/>
            <w:shd w:val="clear" w:color="auto" w:fill="auto"/>
          </w:tcPr>
          <w:p w14:paraId="3F6D2C91" w14:textId="77777777" w:rsidR="000423AA" w:rsidRPr="0096481C" w:rsidRDefault="000423AA" w:rsidP="00434AE2">
            <w:pPr>
              <w:rPr>
                <w:b/>
                <w:bCs/>
                <w:sz w:val="26"/>
                <w:szCs w:val="26"/>
                <w:rtl/>
              </w:rPr>
            </w:pPr>
            <w:r w:rsidRPr="0096481C">
              <w:rPr>
                <w:rFonts w:hint="cs"/>
                <w:rtl/>
              </w:rPr>
              <w:t xml:space="preserve"> </w:t>
            </w:r>
            <w:r w:rsidRPr="0096481C">
              <w:rPr>
                <w:b/>
                <w:bCs/>
                <w:sz w:val="26"/>
                <w:szCs w:val="26"/>
                <w:rtl/>
              </w:rPr>
              <w:t>אלעד קוניו</w:t>
            </w:r>
            <w:r w:rsidRPr="0096481C">
              <w:rPr>
                <w:rFonts w:hint="cs"/>
                <w:rtl/>
              </w:rPr>
              <w:t xml:space="preserve"> </w:t>
            </w:r>
            <w:r w:rsidRPr="0096481C">
              <w:rPr>
                <w:rFonts w:hint="eastAsia"/>
                <w:b/>
                <w:bCs/>
                <w:sz w:val="26"/>
                <w:szCs w:val="26"/>
                <w:rtl/>
              </w:rPr>
              <w:t>ת.ז.</w:t>
            </w:r>
            <w:r w:rsidRPr="0096481C">
              <w:rPr>
                <w:b/>
                <w:bCs/>
                <w:sz w:val="26"/>
                <w:szCs w:val="26"/>
                <w:rtl/>
              </w:rPr>
              <w:t xml:space="preserve"> </w:t>
            </w:r>
            <w:r w:rsidRPr="0096481C">
              <w:rPr>
                <w:rFonts w:hint="cs"/>
                <w:b/>
                <w:bCs/>
                <w:sz w:val="26"/>
                <w:szCs w:val="26"/>
                <w:rtl/>
              </w:rPr>
              <w:t xml:space="preserve"> </w:t>
            </w:r>
            <w:r w:rsidR="0096481C">
              <w:rPr>
                <w:b/>
                <w:bCs/>
                <w:sz w:val="26"/>
                <w:szCs w:val="26"/>
              </w:rPr>
              <w:t>xxxxxxxxxx</w:t>
            </w:r>
          </w:p>
          <w:p w14:paraId="5A539C47" w14:textId="77777777" w:rsidR="000423AA" w:rsidRPr="0096481C" w:rsidRDefault="000423AA" w:rsidP="00434AE2">
            <w:pPr>
              <w:rPr>
                <w:b/>
                <w:bCs/>
                <w:sz w:val="26"/>
                <w:szCs w:val="26"/>
                <w:rtl/>
              </w:rPr>
            </w:pPr>
          </w:p>
        </w:tc>
      </w:tr>
    </w:tbl>
    <w:p w14:paraId="7ACD6958" w14:textId="77777777" w:rsidR="000423AA" w:rsidRPr="0096481C" w:rsidRDefault="000423AA" w:rsidP="000423AA">
      <w:pPr>
        <w:spacing w:line="360" w:lineRule="auto"/>
        <w:jc w:val="both"/>
        <w:rPr>
          <w:sz w:val="6"/>
          <w:szCs w:val="6"/>
          <w:rtl/>
        </w:rPr>
      </w:pPr>
      <w:r w:rsidRPr="0096481C">
        <w:rPr>
          <w:sz w:val="6"/>
          <w:szCs w:val="6"/>
          <w:rtl/>
        </w:rPr>
        <w:t>&lt;#2#&gt;</w:t>
      </w:r>
    </w:p>
    <w:p w14:paraId="354F5E03" w14:textId="77777777" w:rsidR="000423AA" w:rsidRPr="0096481C" w:rsidRDefault="000423AA" w:rsidP="000423AA">
      <w:pPr>
        <w:pStyle w:val="12"/>
        <w:rPr>
          <w:u w:val="none"/>
          <w:rtl/>
        </w:rPr>
      </w:pPr>
      <w:r w:rsidRPr="0096481C">
        <w:rPr>
          <w:rFonts w:hint="cs"/>
          <w:u w:val="none"/>
          <w:rtl/>
        </w:rPr>
        <w:t>נוכחים:</w:t>
      </w:r>
    </w:p>
    <w:p w14:paraId="40D67B79" w14:textId="77777777" w:rsidR="000423AA" w:rsidRPr="0096481C" w:rsidRDefault="000423AA" w:rsidP="000423AA">
      <w:pPr>
        <w:pStyle w:val="12"/>
        <w:rPr>
          <w:b w:val="0"/>
          <w:bCs w:val="0"/>
          <w:u w:val="none"/>
        </w:rPr>
      </w:pPr>
      <w:bookmarkStart w:id="2" w:name="FirstLawyer"/>
      <w:r w:rsidRPr="0096481C">
        <w:rPr>
          <w:rFonts w:hint="cs"/>
          <w:b w:val="0"/>
          <w:bCs w:val="0"/>
          <w:u w:val="none"/>
          <w:rtl/>
        </w:rPr>
        <w:t>ב"כ</w:t>
      </w:r>
      <w:bookmarkEnd w:id="2"/>
      <w:r w:rsidRPr="0096481C">
        <w:rPr>
          <w:rFonts w:hint="cs"/>
          <w:b w:val="0"/>
          <w:bCs w:val="0"/>
          <w:u w:val="none"/>
          <w:rtl/>
        </w:rPr>
        <w:t xml:space="preserve"> המאשימה עו"ד ניסים סוסי</w:t>
      </w:r>
    </w:p>
    <w:p w14:paraId="7F4B9763" w14:textId="77777777" w:rsidR="000423AA" w:rsidRPr="0096481C" w:rsidRDefault="000423AA" w:rsidP="000423AA">
      <w:pPr>
        <w:pStyle w:val="12"/>
        <w:rPr>
          <w:b w:val="0"/>
          <w:bCs w:val="0"/>
          <w:u w:val="none"/>
          <w:rtl/>
        </w:rPr>
      </w:pPr>
      <w:r w:rsidRPr="0096481C">
        <w:rPr>
          <w:rFonts w:hint="cs"/>
          <w:b w:val="0"/>
          <w:bCs w:val="0"/>
          <w:u w:val="none"/>
          <w:rtl/>
        </w:rPr>
        <w:t xml:space="preserve">הנאשם וב"כ עו"ד איתי רוזין מטעם הסניגוריה הציבורית </w:t>
      </w:r>
    </w:p>
    <w:p w14:paraId="11FBA748" w14:textId="77777777" w:rsidR="000423AA" w:rsidRPr="0096481C" w:rsidRDefault="000423AA" w:rsidP="000423AA">
      <w:pPr>
        <w:pStyle w:val="12"/>
        <w:rPr>
          <w:b w:val="0"/>
          <w:bCs w:val="0"/>
          <w:u w:val="none"/>
          <w:rtl/>
        </w:rPr>
      </w:pPr>
    </w:p>
    <w:p w14:paraId="7E4D216F" w14:textId="77777777" w:rsidR="00C95D53" w:rsidRDefault="000423AA" w:rsidP="000423AA">
      <w:pPr>
        <w:tabs>
          <w:tab w:val="left" w:pos="566"/>
        </w:tabs>
        <w:spacing w:line="360" w:lineRule="auto"/>
        <w:jc w:val="center"/>
        <w:rPr>
          <w:rFonts w:ascii="Arial" w:hAnsi="Arial"/>
          <w:sz w:val="28"/>
          <w:szCs w:val="28"/>
          <w:rtl/>
        </w:rPr>
      </w:pPr>
      <w:r w:rsidRPr="0096481C">
        <w:rPr>
          <w:rFonts w:ascii="Arial" w:hAnsi="Arial"/>
          <w:b/>
          <w:color w:val="FF0000"/>
          <w:sz w:val="28"/>
          <w:rtl/>
        </w:rPr>
        <w:t>במסמך זה הושמטו פרוטוקולים</w:t>
      </w:r>
      <w:bookmarkStart w:id="3" w:name="LawTable"/>
      <w:bookmarkEnd w:id="3"/>
    </w:p>
    <w:p w14:paraId="7008ACF0" w14:textId="77777777" w:rsidR="00C95D53" w:rsidRPr="00C95D53" w:rsidRDefault="00C95D53" w:rsidP="00C95D53">
      <w:pPr>
        <w:tabs>
          <w:tab w:val="left" w:pos="566"/>
        </w:tabs>
        <w:spacing w:after="120" w:line="240" w:lineRule="exact"/>
        <w:ind w:left="283" w:hanging="283"/>
        <w:jc w:val="both"/>
        <w:rPr>
          <w:rFonts w:ascii="FrankRuehl" w:hAnsi="FrankRuehl" w:cs="FrankRuehl"/>
          <w:rtl/>
        </w:rPr>
      </w:pPr>
    </w:p>
    <w:p w14:paraId="17DF58B8" w14:textId="77777777" w:rsidR="00C95D53" w:rsidRPr="00C95D53" w:rsidRDefault="00C95D53" w:rsidP="00C95D53">
      <w:pPr>
        <w:tabs>
          <w:tab w:val="left" w:pos="566"/>
        </w:tabs>
        <w:spacing w:after="120" w:line="240" w:lineRule="exact"/>
        <w:ind w:left="283" w:hanging="283"/>
        <w:jc w:val="both"/>
        <w:rPr>
          <w:rFonts w:ascii="FrankRuehl" w:hAnsi="FrankRuehl" w:cs="FrankRuehl"/>
          <w:rtl/>
        </w:rPr>
      </w:pPr>
      <w:r w:rsidRPr="00C95D53">
        <w:rPr>
          <w:rFonts w:ascii="FrankRuehl" w:hAnsi="FrankRuehl" w:cs="FrankRuehl"/>
          <w:rtl/>
        </w:rPr>
        <w:t xml:space="preserve">חקיקה שאוזכרה: </w:t>
      </w:r>
    </w:p>
    <w:p w14:paraId="6E5B431D" w14:textId="77777777" w:rsidR="00C95D53" w:rsidRPr="00C95D53" w:rsidRDefault="00C95D53" w:rsidP="00C95D53">
      <w:pPr>
        <w:tabs>
          <w:tab w:val="left" w:pos="566"/>
        </w:tabs>
        <w:spacing w:after="120" w:line="240" w:lineRule="exact"/>
        <w:ind w:left="283" w:hanging="283"/>
        <w:jc w:val="both"/>
        <w:rPr>
          <w:rFonts w:ascii="FrankRuehl" w:hAnsi="FrankRuehl" w:cs="FrankRuehl"/>
          <w:rtl/>
        </w:rPr>
      </w:pPr>
      <w:hyperlink r:id="rId7" w:history="1">
        <w:r w:rsidRPr="00C95D53">
          <w:rPr>
            <w:rFonts w:ascii="FrankRuehl" w:hAnsi="FrankRuehl" w:cs="FrankRuehl"/>
            <w:color w:val="0000FF"/>
            <w:u w:val="single"/>
            <w:rtl/>
          </w:rPr>
          <w:t>פקודת הסמים המסוכנים [נוסח חדש], תשל"ג-1973</w:t>
        </w:r>
      </w:hyperlink>
    </w:p>
    <w:p w14:paraId="3E2A992F" w14:textId="77777777" w:rsidR="00C95D53" w:rsidRPr="00C95D53" w:rsidRDefault="00C95D53" w:rsidP="00C95D53">
      <w:pPr>
        <w:tabs>
          <w:tab w:val="left" w:pos="566"/>
        </w:tabs>
        <w:spacing w:after="120" w:line="240" w:lineRule="exact"/>
        <w:ind w:left="283" w:hanging="283"/>
        <w:jc w:val="both"/>
        <w:rPr>
          <w:rFonts w:ascii="FrankRuehl" w:hAnsi="FrankRuehl" w:cs="FrankRuehl"/>
          <w:rtl/>
        </w:rPr>
      </w:pPr>
    </w:p>
    <w:p w14:paraId="03437E6A" w14:textId="77777777" w:rsidR="0096481C" w:rsidRPr="0096481C" w:rsidRDefault="0096481C" w:rsidP="0096481C">
      <w:pPr>
        <w:tabs>
          <w:tab w:val="left" w:pos="566"/>
        </w:tabs>
        <w:spacing w:line="360" w:lineRule="auto"/>
        <w:jc w:val="center"/>
        <w:rPr>
          <w:rFonts w:ascii="Arial" w:hAnsi="Arial"/>
          <w:b/>
          <w:bCs/>
          <w:sz w:val="28"/>
          <w:szCs w:val="28"/>
          <w:u w:val="single"/>
          <w:rtl/>
        </w:rPr>
      </w:pPr>
      <w:bookmarkStart w:id="4" w:name="LawTable_End"/>
      <w:bookmarkStart w:id="5" w:name="PsakDin"/>
      <w:bookmarkEnd w:id="0"/>
      <w:bookmarkEnd w:id="4"/>
      <w:r w:rsidRPr="0096481C">
        <w:rPr>
          <w:rFonts w:ascii="Arial" w:hAnsi="Arial"/>
          <w:b/>
          <w:bCs/>
          <w:sz w:val="28"/>
          <w:szCs w:val="28"/>
          <w:u w:val="single"/>
          <w:rtl/>
        </w:rPr>
        <w:t>גזר דין</w:t>
      </w:r>
    </w:p>
    <w:bookmarkEnd w:id="5"/>
    <w:p w14:paraId="4F554FEB" w14:textId="77777777" w:rsidR="000423AA" w:rsidRPr="00300654" w:rsidRDefault="000423AA" w:rsidP="000423AA">
      <w:pPr>
        <w:tabs>
          <w:tab w:val="left" w:pos="566"/>
        </w:tabs>
        <w:spacing w:line="360" w:lineRule="auto"/>
        <w:jc w:val="both"/>
        <w:rPr>
          <w:b/>
          <w:bCs/>
          <w:rtl/>
        </w:rPr>
      </w:pPr>
    </w:p>
    <w:p w14:paraId="16E7D90C" w14:textId="77777777" w:rsidR="000423AA" w:rsidRDefault="000423AA" w:rsidP="000423AA">
      <w:pPr>
        <w:tabs>
          <w:tab w:val="left" w:pos="566"/>
        </w:tabs>
        <w:spacing w:line="360" w:lineRule="auto"/>
        <w:jc w:val="both"/>
        <w:rPr>
          <w:rtl/>
        </w:rPr>
      </w:pPr>
      <w:bookmarkStart w:id="6" w:name="ABSTRACT_START"/>
      <w:bookmarkEnd w:id="6"/>
      <w:r w:rsidRPr="00300654">
        <w:rPr>
          <w:rFonts w:hint="cs"/>
          <w:rtl/>
        </w:rPr>
        <w:t>ה</w:t>
      </w:r>
      <w:r>
        <w:rPr>
          <w:rFonts w:hint="cs"/>
          <w:rtl/>
        </w:rPr>
        <w:t>נ</w:t>
      </w:r>
      <w:r w:rsidRPr="00300654">
        <w:rPr>
          <w:rFonts w:hint="cs"/>
          <w:rtl/>
        </w:rPr>
        <w:t>אשם הורשע על פי הודאתו, במסגרת הסדר טיעון, בביצוע עבירות של</w:t>
      </w:r>
      <w:r>
        <w:rPr>
          <w:rFonts w:hint="cs"/>
          <w:rtl/>
        </w:rPr>
        <w:t xml:space="preserve"> החזקת סמים שלא לצריכה עצמית. החזקת כלים, שלוש עבירות של סחר בסם מסוכן ושתי עבירות של עיסקה אחרת בסם מסוכן וזאת בגין מספר אירועים כפי שיפורט להלן.</w:t>
      </w:r>
    </w:p>
    <w:p w14:paraId="577E5057" w14:textId="77777777" w:rsidR="000423AA" w:rsidRDefault="000423AA" w:rsidP="000423AA">
      <w:pPr>
        <w:tabs>
          <w:tab w:val="left" w:pos="566"/>
        </w:tabs>
        <w:spacing w:line="360" w:lineRule="auto"/>
        <w:jc w:val="both"/>
        <w:rPr>
          <w:rtl/>
        </w:rPr>
      </w:pPr>
      <w:bookmarkStart w:id="7" w:name="ABSTRACT_END"/>
      <w:bookmarkEnd w:id="7"/>
    </w:p>
    <w:p w14:paraId="23DCEF2D" w14:textId="77777777" w:rsidR="000423AA" w:rsidRDefault="000423AA" w:rsidP="000423AA">
      <w:pPr>
        <w:tabs>
          <w:tab w:val="left" w:pos="566"/>
        </w:tabs>
        <w:spacing w:line="360" w:lineRule="auto"/>
        <w:jc w:val="both"/>
        <w:rPr>
          <w:rtl/>
        </w:rPr>
      </w:pPr>
      <w:r>
        <w:rPr>
          <w:rFonts w:hint="cs"/>
          <w:rtl/>
        </w:rPr>
        <w:t>בחודש אפריל 2015 נמצאו בדירה בה התגורר הנאשם, סך של קרוב ל- 50 גרם נטו קנאבוס ובנוסף כלי עישון סמים מסוג באנג ומשקל אלקטרוני.</w:t>
      </w:r>
    </w:p>
    <w:p w14:paraId="6DD05574" w14:textId="77777777" w:rsidR="000423AA" w:rsidRDefault="000423AA" w:rsidP="000423AA">
      <w:pPr>
        <w:tabs>
          <w:tab w:val="left" w:pos="566"/>
        </w:tabs>
        <w:spacing w:line="360" w:lineRule="auto"/>
        <w:jc w:val="both"/>
        <w:rPr>
          <w:rtl/>
        </w:rPr>
      </w:pPr>
    </w:p>
    <w:p w14:paraId="6C6B479D" w14:textId="77777777" w:rsidR="000423AA" w:rsidRDefault="000423AA" w:rsidP="000423AA">
      <w:pPr>
        <w:tabs>
          <w:tab w:val="left" w:pos="566"/>
        </w:tabs>
        <w:spacing w:line="360" w:lineRule="auto"/>
        <w:jc w:val="both"/>
        <w:rPr>
          <w:rtl/>
        </w:rPr>
      </w:pPr>
      <w:r>
        <w:rPr>
          <w:rFonts w:hint="cs"/>
          <w:rtl/>
        </w:rPr>
        <w:t>במהלך חודשים פברואר עד אפריל 2015 בשתי הזדמנויות הנאשם מכר לשרון יפעי סך כולל של 15 גרם סם מסוג קנאבוס בתמורה כוללת של 1,300 ₪.</w:t>
      </w:r>
    </w:p>
    <w:p w14:paraId="6AA73144" w14:textId="77777777" w:rsidR="000423AA" w:rsidRDefault="000423AA" w:rsidP="000423AA">
      <w:pPr>
        <w:tabs>
          <w:tab w:val="left" w:pos="566"/>
        </w:tabs>
        <w:spacing w:line="360" w:lineRule="auto"/>
        <w:jc w:val="both"/>
        <w:rPr>
          <w:rtl/>
        </w:rPr>
      </w:pPr>
    </w:p>
    <w:p w14:paraId="2B19F8D0" w14:textId="77777777" w:rsidR="000423AA" w:rsidRDefault="000423AA" w:rsidP="000423AA">
      <w:pPr>
        <w:tabs>
          <w:tab w:val="left" w:pos="566"/>
        </w:tabs>
        <w:spacing w:line="360" w:lineRule="auto"/>
        <w:jc w:val="both"/>
        <w:rPr>
          <w:rtl/>
        </w:rPr>
      </w:pPr>
      <w:r>
        <w:rPr>
          <w:rFonts w:hint="cs"/>
          <w:rtl/>
        </w:rPr>
        <w:t>במהלך חודש מרץ 2015 מכר הנאשם לניקול סמילה סם מסוג קנאבוס במשקל של 15 גרם בתמורה ל- 1,250 ₪.</w:t>
      </w:r>
    </w:p>
    <w:p w14:paraId="1E6B07C0" w14:textId="77777777" w:rsidR="000423AA" w:rsidRDefault="000423AA" w:rsidP="000423AA">
      <w:pPr>
        <w:tabs>
          <w:tab w:val="left" w:pos="566"/>
        </w:tabs>
        <w:spacing w:line="360" w:lineRule="auto"/>
        <w:jc w:val="both"/>
        <w:rPr>
          <w:rtl/>
        </w:rPr>
      </w:pPr>
    </w:p>
    <w:p w14:paraId="0B150F78" w14:textId="77777777" w:rsidR="000423AA" w:rsidRDefault="000423AA" w:rsidP="000423AA">
      <w:pPr>
        <w:tabs>
          <w:tab w:val="left" w:pos="566"/>
        </w:tabs>
        <w:spacing w:line="360" w:lineRule="auto"/>
        <w:jc w:val="both"/>
        <w:rPr>
          <w:rtl/>
        </w:rPr>
      </w:pPr>
      <w:r>
        <w:rPr>
          <w:rFonts w:hint="cs"/>
          <w:rtl/>
        </w:rPr>
        <w:t>במהלך חודש אפריל 2015 הנאשם מכר ליאיר פאר שני גרם קנאבוס בתמורה ל- 200 ₪.</w:t>
      </w:r>
    </w:p>
    <w:p w14:paraId="41FF2358" w14:textId="77777777" w:rsidR="000423AA" w:rsidRDefault="000423AA" w:rsidP="000423AA">
      <w:pPr>
        <w:tabs>
          <w:tab w:val="left" w:pos="566"/>
        </w:tabs>
        <w:spacing w:line="360" w:lineRule="auto"/>
        <w:jc w:val="both"/>
        <w:rPr>
          <w:rtl/>
        </w:rPr>
      </w:pPr>
    </w:p>
    <w:p w14:paraId="73FBBC02" w14:textId="77777777" w:rsidR="000423AA" w:rsidRDefault="000423AA" w:rsidP="000423AA">
      <w:pPr>
        <w:tabs>
          <w:tab w:val="left" w:pos="566"/>
        </w:tabs>
        <w:spacing w:line="360" w:lineRule="auto"/>
        <w:jc w:val="both"/>
        <w:rPr>
          <w:rtl/>
        </w:rPr>
      </w:pPr>
      <w:r>
        <w:rPr>
          <w:rFonts w:hint="cs"/>
          <w:rtl/>
        </w:rPr>
        <w:t>במהלך חודשים מרץ עד אפריל 2015 הנאשם סיכם עם שגיא סמילה על מכירת 10 גרם קנאבוס בתמורה ל- 900 ₪.</w:t>
      </w:r>
    </w:p>
    <w:p w14:paraId="1B689F27" w14:textId="77777777" w:rsidR="000423AA" w:rsidRDefault="000423AA" w:rsidP="000423AA">
      <w:pPr>
        <w:tabs>
          <w:tab w:val="left" w:pos="566"/>
        </w:tabs>
        <w:spacing w:line="360" w:lineRule="auto"/>
        <w:jc w:val="both"/>
        <w:rPr>
          <w:rtl/>
        </w:rPr>
      </w:pPr>
    </w:p>
    <w:p w14:paraId="17AE498D" w14:textId="77777777" w:rsidR="000423AA" w:rsidRDefault="000423AA" w:rsidP="000423AA">
      <w:pPr>
        <w:tabs>
          <w:tab w:val="left" w:pos="566"/>
        </w:tabs>
        <w:spacing w:line="360" w:lineRule="auto"/>
        <w:jc w:val="both"/>
        <w:rPr>
          <w:rtl/>
        </w:rPr>
      </w:pPr>
      <w:r>
        <w:rPr>
          <w:rFonts w:hint="cs"/>
          <w:rtl/>
        </w:rPr>
        <w:lastRenderedPageBreak/>
        <w:t>במהלך חודש מרץ 2015 הנאשם סיכם עם אורי שאנן על מכירת 5 גרם קנאבוס תמורת 500 ₪.</w:t>
      </w:r>
    </w:p>
    <w:p w14:paraId="14486A69" w14:textId="77777777" w:rsidR="000423AA" w:rsidRDefault="000423AA" w:rsidP="000423AA">
      <w:pPr>
        <w:tabs>
          <w:tab w:val="left" w:pos="566"/>
        </w:tabs>
        <w:spacing w:line="360" w:lineRule="auto"/>
        <w:jc w:val="both"/>
        <w:rPr>
          <w:rtl/>
        </w:rPr>
      </w:pPr>
    </w:p>
    <w:p w14:paraId="3926FCDC" w14:textId="77777777" w:rsidR="000423AA" w:rsidRDefault="000423AA" w:rsidP="000423AA">
      <w:pPr>
        <w:tabs>
          <w:tab w:val="left" w:pos="566"/>
        </w:tabs>
        <w:spacing w:line="360" w:lineRule="auto"/>
        <w:jc w:val="both"/>
        <w:rPr>
          <w:rtl/>
        </w:rPr>
      </w:pPr>
      <w:r>
        <w:rPr>
          <w:rFonts w:hint="cs"/>
          <w:rtl/>
        </w:rPr>
        <w:t xml:space="preserve">הנה כי כן הנאשם עסק הלכה למעשה בסחר בסמים, בתקופה קצרה יחסית, באופן המלמד על התדירות הגבוה של העיסוק. מבחינת כמויות בסופו של דבר לא דובר במכירת כמויות רבות, כאשר התמורה שמן הסתם לא משקפת את כלל הרווח ולא את רובו, היתה בשיעור מצטבר של אלפי שקלים, עם זאת המדובר בחמישה אנשים עימם ביצע הנאשם את העיסקאות, בד בבד יוער כי רק לגבי שלוש מהעיסקאות נטען כי התממשו. </w:t>
      </w:r>
    </w:p>
    <w:p w14:paraId="27BF5F09" w14:textId="77777777" w:rsidR="000423AA" w:rsidRDefault="000423AA" w:rsidP="000423AA">
      <w:pPr>
        <w:tabs>
          <w:tab w:val="left" w:pos="566"/>
        </w:tabs>
        <w:spacing w:line="360" w:lineRule="auto"/>
        <w:jc w:val="both"/>
        <w:rPr>
          <w:rtl/>
        </w:rPr>
      </w:pPr>
    </w:p>
    <w:p w14:paraId="73ADB14F" w14:textId="77777777" w:rsidR="000423AA" w:rsidRDefault="000423AA" w:rsidP="000423AA">
      <w:pPr>
        <w:tabs>
          <w:tab w:val="left" w:pos="566"/>
        </w:tabs>
        <w:spacing w:line="360" w:lineRule="auto"/>
        <w:jc w:val="both"/>
        <w:rPr>
          <w:rtl/>
        </w:rPr>
      </w:pPr>
      <w:r>
        <w:rPr>
          <w:rFonts w:hint="cs"/>
          <w:rtl/>
        </w:rPr>
        <w:t xml:space="preserve">הסנגור טוען כי המניע של הנאשם לביצוע העיסקאות לא היה של סוחר סמים מובהק, באשר מדובר במכירה למכרים שפנו אליו, הגם שהדברים לא נסתרו על ידי התביעה ומשלא מתעורר הרושם שמדובר ברשת מאורגנת שבה חברים מספר ובכמויות ובתמורות משמעותיות, הרי שעדיין יש לאבחן לחומרה מקרה זה ממקרה שבו נאשם שמעוניין לצרוך סמים רוכש אותם, וצורך אותם בצוותא עם חבריו אשר משלמים לו אודות הסמים שרכש עבורם. הרושם העולה הוא שהנאשם היה כתובת מוכרת גם מאנשים שלא הכיר לצורך רכישת סמים ודי עם נפנה לעניין זה לאמור באישום החמישי. </w:t>
      </w:r>
    </w:p>
    <w:p w14:paraId="69782A1E" w14:textId="77777777" w:rsidR="000423AA" w:rsidRDefault="000423AA" w:rsidP="000423AA">
      <w:pPr>
        <w:tabs>
          <w:tab w:val="left" w:pos="566"/>
        </w:tabs>
        <w:spacing w:line="360" w:lineRule="auto"/>
        <w:jc w:val="both"/>
        <w:rPr>
          <w:rtl/>
        </w:rPr>
      </w:pPr>
    </w:p>
    <w:p w14:paraId="41F4BC01" w14:textId="77777777" w:rsidR="000423AA" w:rsidRPr="00300654" w:rsidRDefault="000423AA" w:rsidP="000423AA">
      <w:pPr>
        <w:tabs>
          <w:tab w:val="left" w:pos="566"/>
        </w:tabs>
        <w:spacing w:line="360" w:lineRule="auto"/>
        <w:jc w:val="both"/>
        <w:rPr>
          <w:rtl/>
        </w:rPr>
      </w:pPr>
      <w:r>
        <w:rPr>
          <w:rFonts w:hint="cs"/>
          <w:rtl/>
        </w:rPr>
        <w:t>אין צורך להכביר מילים על כך שעבירות הסמים בייחוד הסמים הקלים, הינן עבירות נפוצות וכדי להילחם בתופעה שכזו יש מקום בראש ובראשונה להחמיר בעונשיהם של העוסקים בהפצת הסם בתמורה או שלא בתמורה, והנאשם בוודאי נמנה על קטגוריה זו.</w:t>
      </w:r>
    </w:p>
    <w:p w14:paraId="64DD5CE9" w14:textId="77777777" w:rsidR="000423AA" w:rsidRDefault="000423AA" w:rsidP="000423AA">
      <w:pPr>
        <w:tabs>
          <w:tab w:val="left" w:pos="566"/>
        </w:tabs>
        <w:snapToGrid w:val="0"/>
        <w:spacing w:line="360" w:lineRule="auto"/>
        <w:jc w:val="both"/>
        <w:rPr>
          <w:rtl/>
        </w:rPr>
      </w:pPr>
    </w:p>
    <w:p w14:paraId="1B423BBA" w14:textId="77777777" w:rsidR="000423AA" w:rsidRDefault="000423AA" w:rsidP="000423AA">
      <w:pPr>
        <w:tabs>
          <w:tab w:val="left" w:pos="566"/>
        </w:tabs>
        <w:snapToGrid w:val="0"/>
        <w:spacing w:line="360" w:lineRule="auto"/>
        <w:jc w:val="both"/>
        <w:rPr>
          <w:rtl/>
        </w:rPr>
      </w:pPr>
      <w:r>
        <w:rPr>
          <w:rFonts w:hint="cs"/>
          <w:rtl/>
        </w:rPr>
        <w:t>בשים לב לכל אלה, סברתי כי  מתחם הענישה הראוי במקרה זה, בהחלט נע בין 6 ל- 24 חודשי מאסר בפועל כפי שתיארה התביעה ועל כך יש להוסיף מאסר מותנה משמעותי, קנס בשיעור של אלפי שקלים וכן פסילת רישיון נהיגה ולו מותנית.</w:t>
      </w:r>
    </w:p>
    <w:p w14:paraId="56FA0352" w14:textId="77777777" w:rsidR="000423AA" w:rsidRDefault="000423AA" w:rsidP="000423AA">
      <w:pPr>
        <w:tabs>
          <w:tab w:val="left" w:pos="566"/>
        </w:tabs>
        <w:snapToGrid w:val="0"/>
        <w:spacing w:line="360" w:lineRule="auto"/>
        <w:jc w:val="both"/>
        <w:rPr>
          <w:rtl/>
        </w:rPr>
      </w:pPr>
    </w:p>
    <w:p w14:paraId="505E35D5" w14:textId="77777777" w:rsidR="000423AA" w:rsidRDefault="000423AA" w:rsidP="000423AA">
      <w:pPr>
        <w:tabs>
          <w:tab w:val="left" w:pos="566"/>
        </w:tabs>
        <w:snapToGrid w:val="0"/>
        <w:spacing w:line="360" w:lineRule="auto"/>
        <w:jc w:val="both"/>
        <w:rPr>
          <w:rtl/>
        </w:rPr>
      </w:pPr>
      <w:r>
        <w:rPr>
          <w:rFonts w:hint="cs"/>
          <w:rtl/>
        </w:rPr>
        <w:t>בתוך המתחם יש לזקוף לזכות הנאשם את הודאתו ועברו הנקי (למעט הרשעה זניחה שהינה צבאית במהותה במהלך שירותו).</w:t>
      </w:r>
    </w:p>
    <w:p w14:paraId="49440C70" w14:textId="77777777" w:rsidR="000423AA" w:rsidRDefault="000423AA" w:rsidP="000423AA">
      <w:pPr>
        <w:tabs>
          <w:tab w:val="left" w:pos="566"/>
        </w:tabs>
        <w:snapToGrid w:val="0"/>
        <w:spacing w:line="360" w:lineRule="auto"/>
        <w:jc w:val="both"/>
        <w:rPr>
          <w:rtl/>
        </w:rPr>
      </w:pPr>
      <w:r>
        <w:rPr>
          <w:rFonts w:hint="cs"/>
          <w:rtl/>
        </w:rPr>
        <w:t xml:space="preserve"> </w:t>
      </w:r>
    </w:p>
    <w:p w14:paraId="529DF948" w14:textId="77777777" w:rsidR="000423AA" w:rsidRDefault="000423AA" w:rsidP="000423AA">
      <w:pPr>
        <w:tabs>
          <w:tab w:val="left" w:pos="566"/>
        </w:tabs>
        <w:snapToGrid w:val="0"/>
        <w:spacing w:line="360" w:lineRule="auto"/>
        <w:jc w:val="both"/>
        <w:rPr>
          <w:rtl/>
        </w:rPr>
      </w:pPr>
      <w:r>
        <w:rPr>
          <w:rFonts w:hint="cs"/>
          <w:rtl/>
        </w:rPr>
        <w:t>עניינו של הנאשם בא לא אחת לפני שירות המבחן, אשר מסר בעניינו מספר תסקירים. מתסקירים אלה עולה כי בסופו של דבר בסך הכל ניתן להגדיר את הנאשם כמי שנקי משימוש בסמים, בנוסף במהלך היותו במעצר בית עליו עוד יפורט, הנאשם נטל חלק פעיל בטיפול אשר הוביל להתרשמות מנחה הטיפול בדבר שינוי שחל בנאשם, כך שהתבונן במעשיו באופן ביקורתי ובהשלכתם על סביבתו. שירות המבחן אף הציע לנאשם להמשיך בטיפול והפעם באופן פרטני, ובמידת הצורך חזרה לטיפול קבוצתי מעט שונה מזה שביצע. הנאשם סבר כי אין צורך בכך,  שכן לטעמי מיצה את האפיק הטיפולי בטיפול שעבר תוך כדי מעצר הבית. יצוין כי על רקע תוצרי הטיפול שתוארו לעיל, הן בהיבט של ניקיון בבדיקות שתן והן בהיבט התרשמות מנחה הקבוצה, לא מדובר בעמדה נוגדנית (באופן שילמד לרעה על אופיו של הנאשם) אלא עניינית. יחד עם זאת, משמעות הדבר הינה שלא מדובר בהליך שיקום שלם שעבר הנאשם לשביעות רצון שירות המבחן האמון על הליכים מסוג זה.</w:t>
      </w:r>
    </w:p>
    <w:p w14:paraId="11711BC5" w14:textId="77777777" w:rsidR="000423AA" w:rsidRDefault="000423AA" w:rsidP="000423AA">
      <w:pPr>
        <w:tabs>
          <w:tab w:val="left" w:pos="566"/>
        </w:tabs>
        <w:snapToGrid w:val="0"/>
        <w:spacing w:line="360" w:lineRule="auto"/>
        <w:jc w:val="both"/>
        <w:rPr>
          <w:rtl/>
        </w:rPr>
      </w:pPr>
    </w:p>
    <w:p w14:paraId="3B431B86" w14:textId="77777777" w:rsidR="000423AA" w:rsidRDefault="000423AA" w:rsidP="000423AA">
      <w:pPr>
        <w:tabs>
          <w:tab w:val="left" w:pos="566"/>
        </w:tabs>
        <w:snapToGrid w:val="0"/>
        <w:spacing w:line="360" w:lineRule="auto"/>
        <w:jc w:val="both"/>
        <w:rPr>
          <w:rtl/>
        </w:rPr>
      </w:pPr>
      <w:r>
        <w:rPr>
          <w:rFonts w:hint="cs"/>
          <w:rtl/>
        </w:rPr>
        <w:t xml:space="preserve">הנאשם אף שילם בחירותו בגין ההליך, כיוון ששהה במעצר בתקופה של כחודש וחצי. בהמשך כחודש וחצי במעצר בית מלא, ולאחר מכן כשמונה וחצי חודשים מעצר בית עם שעות התאווררות לא מעטות, וברוב התקופה ללא פיקוח. </w:t>
      </w:r>
    </w:p>
    <w:p w14:paraId="1883BE0C" w14:textId="77777777" w:rsidR="000423AA" w:rsidRDefault="000423AA" w:rsidP="000423AA">
      <w:pPr>
        <w:tabs>
          <w:tab w:val="left" w:pos="566"/>
        </w:tabs>
        <w:snapToGrid w:val="0"/>
        <w:spacing w:line="360" w:lineRule="auto"/>
        <w:jc w:val="both"/>
        <w:rPr>
          <w:rtl/>
        </w:rPr>
      </w:pPr>
    </w:p>
    <w:p w14:paraId="111E8816" w14:textId="77777777" w:rsidR="000423AA" w:rsidRDefault="000423AA" w:rsidP="000423AA">
      <w:pPr>
        <w:tabs>
          <w:tab w:val="left" w:pos="566"/>
        </w:tabs>
        <w:snapToGrid w:val="0"/>
        <w:spacing w:line="360" w:lineRule="auto"/>
        <w:jc w:val="both"/>
        <w:rPr>
          <w:rtl/>
        </w:rPr>
      </w:pPr>
      <w:r>
        <w:rPr>
          <w:rFonts w:hint="cs"/>
          <w:rtl/>
        </w:rPr>
        <w:t>הסנגור מבקש לאבחן לקולא את עניינו של הנאשם מעניינו של אדם נוסף אשר נתפס עימו באותה דירה, בשם יוסף רחבי, אשר נדון בפניי ב</w:t>
      </w:r>
      <w:hyperlink r:id="rId8" w:history="1">
        <w:r w:rsidR="0096481C" w:rsidRPr="0096481C">
          <w:rPr>
            <w:color w:val="0000FF"/>
            <w:u w:val="single"/>
            <w:rtl/>
          </w:rPr>
          <w:t>ת"פ 36589-04-15</w:t>
        </w:r>
      </w:hyperlink>
      <w:r>
        <w:rPr>
          <w:rFonts w:hint="cs"/>
          <w:rtl/>
        </w:rPr>
        <w:t xml:space="preserve"> לשישה חודשי מאסר בפועל על דרך עבודות שירות ורכיבים נוספים. עיון בכתב האישום בו הורשע אותו אדם נוסף, מגלה כי זה החזיק כמויות סם מסוכן מסוג קנאבוס בשיעור משמעותי בהרבה משל הנאשם, וכן החזיק ברשותו כדורי תחמושת. יחד עם זאת, זה לא הפיק כל תועלת כספית מעיסאות הסם שביצע, כאשר שתיים לא בוצעו ואחת התבטאה בהספקת סם מסוג קנאבוס ללא תמורה במשקל של 30 גרם, ובכך עניינו של הנאשם חמור הרבה יותר, מה גם שהנאשם פעל מול יותר אנשים. לפיכך, בהשוואת מעשיהם לא סברתי שעניינו של הנאשם קל יותר. יצוין כי גם בעניינו של אותו רחבי מדובר במי שעברו היה נקי, ואולם לא ברור מגזר הדין האם שילם מחיר בגין ההליך באמצעות פגיעה נוספת בחירות, כפי שפורט בעניין הנאשם שבפניי.</w:t>
      </w:r>
    </w:p>
    <w:p w14:paraId="5B577088" w14:textId="77777777" w:rsidR="000423AA" w:rsidRDefault="000423AA" w:rsidP="000423AA">
      <w:pPr>
        <w:tabs>
          <w:tab w:val="left" w:pos="566"/>
        </w:tabs>
        <w:snapToGrid w:val="0"/>
        <w:spacing w:line="360" w:lineRule="auto"/>
        <w:jc w:val="both"/>
        <w:rPr>
          <w:rtl/>
        </w:rPr>
      </w:pPr>
    </w:p>
    <w:p w14:paraId="4485089E" w14:textId="77777777" w:rsidR="000423AA" w:rsidRDefault="000423AA" w:rsidP="000423AA">
      <w:pPr>
        <w:tabs>
          <w:tab w:val="left" w:pos="566"/>
        </w:tabs>
        <w:snapToGrid w:val="0"/>
        <w:spacing w:line="360" w:lineRule="auto"/>
        <w:jc w:val="both"/>
        <w:rPr>
          <w:rtl/>
        </w:rPr>
      </w:pPr>
      <w:r>
        <w:rPr>
          <w:rFonts w:hint="cs"/>
          <w:rtl/>
        </w:rPr>
        <w:t xml:space="preserve">בשקלול כל האמור סברתי כי ניתן במקרה זה לסטות מהמתחם שצוין לקולא משיקולים שיקומיים ואולם לא באופן שמבקש הסנגור בדמות הסתפקות ברכיב של של"צ חלף עבודות שירות. מודע אני לנסיבותיו האישיות של הנאשם, אשר מצוי בגפו בארץ דבר המקים עליו נטל לא פשוט ומצליח בכל זאת להתמיד במסגרת עבודה מזה שנים, בה הוא מצטיין ואשר להערכתו נתונה בסכנה אם יבצע עבודות שירות. בכל הכבוד בעבירות מסוג זה המסר ההרתעתי לסוחרים פוטנציאליים עתידיים מגמד את הנסיבות האישיות ועל כן מכל ההשפעה האפשרות של כך למהלך חייו של הנאשם, עליו לשאת במחיר העונשי המינימלי למעשיו, גם לאחר השיקול השיקומי וזאת בדמות עבודות שירות שלא לתקופה המירבית. </w:t>
      </w:r>
    </w:p>
    <w:p w14:paraId="3EA86EDD" w14:textId="77777777" w:rsidR="000423AA" w:rsidRDefault="000423AA" w:rsidP="000423AA">
      <w:pPr>
        <w:tabs>
          <w:tab w:val="left" w:pos="566"/>
        </w:tabs>
        <w:snapToGrid w:val="0"/>
        <w:spacing w:line="360" w:lineRule="auto"/>
        <w:jc w:val="both"/>
        <w:rPr>
          <w:rtl/>
        </w:rPr>
      </w:pPr>
    </w:p>
    <w:p w14:paraId="5EB1E97A" w14:textId="77777777" w:rsidR="000423AA" w:rsidRDefault="000423AA" w:rsidP="000423AA">
      <w:pPr>
        <w:tabs>
          <w:tab w:val="left" w:pos="566"/>
        </w:tabs>
        <w:snapToGrid w:val="0"/>
        <w:spacing w:line="360" w:lineRule="auto"/>
        <w:jc w:val="both"/>
        <w:rPr>
          <w:rtl/>
        </w:rPr>
      </w:pPr>
      <w:r>
        <w:rPr>
          <w:rFonts w:hint="cs"/>
          <w:rtl/>
        </w:rPr>
        <w:t xml:space="preserve">באשר לקנס, הרי שיש מקום להתחשב במצבו הכלכלי של הנאשם, כמו גם העובדה שבהיבט של רווח להבדיל מתמורה לעיסקאות שבוצעו, סביר שהנאשם לא הפיק תועלת רבה ממעשיו בנוסף כבר ייפגע בכיסו נוכח החילוט המוסכם, נוכח האמור בסייפת כתב האישום, כמובן שגם לרכיב עבודות השירות תהיה השפעה כלכלית עליו. אשר על כן סברתי שיש מקום לקנס בשיעור הנמוך של המתחם שציינתי. </w:t>
      </w:r>
    </w:p>
    <w:p w14:paraId="6A56DB50" w14:textId="77777777" w:rsidR="000423AA" w:rsidRDefault="000423AA" w:rsidP="000423AA">
      <w:pPr>
        <w:tabs>
          <w:tab w:val="left" w:pos="566"/>
        </w:tabs>
        <w:snapToGrid w:val="0"/>
        <w:spacing w:line="360" w:lineRule="auto"/>
        <w:jc w:val="both"/>
        <w:rPr>
          <w:rtl/>
        </w:rPr>
      </w:pPr>
    </w:p>
    <w:p w14:paraId="21287EC8" w14:textId="77777777" w:rsidR="000423AA" w:rsidRDefault="000423AA" w:rsidP="000423AA">
      <w:pPr>
        <w:tabs>
          <w:tab w:val="left" w:pos="566"/>
        </w:tabs>
        <w:snapToGrid w:val="0"/>
        <w:spacing w:line="360" w:lineRule="auto"/>
        <w:jc w:val="both"/>
        <w:rPr>
          <w:rtl/>
        </w:rPr>
      </w:pPr>
      <w:r>
        <w:rPr>
          <w:rFonts w:hint="cs"/>
          <w:rtl/>
        </w:rPr>
        <w:t xml:space="preserve">באשר לפסילת רישיון נהיגה, הרי שכאשר נאשם נמצא באופן עיקבי בשירות המבחן כשהוא נקי מסם סברתי שניתן להסתפק בפסילה מותנית משמעותית. </w:t>
      </w:r>
    </w:p>
    <w:p w14:paraId="299475A8" w14:textId="77777777" w:rsidR="000423AA" w:rsidRDefault="000423AA" w:rsidP="000423AA">
      <w:pPr>
        <w:tabs>
          <w:tab w:val="left" w:pos="566"/>
        </w:tabs>
        <w:snapToGrid w:val="0"/>
        <w:spacing w:line="360" w:lineRule="auto"/>
        <w:jc w:val="both"/>
        <w:rPr>
          <w:rtl/>
        </w:rPr>
      </w:pPr>
    </w:p>
    <w:p w14:paraId="3F726DF2" w14:textId="77777777" w:rsidR="000423AA" w:rsidRDefault="000423AA" w:rsidP="000423AA">
      <w:pPr>
        <w:tabs>
          <w:tab w:val="left" w:pos="566"/>
        </w:tabs>
        <w:snapToGrid w:val="0"/>
        <w:spacing w:line="360" w:lineRule="auto"/>
        <w:jc w:val="both"/>
        <w:rPr>
          <w:rtl/>
        </w:rPr>
      </w:pPr>
    </w:p>
    <w:p w14:paraId="23F0B46F" w14:textId="77777777" w:rsidR="000423AA" w:rsidRDefault="000423AA" w:rsidP="000423AA">
      <w:pPr>
        <w:tabs>
          <w:tab w:val="left" w:pos="566"/>
        </w:tabs>
        <w:snapToGrid w:val="0"/>
        <w:spacing w:line="360" w:lineRule="auto"/>
        <w:jc w:val="both"/>
        <w:rPr>
          <w:u w:val="single"/>
          <w:rtl/>
        </w:rPr>
      </w:pPr>
      <w:r w:rsidRPr="006F50E4">
        <w:rPr>
          <w:rFonts w:hint="cs"/>
          <w:u w:val="single"/>
          <w:rtl/>
        </w:rPr>
        <w:t>סוף דבר אני גוזר על הנאשם את העונשים הבאים:</w:t>
      </w:r>
    </w:p>
    <w:p w14:paraId="6446BFCB" w14:textId="77777777" w:rsidR="000423AA" w:rsidRPr="006F50E4" w:rsidRDefault="000423AA" w:rsidP="000423AA">
      <w:pPr>
        <w:tabs>
          <w:tab w:val="left" w:pos="566"/>
        </w:tabs>
        <w:snapToGrid w:val="0"/>
        <w:spacing w:line="360" w:lineRule="auto"/>
        <w:jc w:val="both"/>
        <w:rPr>
          <w:u w:val="single"/>
          <w:rtl/>
        </w:rPr>
      </w:pPr>
    </w:p>
    <w:p w14:paraId="0938B4CD" w14:textId="77777777" w:rsidR="000423AA" w:rsidRPr="00817293" w:rsidRDefault="000423AA" w:rsidP="000423AA">
      <w:pPr>
        <w:numPr>
          <w:ilvl w:val="0"/>
          <w:numId w:val="1"/>
        </w:numPr>
        <w:tabs>
          <w:tab w:val="left" w:pos="566"/>
        </w:tabs>
        <w:snapToGrid w:val="0"/>
        <w:spacing w:line="360" w:lineRule="auto"/>
        <w:ind w:left="658" w:hanging="298"/>
        <w:jc w:val="both"/>
        <w:rPr>
          <w:rtl/>
        </w:rPr>
      </w:pPr>
      <w:r>
        <w:rPr>
          <w:rFonts w:hint="cs"/>
          <w:rtl/>
        </w:rPr>
        <w:t xml:space="preserve"> </w:t>
      </w:r>
      <w:r w:rsidRPr="00817293">
        <w:rPr>
          <w:rFonts w:hint="cs"/>
          <w:rtl/>
        </w:rPr>
        <w:t xml:space="preserve">מאסר בפועל של </w:t>
      </w:r>
      <w:r>
        <w:rPr>
          <w:rFonts w:hint="cs"/>
          <w:rtl/>
        </w:rPr>
        <w:t xml:space="preserve">4 </w:t>
      </w:r>
      <w:r w:rsidRPr="00817293">
        <w:rPr>
          <w:rFonts w:hint="cs"/>
          <w:rtl/>
        </w:rPr>
        <w:t>חודשים אשר ירוצו בדרך של עבודות שירות, החל מיום</w:t>
      </w:r>
      <w:r>
        <w:rPr>
          <w:rFonts w:hint="cs"/>
          <w:rtl/>
        </w:rPr>
        <w:t xml:space="preserve"> 17.1.18</w:t>
      </w:r>
      <w:r w:rsidRPr="00817293">
        <w:rPr>
          <w:rFonts w:hint="cs"/>
          <w:rtl/>
        </w:rPr>
        <w:t>. לשם כך, על הנאשם להתייצב במשרדי הממונה על עבודות השירות בשב"ס</w:t>
      </w:r>
      <w:r>
        <w:rPr>
          <w:rFonts w:hint="cs"/>
          <w:rtl/>
        </w:rPr>
        <w:t xml:space="preserve"> מרכז (רמלה)</w:t>
      </w:r>
      <w:r w:rsidRPr="00817293">
        <w:rPr>
          <w:rFonts w:hint="cs"/>
          <w:rtl/>
        </w:rPr>
        <w:t xml:space="preserve">, באותו מועד עד השעה 8:00. </w:t>
      </w:r>
    </w:p>
    <w:p w14:paraId="5F7CDF15" w14:textId="77777777" w:rsidR="000423AA" w:rsidRPr="00300654" w:rsidRDefault="000423AA" w:rsidP="000423AA">
      <w:pPr>
        <w:numPr>
          <w:ilvl w:val="0"/>
          <w:numId w:val="1"/>
        </w:numPr>
        <w:tabs>
          <w:tab w:val="left" w:pos="566"/>
        </w:tabs>
        <w:snapToGrid w:val="0"/>
        <w:spacing w:line="360" w:lineRule="auto"/>
        <w:ind w:left="658" w:hanging="298"/>
        <w:jc w:val="both"/>
        <w:rPr>
          <w:rtl/>
        </w:rPr>
      </w:pPr>
      <w:r>
        <w:rPr>
          <w:rFonts w:hint="cs"/>
          <w:rtl/>
        </w:rPr>
        <w:t xml:space="preserve"> </w:t>
      </w:r>
      <w:r w:rsidRPr="00300654">
        <w:rPr>
          <w:rFonts w:hint="cs"/>
          <w:rtl/>
        </w:rPr>
        <w:t xml:space="preserve">מאסר על תנאי של </w:t>
      </w:r>
      <w:r>
        <w:rPr>
          <w:rFonts w:hint="cs"/>
          <w:rtl/>
        </w:rPr>
        <w:t xml:space="preserve">9 </w:t>
      </w:r>
      <w:r w:rsidRPr="00300654">
        <w:rPr>
          <w:rFonts w:hint="cs"/>
          <w:rtl/>
        </w:rPr>
        <w:t xml:space="preserve">חודשים למשך 3 שנים מהיום, והתנאי הוא שלא יעבור </w:t>
      </w:r>
      <w:r>
        <w:rPr>
          <w:rFonts w:hint="cs"/>
          <w:rtl/>
        </w:rPr>
        <w:t xml:space="preserve">עבירה על </w:t>
      </w:r>
      <w:hyperlink r:id="rId9" w:history="1">
        <w:r w:rsidR="0096481C" w:rsidRPr="0096481C">
          <w:rPr>
            <w:color w:val="0000FF"/>
            <w:u w:val="single"/>
            <w:rtl/>
          </w:rPr>
          <w:t>פקודת הסמים המסוכנים</w:t>
        </w:r>
      </w:hyperlink>
      <w:r>
        <w:rPr>
          <w:rFonts w:hint="cs"/>
          <w:rtl/>
        </w:rPr>
        <w:t xml:space="preserve"> מסוג פשע</w:t>
      </w:r>
      <w:r w:rsidRPr="00300654">
        <w:rPr>
          <w:rFonts w:hint="cs"/>
          <w:rtl/>
        </w:rPr>
        <w:t xml:space="preserve">. </w:t>
      </w:r>
    </w:p>
    <w:p w14:paraId="548714D3" w14:textId="77777777" w:rsidR="000423AA" w:rsidRDefault="000423AA" w:rsidP="000423AA">
      <w:pPr>
        <w:numPr>
          <w:ilvl w:val="0"/>
          <w:numId w:val="1"/>
        </w:numPr>
        <w:tabs>
          <w:tab w:val="left" w:pos="566"/>
        </w:tabs>
        <w:snapToGrid w:val="0"/>
        <w:spacing w:line="360" w:lineRule="auto"/>
        <w:ind w:left="658" w:hanging="298"/>
        <w:jc w:val="both"/>
      </w:pPr>
      <w:r>
        <w:rPr>
          <w:rFonts w:hint="cs"/>
          <w:rtl/>
        </w:rPr>
        <w:t xml:space="preserve"> מאסר על תנאי של 6 חודשים למשך 3 שנים מהיום, והתנאי הוא שלא יעבור עבירה על </w:t>
      </w:r>
      <w:hyperlink r:id="rId10" w:history="1">
        <w:r w:rsidR="0096481C" w:rsidRPr="0096481C">
          <w:rPr>
            <w:color w:val="0000FF"/>
            <w:u w:val="single"/>
            <w:rtl/>
          </w:rPr>
          <w:t>פקודת הסמים המסוכנים</w:t>
        </w:r>
      </w:hyperlink>
      <w:r>
        <w:rPr>
          <w:rFonts w:hint="cs"/>
          <w:rtl/>
        </w:rPr>
        <w:t xml:space="preserve"> מסוג עוון. </w:t>
      </w:r>
    </w:p>
    <w:p w14:paraId="5D36C794" w14:textId="77777777" w:rsidR="000423AA" w:rsidRDefault="000423AA" w:rsidP="000423AA">
      <w:pPr>
        <w:numPr>
          <w:ilvl w:val="0"/>
          <w:numId w:val="1"/>
        </w:numPr>
        <w:tabs>
          <w:tab w:val="left" w:pos="566"/>
        </w:tabs>
        <w:snapToGrid w:val="0"/>
        <w:spacing w:line="360" w:lineRule="auto"/>
        <w:ind w:left="658" w:hanging="298"/>
        <w:jc w:val="both"/>
      </w:pPr>
      <w:r>
        <w:rPr>
          <w:rFonts w:hint="cs"/>
          <w:rtl/>
        </w:rPr>
        <w:t xml:space="preserve"> </w:t>
      </w:r>
      <w:r w:rsidRPr="00300654">
        <w:rPr>
          <w:rFonts w:hint="cs"/>
          <w:rtl/>
        </w:rPr>
        <w:t xml:space="preserve">קנס בסך </w:t>
      </w:r>
      <w:r>
        <w:rPr>
          <w:rFonts w:hint="cs"/>
          <w:rtl/>
        </w:rPr>
        <w:t xml:space="preserve">1,000 </w:t>
      </w:r>
      <w:r w:rsidRPr="00300654">
        <w:rPr>
          <w:rFonts w:hint="cs"/>
          <w:rtl/>
        </w:rPr>
        <w:t>₪</w:t>
      </w:r>
      <w:r>
        <w:rPr>
          <w:rFonts w:hint="cs"/>
          <w:rtl/>
        </w:rPr>
        <w:t xml:space="preserve"> אשר ישולם באמצעות הפיקדון בסך 6,000 ₪ אשר הופקד בתיק </w:t>
      </w:r>
      <w:hyperlink r:id="rId11" w:history="1">
        <w:r w:rsidR="0096481C" w:rsidRPr="0096481C">
          <w:rPr>
            <w:color w:val="0000FF"/>
            <w:u w:val="single"/>
            <w:rtl/>
          </w:rPr>
          <w:t>מ"ת 36594-04-15</w:t>
        </w:r>
      </w:hyperlink>
      <w:r>
        <w:rPr>
          <w:rFonts w:hint="cs"/>
          <w:rtl/>
        </w:rPr>
        <w:t xml:space="preserve">. יתרת הפיקדון תוחזר לנאשם בכפוף לעיקול. יחד עם זאת אין לבצע את מימוש הקנס מהפיקדון ואת החזר יתרת הפיקדון, עד שיתקבל אישור משב"ס כי הנאשם סיים לרצות את עבודות השירות. הפיקדון ישמש להבטחת ריצוי עבודות השירות ככל שיחולט חלילה מסיבה זו, הרי שהנאשם יהיה מחויב לשלם את הקנס תוך חודש ימים מהוראות החילוט. </w:t>
      </w:r>
    </w:p>
    <w:p w14:paraId="19936C4F" w14:textId="77777777" w:rsidR="000423AA" w:rsidRDefault="000423AA" w:rsidP="000423AA">
      <w:pPr>
        <w:numPr>
          <w:ilvl w:val="0"/>
          <w:numId w:val="1"/>
        </w:numPr>
        <w:tabs>
          <w:tab w:val="left" w:pos="566"/>
        </w:tabs>
        <w:snapToGrid w:val="0"/>
        <w:spacing w:line="360" w:lineRule="auto"/>
        <w:ind w:left="658" w:hanging="298"/>
        <w:jc w:val="both"/>
      </w:pPr>
      <w:r>
        <w:rPr>
          <w:rFonts w:hint="cs"/>
          <w:rtl/>
        </w:rPr>
        <w:t xml:space="preserve"> </w:t>
      </w:r>
      <w:r w:rsidRPr="00300654">
        <w:rPr>
          <w:rFonts w:hint="cs"/>
          <w:rtl/>
        </w:rPr>
        <w:t xml:space="preserve">פסילה על תנאי מלהחזיק ו/או לקבל רישיון נהיגה לתקופה של </w:t>
      </w:r>
      <w:r>
        <w:rPr>
          <w:rFonts w:hint="cs"/>
          <w:rtl/>
        </w:rPr>
        <w:t>12</w:t>
      </w:r>
      <w:r w:rsidRPr="00300654">
        <w:rPr>
          <w:rFonts w:hint="cs"/>
          <w:rtl/>
        </w:rPr>
        <w:t xml:space="preserve"> חודשים באם בתוך 3 שנים </w:t>
      </w:r>
      <w:r>
        <w:rPr>
          <w:rFonts w:hint="cs"/>
          <w:rtl/>
        </w:rPr>
        <w:t xml:space="preserve">מהיום </w:t>
      </w:r>
      <w:r w:rsidRPr="00300654">
        <w:rPr>
          <w:rFonts w:hint="cs"/>
          <w:rtl/>
        </w:rPr>
        <w:t xml:space="preserve">יעבור </w:t>
      </w:r>
      <w:r>
        <w:rPr>
          <w:rFonts w:hint="cs"/>
          <w:rtl/>
        </w:rPr>
        <w:t xml:space="preserve">עבירה על </w:t>
      </w:r>
      <w:hyperlink r:id="rId12" w:history="1">
        <w:r w:rsidR="0096481C" w:rsidRPr="0096481C">
          <w:rPr>
            <w:color w:val="0000FF"/>
            <w:u w:val="single"/>
            <w:rtl/>
          </w:rPr>
          <w:t>פקודת הסמים המסוכנים</w:t>
        </w:r>
      </w:hyperlink>
      <w:r w:rsidRPr="00300654">
        <w:rPr>
          <w:rFonts w:hint="cs"/>
          <w:rtl/>
        </w:rPr>
        <w:t>.</w:t>
      </w:r>
      <w:r>
        <w:rPr>
          <w:rFonts w:hint="cs"/>
          <w:rtl/>
        </w:rPr>
        <w:t xml:space="preserve"> </w:t>
      </w:r>
    </w:p>
    <w:p w14:paraId="47AEC99F" w14:textId="77777777" w:rsidR="000423AA" w:rsidRDefault="000423AA" w:rsidP="000423AA">
      <w:pPr>
        <w:tabs>
          <w:tab w:val="left" w:pos="566"/>
        </w:tabs>
        <w:snapToGrid w:val="0"/>
        <w:spacing w:line="360" w:lineRule="auto"/>
        <w:ind w:left="567" w:hanging="567"/>
        <w:jc w:val="both"/>
        <w:rPr>
          <w:rtl/>
        </w:rPr>
      </w:pPr>
    </w:p>
    <w:p w14:paraId="1779B813" w14:textId="77777777" w:rsidR="000423AA" w:rsidRPr="00300654" w:rsidRDefault="000423AA" w:rsidP="000423AA">
      <w:pPr>
        <w:tabs>
          <w:tab w:val="left" w:pos="566"/>
        </w:tabs>
        <w:snapToGrid w:val="0"/>
        <w:spacing w:line="360" w:lineRule="auto"/>
        <w:ind w:left="567" w:hanging="567"/>
        <w:jc w:val="both"/>
      </w:pPr>
      <w:r>
        <w:rPr>
          <w:rtl/>
        </w:rPr>
        <w:tab/>
      </w:r>
      <w:r w:rsidRPr="00300654">
        <w:rPr>
          <w:rFonts w:hint="cs"/>
          <w:rtl/>
        </w:rPr>
        <w:t>ניתן צו להשמדת המוצג</w:t>
      </w:r>
      <w:r>
        <w:rPr>
          <w:rFonts w:hint="cs"/>
          <w:rtl/>
        </w:rPr>
        <w:t xml:space="preserve"> </w:t>
      </w:r>
      <w:r>
        <w:rPr>
          <w:rtl/>
        </w:rPr>
        <w:t>–</w:t>
      </w:r>
      <w:r w:rsidRPr="00300654">
        <w:rPr>
          <w:rFonts w:hint="cs"/>
          <w:rtl/>
        </w:rPr>
        <w:t xml:space="preserve"> </w:t>
      </w:r>
      <w:r>
        <w:rPr>
          <w:rFonts w:hint="cs"/>
          <w:rtl/>
        </w:rPr>
        <w:t xml:space="preserve">הסמים שנתפסו והכלים להחזקתם. בנוסף, אני מכריז על הנאשם סוחר סמים ומשכך מורה על חילוט שני טלפונים סלולריים וכן סכומי כסף של 600 ₪ ו- 12 דולרים שנתפסו ממנו. </w:t>
      </w:r>
    </w:p>
    <w:p w14:paraId="3397662D" w14:textId="77777777" w:rsidR="000423AA" w:rsidRPr="00300654" w:rsidRDefault="000423AA" w:rsidP="000423AA">
      <w:pPr>
        <w:tabs>
          <w:tab w:val="left" w:pos="566"/>
        </w:tabs>
        <w:snapToGrid w:val="0"/>
        <w:spacing w:line="360" w:lineRule="auto"/>
        <w:ind w:left="567" w:hanging="567"/>
        <w:jc w:val="both"/>
        <w:rPr>
          <w:rtl/>
        </w:rPr>
      </w:pPr>
    </w:p>
    <w:p w14:paraId="5237ABCE" w14:textId="77777777" w:rsidR="000423AA" w:rsidRPr="00354EE0" w:rsidRDefault="000423AA" w:rsidP="000423AA">
      <w:pPr>
        <w:tabs>
          <w:tab w:val="left" w:pos="566"/>
        </w:tabs>
        <w:snapToGrid w:val="0"/>
        <w:spacing w:line="360" w:lineRule="auto"/>
        <w:ind w:left="567" w:hanging="567"/>
        <w:jc w:val="both"/>
        <w:rPr>
          <w:b/>
          <w:bCs/>
          <w:u w:val="single"/>
        </w:rPr>
      </w:pPr>
      <w:r w:rsidRPr="00354EE0">
        <w:rPr>
          <w:rFonts w:hint="cs"/>
          <w:b/>
          <w:bCs/>
          <w:u w:val="single"/>
          <w:rtl/>
        </w:rPr>
        <w:t>זכות ערעור לבית-המשפט המחוזי בלוד בתוך 45 יום.</w:t>
      </w:r>
    </w:p>
    <w:p w14:paraId="3CC6E769" w14:textId="77777777" w:rsidR="000423AA" w:rsidRPr="007659E1" w:rsidRDefault="000423AA" w:rsidP="000423AA">
      <w:pPr>
        <w:tabs>
          <w:tab w:val="left" w:pos="566"/>
        </w:tabs>
        <w:snapToGrid w:val="0"/>
        <w:spacing w:line="360" w:lineRule="auto"/>
        <w:ind w:left="567" w:hanging="567"/>
        <w:jc w:val="both"/>
        <w:rPr>
          <w:rtl/>
        </w:rPr>
      </w:pPr>
    </w:p>
    <w:p w14:paraId="35A87E5D" w14:textId="77777777" w:rsidR="000423AA" w:rsidRDefault="000423AA" w:rsidP="000423AA">
      <w:pPr>
        <w:spacing w:line="360" w:lineRule="auto"/>
        <w:jc w:val="both"/>
        <w:rPr>
          <w:b/>
          <w:bCs/>
          <w:sz w:val="6"/>
          <w:szCs w:val="6"/>
        </w:rPr>
      </w:pPr>
      <w:r>
        <w:rPr>
          <w:b/>
          <w:bCs/>
          <w:sz w:val="6"/>
          <w:szCs w:val="6"/>
          <w:rtl/>
        </w:rPr>
        <w:t>&lt;#5#&gt;</w:t>
      </w:r>
    </w:p>
    <w:p w14:paraId="1C0479BF" w14:textId="77777777" w:rsidR="000423AA" w:rsidRDefault="000423AA" w:rsidP="000423AA">
      <w:pPr>
        <w:rPr>
          <w:rtl/>
        </w:rPr>
      </w:pPr>
    </w:p>
    <w:p w14:paraId="72BF648F" w14:textId="77777777" w:rsidR="000423AA" w:rsidRDefault="000423AA" w:rsidP="000423AA">
      <w:pPr>
        <w:spacing w:line="360" w:lineRule="auto"/>
        <w:rPr>
          <w:rtl/>
        </w:rPr>
      </w:pPr>
      <w:r>
        <w:rPr>
          <w:rFonts w:hint="cs"/>
          <w:b/>
          <w:bCs/>
          <w:rtl/>
        </w:rPr>
        <w:t xml:space="preserve">ניתנה והודעה היום </w:t>
      </w:r>
      <w:r>
        <w:rPr>
          <w:b/>
          <w:bCs/>
          <w:rtl/>
        </w:rPr>
        <w:t>ג' כסלו תשע"ח</w:t>
      </w:r>
      <w:r>
        <w:rPr>
          <w:rFonts w:hint="cs"/>
          <w:b/>
          <w:bCs/>
          <w:rtl/>
        </w:rPr>
        <w:t xml:space="preserve">, </w:t>
      </w:r>
      <w:r>
        <w:rPr>
          <w:b/>
          <w:bCs/>
        </w:rPr>
        <w:t>21/11/2017</w:t>
      </w:r>
      <w:r>
        <w:rPr>
          <w:rFonts w:hint="cs"/>
          <w:b/>
          <w:bCs/>
          <w:rtl/>
        </w:rPr>
        <w:t xml:space="preserve"> במעמד הנוכחים.</w:t>
      </w:r>
    </w:p>
    <w:p w14:paraId="3381A96D" w14:textId="77777777" w:rsidR="000423AA" w:rsidRDefault="000423AA" w:rsidP="000423AA">
      <w:pPr>
        <w:rPr>
          <w:rtl/>
        </w:rPr>
      </w:pPr>
    </w:p>
    <w:p w14:paraId="104D8E98" w14:textId="77777777" w:rsidR="000423AA" w:rsidRDefault="000423AA" w:rsidP="000423AA">
      <w:pPr>
        <w:spacing w:line="360" w:lineRule="auto"/>
        <w:jc w:val="both"/>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34AE2" w14:paraId="3F708557" w14:textId="77777777" w:rsidTr="000423AA">
        <w:trPr>
          <w:trHeight w:val="316"/>
          <w:jc w:val="right"/>
        </w:trPr>
        <w:tc>
          <w:tcPr>
            <w:tcW w:w="3936" w:type="dxa"/>
            <w:shd w:val="clear" w:color="auto" w:fill="auto"/>
            <w:vAlign w:val="bottom"/>
          </w:tcPr>
          <w:p w14:paraId="0A642873" w14:textId="77777777" w:rsidR="000423AA" w:rsidRDefault="000423AA" w:rsidP="000423AA">
            <w:pPr>
              <w:jc w:val="center"/>
              <w:rPr>
                <w:rtl/>
              </w:rPr>
            </w:pPr>
            <w:r>
              <w:rPr>
                <w:rtl/>
              </w:rPr>
              <w:t xml:space="preserve">     </w:t>
            </w:r>
          </w:p>
        </w:tc>
      </w:tr>
      <w:tr w:rsidR="00434AE2" w14:paraId="6761EF5A" w14:textId="77777777" w:rsidTr="000423AA">
        <w:trPr>
          <w:trHeight w:val="361"/>
          <w:jc w:val="right"/>
        </w:trPr>
        <w:tc>
          <w:tcPr>
            <w:tcW w:w="3936" w:type="dxa"/>
            <w:shd w:val="clear" w:color="auto" w:fill="auto"/>
          </w:tcPr>
          <w:p w14:paraId="5AB831F8" w14:textId="77777777" w:rsidR="000423AA" w:rsidRPr="000423AA" w:rsidRDefault="000423AA" w:rsidP="000423AA">
            <w:pPr>
              <w:jc w:val="center"/>
              <w:rPr>
                <w:b/>
                <w:bCs/>
                <w:rtl/>
              </w:rPr>
            </w:pPr>
            <w:r w:rsidRPr="000423AA">
              <w:rPr>
                <w:b/>
                <w:bCs/>
                <w:rtl/>
              </w:rPr>
              <w:t>עמית</w:t>
            </w:r>
            <w:r w:rsidRPr="000423AA">
              <w:rPr>
                <w:rFonts w:hint="cs"/>
                <w:b/>
                <w:bCs/>
                <w:rtl/>
              </w:rPr>
              <w:t xml:space="preserve"> </w:t>
            </w:r>
            <w:r w:rsidRPr="000423AA">
              <w:rPr>
                <w:b/>
                <w:bCs/>
                <w:rtl/>
              </w:rPr>
              <w:t>פרייז</w:t>
            </w:r>
            <w:r w:rsidRPr="000423AA">
              <w:rPr>
                <w:rFonts w:hint="cs"/>
                <w:b/>
                <w:bCs/>
                <w:rtl/>
              </w:rPr>
              <w:t xml:space="preserve">, </w:t>
            </w:r>
            <w:r w:rsidRPr="000423AA">
              <w:rPr>
                <w:b/>
                <w:bCs/>
                <w:rtl/>
              </w:rPr>
              <w:t>שופט</w:t>
            </w:r>
          </w:p>
        </w:tc>
      </w:tr>
    </w:tbl>
    <w:p w14:paraId="33283DFE" w14:textId="77777777" w:rsidR="000423AA" w:rsidRDefault="000423AA" w:rsidP="000423AA">
      <w:pPr>
        <w:spacing w:line="360" w:lineRule="auto"/>
        <w:jc w:val="both"/>
        <w:rPr>
          <w:rtl/>
        </w:rPr>
      </w:pPr>
      <w:r>
        <w:rPr>
          <w:rtl/>
        </w:rPr>
        <w:t xml:space="preserve"> </w:t>
      </w:r>
    </w:p>
    <w:p w14:paraId="29DEFB23" w14:textId="77777777" w:rsidR="000423AA" w:rsidRDefault="000423AA" w:rsidP="000423AA">
      <w:pPr>
        <w:spacing w:line="360" w:lineRule="auto"/>
        <w:jc w:val="both"/>
        <w:rPr>
          <w:sz w:val="6"/>
          <w:szCs w:val="6"/>
          <w:rtl/>
        </w:rPr>
      </w:pPr>
      <w:r>
        <w:rPr>
          <w:sz w:val="6"/>
          <w:szCs w:val="6"/>
          <w:rtl/>
        </w:rPr>
        <w:t>&lt;#6#&gt;</w:t>
      </w:r>
    </w:p>
    <w:p w14:paraId="6A553A97" w14:textId="77777777" w:rsidR="000423AA" w:rsidRDefault="000423AA" w:rsidP="000423AA">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62B59AA1" w14:textId="77777777" w:rsidR="000423AA" w:rsidRDefault="000423AA" w:rsidP="000423AA">
      <w:pPr>
        <w:spacing w:line="360" w:lineRule="auto"/>
        <w:jc w:val="center"/>
        <w:rPr>
          <w:rtl/>
        </w:rPr>
      </w:pPr>
    </w:p>
    <w:p w14:paraId="6BFA0247" w14:textId="77777777" w:rsidR="000423AA" w:rsidRDefault="000423AA" w:rsidP="000423AA">
      <w:pPr>
        <w:spacing w:line="360" w:lineRule="auto"/>
        <w:jc w:val="both"/>
        <w:rPr>
          <w:rtl/>
        </w:rPr>
      </w:pPr>
      <w:r>
        <w:rPr>
          <w:rFonts w:hint="cs"/>
          <w:rtl/>
        </w:rPr>
        <w:t>הבקשה נדחית על הסף.</w:t>
      </w:r>
    </w:p>
    <w:p w14:paraId="71365E4B" w14:textId="77777777" w:rsidR="000423AA" w:rsidRDefault="000423AA" w:rsidP="000423AA">
      <w:pPr>
        <w:spacing w:line="360" w:lineRule="auto"/>
        <w:jc w:val="both"/>
        <w:rPr>
          <w:rtl/>
        </w:rPr>
      </w:pPr>
      <w:r>
        <w:rPr>
          <w:rFonts w:hint="cs"/>
          <w:rtl/>
        </w:rPr>
        <w:t>עבודות השירות אמורות להתחיל לאחר תום התקופה להגשת הערעור, ומעבר לכך ממילא התביעה עתרה לעבודות שירות ובקשתה התקבלה באופן חלקי, כך שלא ברור לי מדוע ביצוע עבודות השירות אמור לסכל אפשרות של קבלת ערעור תביעה על גזר הדין.</w:t>
      </w:r>
    </w:p>
    <w:p w14:paraId="4DCC50DE" w14:textId="77777777" w:rsidR="000423AA" w:rsidRDefault="000423AA" w:rsidP="000423AA">
      <w:pPr>
        <w:spacing w:line="360" w:lineRule="auto"/>
        <w:jc w:val="both"/>
        <w:rPr>
          <w:rtl/>
        </w:rPr>
      </w:pPr>
    </w:p>
    <w:p w14:paraId="32472499" w14:textId="77777777" w:rsidR="000423AA" w:rsidRDefault="000423AA" w:rsidP="000423AA">
      <w:pPr>
        <w:spacing w:line="360" w:lineRule="auto"/>
        <w:jc w:val="both"/>
        <w:rPr>
          <w:sz w:val="6"/>
          <w:szCs w:val="6"/>
          <w:rtl/>
        </w:rPr>
      </w:pPr>
      <w:r>
        <w:rPr>
          <w:sz w:val="6"/>
          <w:szCs w:val="6"/>
          <w:rtl/>
        </w:rPr>
        <w:t>&lt;#7#&gt;</w:t>
      </w:r>
    </w:p>
    <w:p w14:paraId="6E53D427" w14:textId="77777777" w:rsidR="000423AA" w:rsidRDefault="000423AA" w:rsidP="000423AA">
      <w:pPr>
        <w:rPr>
          <w:rtl/>
        </w:rPr>
      </w:pPr>
    </w:p>
    <w:p w14:paraId="20FEBC74" w14:textId="77777777" w:rsidR="000423AA" w:rsidRDefault="0096481C" w:rsidP="000423AA">
      <w:pPr>
        <w:rPr>
          <w:rtl/>
        </w:rPr>
      </w:pPr>
      <w:r w:rsidRPr="0096481C">
        <w:rPr>
          <w:b/>
          <w:bCs/>
          <w:color w:val="FFFFFF"/>
          <w:sz w:val="2"/>
          <w:szCs w:val="2"/>
          <w:rtl/>
        </w:rPr>
        <w:t>5129371</w:t>
      </w:r>
      <w:r>
        <w:rPr>
          <w:b/>
          <w:bCs/>
          <w:rtl/>
        </w:rPr>
        <w:t xml:space="preserve">ניתנה והודעה היום ג' כסלו תשע"ח, 21/11/2017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34AE2" w14:paraId="1EE7B4F8" w14:textId="77777777" w:rsidTr="000423AA">
        <w:trPr>
          <w:trHeight w:val="316"/>
          <w:jc w:val="right"/>
        </w:trPr>
        <w:tc>
          <w:tcPr>
            <w:tcW w:w="3936" w:type="dxa"/>
            <w:shd w:val="clear" w:color="auto" w:fill="auto"/>
            <w:vAlign w:val="bottom"/>
          </w:tcPr>
          <w:p w14:paraId="67907159" w14:textId="77777777" w:rsidR="000423AA" w:rsidRPr="0096481C" w:rsidRDefault="0096481C" w:rsidP="000423AA">
            <w:pPr>
              <w:jc w:val="center"/>
              <w:rPr>
                <w:color w:val="FFFFFF"/>
                <w:sz w:val="2"/>
                <w:szCs w:val="2"/>
              </w:rPr>
            </w:pPr>
            <w:r w:rsidRPr="0096481C">
              <w:rPr>
                <w:color w:val="FFFFFF"/>
                <w:sz w:val="2"/>
                <w:szCs w:val="2"/>
                <w:rtl/>
              </w:rPr>
              <w:t>54678313</w:t>
            </w:r>
            <w:r w:rsidR="000423AA" w:rsidRPr="0096481C">
              <w:rPr>
                <w:color w:val="FFFFFF"/>
                <w:sz w:val="2"/>
                <w:szCs w:val="2"/>
                <w:rtl/>
              </w:rPr>
              <w:t xml:space="preserve">     </w:t>
            </w:r>
          </w:p>
          <w:p w14:paraId="2B5960EA" w14:textId="77777777" w:rsidR="000423AA" w:rsidRDefault="000423AA" w:rsidP="000423AA">
            <w:pPr>
              <w:jc w:val="center"/>
              <w:rPr>
                <w:rtl/>
              </w:rPr>
            </w:pPr>
          </w:p>
        </w:tc>
      </w:tr>
      <w:tr w:rsidR="00434AE2" w14:paraId="072B3E2F" w14:textId="77777777" w:rsidTr="000423AA">
        <w:trPr>
          <w:trHeight w:val="361"/>
          <w:jc w:val="right"/>
        </w:trPr>
        <w:tc>
          <w:tcPr>
            <w:tcW w:w="3936" w:type="dxa"/>
            <w:shd w:val="clear" w:color="auto" w:fill="auto"/>
          </w:tcPr>
          <w:p w14:paraId="3A165E45" w14:textId="77777777" w:rsidR="000423AA" w:rsidRPr="000423AA" w:rsidRDefault="000423AA" w:rsidP="000423AA">
            <w:pPr>
              <w:jc w:val="center"/>
              <w:rPr>
                <w:b/>
                <w:bCs/>
                <w:rtl/>
              </w:rPr>
            </w:pPr>
            <w:r w:rsidRPr="000423AA">
              <w:rPr>
                <w:b/>
                <w:bCs/>
                <w:rtl/>
              </w:rPr>
              <w:t>עמית</w:t>
            </w:r>
            <w:r w:rsidRPr="000423AA">
              <w:rPr>
                <w:rFonts w:hint="cs"/>
                <w:b/>
                <w:bCs/>
                <w:rtl/>
              </w:rPr>
              <w:t xml:space="preserve"> </w:t>
            </w:r>
            <w:r w:rsidRPr="000423AA">
              <w:rPr>
                <w:b/>
                <w:bCs/>
                <w:rtl/>
              </w:rPr>
              <w:t>פרייז</w:t>
            </w:r>
            <w:r w:rsidRPr="000423AA">
              <w:rPr>
                <w:rFonts w:hint="cs"/>
                <w:b/>
                <w:bCs/>
                <w:rtl/>
              </w:rPr>
              <w:t xml:space="preserve">, </w:t>
            </w:r>
            <w:r w:rsidRPr="000423AA">
              <w:rPr>
                <w:b/>
                <w:bCs/>
                <w:rtl/>
              </w:rPr>
              <w:t>שופט</w:t>
            </w:r>
          </w:p>
        </w:tc>
      </w:tr>
    </w:tbl>
    <w:p w14:paraId="20FD3EA2" w14:textId="77777777" w:rsidR="000423AA" w:rsidRDefault="000423AA" w:rsidP="000423AA">
      <w:pPr>
        <w:rPr>
          <w:rtl/>
        </w:rPr>
      </w:pPr>
    </w:p>
    <w:p w14:paraId="2E58911D" w14:textId="77777777" w:rsidR="000423AA" w:rsidRDefault="00C95D53" w:rsidP="000423AA">
      <w:r w:rsidRPr="00C95D53">
        <w:rPr>
          <w:color w:val="FFFFFF"/>
          <w:sz w:val="2"/>
          <w:szCs w:val="2"/>
          <w:rtl/>
        </w:rPr>
        <w:t>5129371</w:t>
      </w:r>
      <w:r w:rsidR="000423AA">
        <w:rPr>
          <w:rtl/>
        </w:rPr>
        <w:t>הוקלד</w:t>
      </w:r>
      <w:r w:rsidR="000423AA">
        <w:t xml:space="preserve"> </w:t>
      </w:r>
      <w:r w:rsidR="000423AA">
        <w:rPr>
          <w:rtl/>
        </w:rPr>
        <w:t>על</w:t>
      </w:r>
      <w:r w:rsidR="000423AA">
        <w:t xml:space="preserve"> </w:t>
      </w:r>
      <w:r w:rsidR="000423AA">
        <w:rPr>
          <w:rtl/>
        </w:rPr>
        <w:t>ידי</w:t>
      </w:r>
      <w:r w:rsidR="000423AA">
        <w:t xml:space="preserve"> </w:t>
      </w:r>
      <w:r w:rsidR="000423AA">
        <w:rPr>
          <w:rtl/>
        </w:rPr>
        <w:t>סופיה</w:t>
      </w:r>
      <w:r w:rsidR="000423AA">
        <w:t xml:space="preserve"> </w:t>
      </w:r>
      <w:r w:rsidR="000423AA">
        <w:rPr>
          <w:rtl/>
        </w:rPr>
        <w:t>עטיה</w:t>
      </w:r>
    </w:p>
    <w:p w14:paraId="16C3CB39" w14:textId="77777777" w:rsidR="002D7B2F" w:rsidRPr="00C95D53" w:rsidRDefault="00C95D53" w:rsidP="0096481C">
      <w:pPr>
        <w:keepNext/>
        <w:rPr>
          <w:color w:val="FFFFFF"/>
          <w:sz w:val="2"/>
          <w:szCs w:val="2"/>
          <w:rtl/>
        </w:rPr>
      </w:pPr>
      <w:r w:rsidRPr="00C95D53">
        <w:rPr>
          <w:color w:val="FFFFFF"/>
          <w:sz w:val="2"/>
          <w:szCs w:val="2"/>
          <w:rtl/>
        </w:rPr>
        <w:t>54678313</w:t>
      </w:r>
    </w:p>
    <w:p w14:paraId="7057FA55" w14:textId="77777777" w:rsidR="0096481C" w:rsidRPr="0096481C" w:rsidRDefault="0096481C" w:rsidP="0096481C">
      <w:pPr>
        <w:keepNext/>
        <w:rPr>
          <w:color w:val="000000"/>
          <w:sz w:val="22"/>
          <w:szCs w:val="22"/>
          <w:rtl/>
        </w:rPr>
      </w:pPr>
      <w:r w:rsidRPr="0096481C">
        <w:rPr>
          <w:color w:val="000000"/>
          <w:sz w:val="22"/>
          <w:szCs w:val="22"/>
          <w:rtl/>
        </w:rPr>
        <w:t>עמית פרייז 54678313</w:t>
      </w:r>
    </w:p>
    <w:p w14:paraId="7A2B8AA8" w14:textId="77777777" w:rsidR="0096481C" w:rsidRDefault="0096481C" w:rsidP="0096481C">
      <w:r w:rsidRPr="0096481C">
        <w:rPr>
          <w:color w:val="000000"/>
          <w:rtl/>
        </w:rPr>
        <w:t>נוסח מסמך זה כפוף לשינויי ניסוח ועריכה</w:t>
      </w:r>
    </w:p>
    <w:p w14:paraId="737351EE" w14:textId="77777777" w:rsidR="0096481C" w:rsidRDefault="0096481C" w:rsidP="0096481C">
      <w:pPr>
        <w:rPr>
          <w:rtl/>
        </w:rPr>
      </w:pPr>
    </w:p>
    <w:p w14:paraId="2A1AFDE4" w14:textId="77777777" w:rsidR="0096481C" w:rsidRDefault="0096481C" w:rsidP="0096481C">
      <w:pPr>
        <w:jc w:val="center"/>
        <w:rPr>
          <w:color w:val="0000FF"/>
          <w:u w:val="single"/>
        </w:rPr>
      </w:pPr>
      <w:hyperlink r:id="rId13" w:history="1">
        <w:r>
          <w:rPr>
            <w:color w:val="0000FF"/>
            <w:u w:val="single"/>
            <w:rtl/>
          </w:rPr>
          <w:t>בעניין עריכה ושינויים במסמכי פסיקה, חקיקה ועוד באתר נבו – הקש כאן</w:t>
        </w:r>
      </w:hyperlink>
    </w:p>
    <w:p w14:paraId="688AD2FE" w14:textId="77777777" w:rsidR="00C95D53" w:rsidRPr="00C95D53" w:rsidRDefault="00C95D53" w:rsidP="00C95D53">
      <w:pPr>
        <w:keepNext/>
        <w:rPr>
          <w:color w:val="000000"/>
          <w:sz w:val="22"/>
          <w:szCs w:val="22"/>
          <w:rtl/>
        </w:rPr>
      </w:pPr>
    </w:p>
    <w:sectPr w:rsidR="00C95D53" w:rsidRPr="00C95D53" w:rsidSect="00C95D53">
      <w:headerReference w:type="even" r:id="rId14"/>
      <w:headerReference w:type="default" r:id="rId15"/>
      <w:footerReference w:type="even" r:id="rId16"/>
      <w:footerReference w:type="default" r:id="rId17"/>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7AF6F5" w14:textId="77777777" w:rsidR="00C1433C" w:rsidRDefault="00C1433C" w:rsidP="00317113">
      <w:r>
        <w:separator/>
      </w:r>
    </w:p>
  </w:endnote>
  <w:endnote w:type="continuationSeparator" w:id="0">
    <w:p w14:paraId="5A38D4CF" w14:textId="77777777" w:rsidR="00C1433C" w:rsidRDefault="00C1433C" w:rsidP="00317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1371B6" w14:textId="77777777" w:rsidR="00C1433C" w:rsidRDefault="00C1433C" w:rsidP="00C95D5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FFE4BAD" w14:textId="77777777" w:rsidR="00C1433C" w:rsidRPr="00C95D53" w:rsidRDefault="00C1433C" w:rsidP="00C95D53">
    <w:pPr>
      <w:pStyle w:val="a5"/>
      <w:pBdr>
        <w:top w:val="single" w:sz="4" w:space="1" w:color="auto"/>
        <w:between w:val="single" w:sz="4" w:space="0" w:color="auto"/>
      </w:pBdr>
      <w:spacing w:after="60"/>
      <w:jc w:val="center"/>
      <w:rPr>
        <w:rFonts w:ascii="FrankRuehl" w:hAnsi="FrankRuehl" w:cs="FrankRuehl"/>
        <w:color w:val="000000"/>
      </w:rPr>
    </w:pPr>
    <w:r w:rsidRPr="00C95D5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75168" w14:textId="77777777" w:rsidR="00C1433C" w:rsidRDefault="00C1433C" w:rsidP="00C95D5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23689">
      <w:rPr>
        <w:rFonts w:ascii="FrankRuehl" w:hAnsi="FrankRuehl" w:cs="FrankRuehl"/>
        <w:noProof/>
        <w:rtl/>
      </w:rPr>
      <w:t>1</w:t>
    </w:r>
    <w:r>
      <w:rPr>
        <w:rFonts w:ascii="FrankRuehl" w:hAnsi="FrankRuehl" w:cs="FrankRuehl"/>
        <w:rtl/>
      </w:rPr>
      <w:fldChar w:fldCharType="end"/>
    </w:r>
  </w:p>
  <w:p w14:paraId="6B6AF784" w14:textId="77777777" w:rsidR="00C1433C" w:rsidRPr="00C95D53" w:rsidRDefault="00C1433C" w:rsidP="00C95D53">
    <w:pPr>
      <w:pStyle w:val="a5"/>
      <w:pBdr>
        <w:top w:val="single" w:sz="4" w:space="1" w:color="auto"/>
        <w:between w:val="single" w:sz="4" w:space="0" w:color="auto"/>
      </w:pBdr>
      <w:spacing w:after="60"/>
      <w:jc w:val="center"/>
      <w:rPr>
        <w:rFonts w:ascii="FrankRuehl" w:hAnsi="FrankRuehl" w:cs="FrankRuehl"/>
        <w:color w:val="000000"/>
      </w:rPr>
    </w:pPr>
    <w:r w:rsidRPr="00C95D53">
      <w:rPr>
        <w:rFonts w:ascii="FrankRuehl" w:hAnsi="FrankRuehl" w:cs="FrankRuehl"/>
        <w:color w:val="000000"/>
      </w:rPr>
      <w:pict w14:anchorId="56B41B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0A260F" w14:textId="77777777" w:rsidR="00C1433C" w:rsidRDefault="00C1433C" w:rsidP="00317113">
      <w:r>
        <w:separator/>
      </w:r>
    </w:p>
  </w:footnote>
  <w:footnote w:type="continuationSeparator" w:id="0">
    <w:p w14:paraId="3A94A4F1" w14:textId="77777777" w:rsidR="00C1433C" w:rsidRDefault="00C1433C" w:rsidP="003171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A4A0FD" w14:textId="77777777" w:rsidR="00C1433C" w:rsidRPr="00C95D53" w:rsidRDefault="00C1433C" w:rsidP="00C95D53">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36599-04-15</w:t>
    </w:r>
    <w:r>
      <w:rPr>
        <w:color w:val="000000"/>
        <w:sz w:val="22"/>
        <w:szCs w:val="22"/>
        <w:rtl/>
      </w:rPr>
      <w:tab/>
      <w:t xml:space="preserve"> מדינת ישראל נ' אלעד קוניו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6B882" w14:textId="77777777" w:rsidR="00C1433C" w:rsidRPr="00C95D53" w:rsidRDefault="00C1433C" w:rsidP="00C95D53">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36599-04-15</w:t>
    </w:r>
    <w:r>
      <w:rPr>
        <w:color w:val="000000"/>
        <w:sz w:val="22"/>
        <w:szCs w:val="22"/>
        <w:rtl/>
      </w:rPr>
      <w:tab/>
      <w:t xml:space="preserve"> מדינת ישראל נ' אלעד קוניו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82539A"/>
    <w:multiLevelType w:val="hybridMultilevel"/>
    <w:tmpl w:val="3378CA90"/>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176037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423AA"/>
    <w:rsid w:val="000423AA"/>
    <w:rsid w:val="002D7B2F"/>
    <w:rsid w:val="00317113"/>
    <w:rsid w:val="00434AE2"/>
    <w:rsid w:val="004810BD"/>
    <w:rsid w:val="00523689"/>
    <w:rsid w:val="00753EE3"/>
    <w:rsid w:val="0096481C"/>
    <w:rsid w:val="00B74E3E"/>
    <w:rsid w:val="00BA16A0"/>
    <w:rsid w:val="00C02D9B"/>
    <w:rsid w:val="00C1433C"/>
    <w:rsid w:val="00C95D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8CFC7E8"/>
  <w15:chartTrackingRefBased/>
  <w15:docId w15:val="{E8DCFF9F-3809-4D84-8CDD-8E176A41A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23AA"/>
    <w:pPr>
      <w:bidi/>
    </w:pPr>
    <w:rPr>
      <w:rFonts w:ascii="David" w:eastAsia="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423AA"/>
    <w:pPr>
      <w:tabs>
        <w:tab w:val="center" w:pos="4153"/>
        <w:tab w:val="right" w:pos="8306"/>
      </w:tabs>
    </w:pPr>
  </w:style>
  <w:style w:type="character" w:customStyle="1" w:styleId="a4">
    <w:name w:val="כותרת עליונה תו"/>
    <w:link w:val="a3"/>
    <w:rsid w:val="000423AA"/>
    <w:rPr>
      <w:rFonts w:ascii="David" w:eastAsia="David" w:hAnsi="David" w:cs="David"/>
      <w:sz w:val="24"/>
      <w:szCs w:val="24"/>
    </w:rPr>
  </w:style>
  <w:style w:type="paragraph" w:styleId="a5">
    <w:name w:val="footer"/>
    <w:basedOn w:val="a"/>
    <w:link w:val="a6"/>
    <w:rsid w:val="000423AA"/>
    <w:pPr>
      <w:tabs>
        <w:tab w:val="center" w:pos="4153"/>
        <w:tab w:val="right" w:pos="8306"/>
      </w:tabs>
    </w:pPr>
  </w:style>
  <w:style w:type="character" w:customStyle="1" w:styleId="a6">
    <w:name w:val="כותרת תחתונה תו"/>
    <w:link w:val="a5"/>
    <w:rsid w:val="000423AA"/>
    <w:rPr>
      <w:rFonts w:ascii="David" w:eastAsia="David" w:hAnsi="David" w:cs="David"/>
      <w:sz w:val="24"/>
      <w:szCs w:val="24"/>
    </w:rPr>
  </w:style>
  <w:style w:type="table" w:styleId="a7">
    <w:name w:val="Table Grid"/>
    <w:basedOn w:val="a1"/>
    <w:rsid w:val="000423AA"/>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423AA"/>
  </w:style>
  <w:style w:type="character" w:customStyle="1" w:styleId="TimesNewRomanTimesNewRoman">
    <w:name w:val="סגנון (לטיני) Times New Roman (עברית ושפות אחרות) Times New Roman..."/>
    <w:rsid w:val="000423AA"/>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0423AA"/>
    <w:rPr>
      <w:rFonts w:ascii="Times New Roman" w:eastAsia="Times New Roman" w:hAnsi="Times New Roman"/>
      <w:b/>
      <w:bCs/>
      <w:u w:val="single"/>
    </w:rPr>
  </w:style>
  <w:style w:type="character" w:styleId="a9">
    <w:name w:val="line number"/>
    <w:rsid w:val="0096481C"/>
  </w:style>
  <w:style w:type="character" w:styleId="Hyperlink">
    <w:name w:val="Hyperlink"/>
    <w:rsid w:val="0096481C"/>
    <w:rPr>
      <w:color w:val="0563C1"/>
      <w:u w:val="single"/>
    </w:rPr>
  </w:style>
  <w:style w:type="character" w:styleId="aa">
    <w:name w:val="Unresolved Mention"/>
    <w:rsid w:val="0096481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20222198"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0222203"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nevo.co.il/law/421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1267</Words>
  <Characters>6337</Characters>
  <Application>Microsoft Office Word</Application>
  <DocSecurity>0</DocSecurity>
  <Lines>52</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7589</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8257637</vt:i4>
      </vt:variant>
      <vt:variant>
        <vt:i4>15</vt:i4>
      </vt:variant>
      <vt:variant>
        <vt:i4>0</vt:i4>
      </vt:variant>
      <vt:variant>
        <vt:i4>5</vt:i4>
      </vt:variant>
      <vt:variant>
        <vt:lpwstr>http://www.nevo.co.il/law/4216</vt:lpwstr>
      </vt:variant>
      <vt:variant>
        <vt:lpwstr/>
      </vt:variant>
      <vt:variant>
        <vt:i4>3276916</vt:i4>
      </vt:variant>
      <vt:variant>
        <vt:i4>12</vt:i4>
      </vt:variant>
      <vt:variant>
        <vt:i4>0</vt:i4>
      </vt:variant>
      <vt:variant>
        <vt:i4>5</vt:i4>
      </vt:variant>
      <vt:variant>
        <vt:lpwstr>http://www.nevo.co.il/case/20222203</vt:lpwstr>
      </vt:variant>
      <vt:variant>
        <vt:lpwstr/>
      </vt:variant>
      <vt:variant>
        <vt:i4>8257637</vt:i4>
      </vt:variant>
      <vt:variant>
        <vt:i4>9</vt:i4>
      </vt:variant>
      <vt:variant>
        <vt:i4>0</vt:i4>
      </vt:variant>
      <vt:variant>
        <vt:i4>5</vt:i4>
      </vt:variant>
      <vt:variant>
        <vt:lpwstr>http://www.nevo.co.il/law/4216</vt:lpwstr>
      </vt:variant>
      <vt:variant>
        <vt:lpwstr/>
      </vt:variant>
      <vt:variant>
        <vt:i4>8257637</vt:i4>
      </vt:variant>
      <vt:variant>
        <vt:i4>6</vt:i4>
      </vt:variant>
      <vt:variant>
        <vt:i4>0</vt:i4>
      </vt:variant>
      <vt:variant>
        <vt:i4>5</vt:i4>
      </vt:variant>
      <vt:variant>
        <vt:lpwstr>http://www.nevo.co.il/law/4216</vt:lpwstr>
      </vt:variant>
      <vt:variant>
        <vt:lpwstr/>
      </vt:variant>
      <vt:variant>
        <vt:i4>3866743</vt:i4>
      </vt:variant>
      <vt:variant>
        <vt:i4>3</vt:i4>
      </vt:variant>
      <vt:variant>
        <vt:i4>0</vt:i4>
      </vt:variant>
      <vt:variant>
        <vt:i4>5</vt:i4>
      </vt:variant>
      <vt:variant>
        <vt:lpwstr>http://www.nevo.co.il/case/20222198</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2025-04-22T22:41:00Z</dcterms:created>
  <dcterms:modified xsi:type="dcterms:W3CDTF">2025-04-22T22:41:00Z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36599</vt:lpwstr>
  </property>
  <property fmtid="{D5CDD505-2E9C-101B-9397-08002B2CF9AE}" pid="6" name="NEWPARTB">
    <vt:lpwstr>04</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אלעד קוניו </vt:lpwstr>
  </property>
  <property fmtid="{D5CDD505-2E9C-101B-9397-08002B2CF9AE}" pid="10" name="LAWYER">
    <vt:lpwstr>ניסים סוסי;איתי רוזין </vt:lpwstr>
  </property>
  <property fmtid="{D5CDD505-2E9C-101B-9397-08002B2CF9AE}" pid="11" name="JUDGE">
    <vt:lpwstr>עמית פרייז</vt:lpwstr>
  </property>
  <property fmtid="{D5CDD505-2E9C-101B-9397-08002B2CF9AE}" pid="12" name="CITY">
    <vt:lpwstr>נת'</vt:lpwstr>
  </property>
  <property fmtid="{D5CDD505-2E9C-101B-9397-08002B2CF9AE}" pid="13" name="DATE">
    <vt:lpwstr>20171121</vt:lpwstr>
  </property>
  <property fmtid="{D5CDD505-2E9C-101B-9397-08002B2CF9AE}" pid="14" name="TYPE_N_DATE">
    <vt:lpwstr>38020171121</vt:lpwstr>
  </property>
  <property fmtid="{D5CDD505-2E9C-101B-9397-08002B2CF9AE}" pid="15" name="CASESLISTTMP1">
    <vt:lpwstr>20222198;20222203</vt:lpwstr>
  </property>
  <property fmtid="{D5CDD505-2E9C-101B-9397-08002B2CF9AE}" pid="16" name="WORDNUMPAGES">
    <vt:lpwstr>5</vt:lpwstr>
  </property>
  <property fmtid="{D5CDD505-2E9C-101B-9397-08002B2CF9AE}" pid="17" name="TYPE_ABS_DATE">
    <vt:lpwstr>380020171121</vt:lpwstr>
  </property>
  <property fmtid="{D5CDD505-2E9C-101B-9397-08002B2CF9AE}" pid="18" name="ISABSTRACT">
    <vt:lpwstr>Y</vt:lpwstr>
  </property>
  <property fmtid="{D5CDD505-2E9C-101B-9397-08002B2CF9AE}" pid="19" name="LAWLISTTMP1">
    <vt:lpwstr>4216:3</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ies>
</file>