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F849FF" w:rsidRPr="005D6D63" w14:paraId="3C4126D6" w14:textId="77777777" w:rsidTr="00B92680">
        <w:trPr>
          <w:trHeight w:hRule="exact" w:val="418"/>
          <w:jc w:val="center"/>
        </w:trPr>
        <w:tc>
          <w:tcPr>
            <w:tcW w:w="8523" w:type="dxa"/>
            <w:gridSpan w:val="2"/>
          </w:tcPr>
          <w:p w14:paraId="5A710106" w14:textId="77777777" w:rsidR="00F849FF" w:rsidRPr="005D6D63" w:rsidRDefault="00F849FF" w:rsidP="00912937">
            <w:pPr>
              <w:pStyle w:val="a3"/>
              <w:jc w:val="center"/>
              <w:rPr>
                <w:rFonts w:ascii="Tahoma" w:hAnsi="Tahoma"/>
                <w:color w:val="000080"/>
                <w:sz w:val="32"/>
                <w:szCs w:val="32"/>
                <w:rtl/>
              </w:rPr>
            </w:pPr>
            <w:bookmarkStart w:id="0" w:name="LastJudge"/>
            <w:r w:rsidRPr="005D6D63">
              <w:rPr>
                <w:rFonts w:ascii="Tahoma" w:hAnsi="Tahoma"/>
                <w:b/>
                <w:bCs/>
                <w:color w:val="000080"/>
                <w:sz w:val="32"/>
                <w:szCs w:val="32"/>
                <w:rtl/>
              </w:rPr>
              <w:t>בית משפט השלום בתל אביב - יפו</w:t>
            </w:r>
          </w:p>
        </w:tc>
      </w:tr>
      <w:tr w:rsidR="00F849FF" w:rsidRPr="005D6D63" w14:paraId="394ABF43" w14:textId="77777777" w:rsidTr="00B92680">
        <w:trPr>
          <w:trHeight w:val="337"/>
          <w:jc w:val="center"/>
        </w:trPr>
        <w:tc>
          <w:tcPr>
            <w:tcW w:w="4945" w:type="dxa"/>
          </w:tcPr>
          <w:p w14:paraId="2A7BA98C" w14:textId="77777777" w:rsidR="00F849FF" w:rsidRPr="005D6D63" w:rsidRDefault="00F849FF" w:rsidP="00912937">
            <w:pPr>
              <w:rPr>
                <w:sz w:val="26"/>
                <w:szCs w:val="26"/>
                <w:rtl/>
              </w:rPr>
            </w:pPr>
            <w:r w:rsidRPr="005D6D63">
              <w:rPr>
                <w:sz w:val="26"/>
                <w:szCs w:val="26"/>
                <w:rtl/>
              </w:rPr>
              <w:t>ת"פ</w:t>
            </w:r>
            <w:r w:rsidRPr="005D6D63">
              <w:rPr>
                <w:rFonts w:hint="cs"/>
                <w:sz w:val="26"/>
                <w:szCs w:val="26"/>
                <w:rtl/>
              </w:rPr>
              <w:t xml:space="preserve"> </w:t>
            </w:r>
            <w:r w:rsidRPr="005D6D63">
              <w:rPr>
                <w:sz w:val="26"/>
                <w:szCs w:val="26"/>
                <w:rtl/>
              </w:rPr>
              <w:t>39274-04-15</w:t>
            </w:r>
            <w:r w:rsidRPr="005D6D63">
              <w:rPr>
                <w:rFonts w:hint="cs"/>
                <w:sz w:val="26"/>
                <w:szCs w:val="26"/>
                <w:rtl/>
              </w:rPr>
              <w:t xml:space="preserve"> </w:t>
            </w:r>
            <w:r w:rsidRPr="005D6D63">
              <w:rPr>
                <w:b/>
                <w:bCs/>
                <w:sz w:val="26"/>
                <w:szCs w:val="26"/>
                <w:rtl/>
              </w:rPr>
              <w:t>מדינת ישראל נ' אוזן</w:t>
            </w:r>
          </w:p>
        </w:tc>
        <w:tc>
          <w:tcPr>
            <w:tcW w:w="3578" w:type="dxa"/>
          </w:tcPr>
          <w:p w14:paraId="65243679" w14:textId="77777777" w:rsidR="00F849FF" w:rsidRPr="005D6D63" w:rsidRDefault="00F849FF" w:rsidP="00912937">
            <w:pPr>
              <w:pStyle w:val="a3"/>
              <w:jc w:val="right"/>
              <w:rPr>
                <w:rFonts w:cs="FrankRuehl"/>
                <w:sz w:val="28"/>
                <w:szCs w:val="28"/>
                <w:rtl/>
              </w:rPr>
            </w:pPr>
          </w:p>
        </w:tc>
      </w:tr>
    </w:tbl>
    <w:p w14:paraId="0398381F" w14:textId="77777777" w:rsidR="00F849FF" w:rsidRPr="005D6D63" w:rsidRDefault="00F849FF" w:rsidP="00F849FF">
      <w:pPr>
        <w:pStyle w:val="a3"/>
        <w:rPr>
          <w:rtl/>
        </w:rPr>
      </w:pPr>
      <w:r w:rsidRPr="005D6D63">
        <w:rPr>
          <w:rFonts w:hint="cs"/>
          <w:rtl/>
        </w:rPr>
        <w:t xml:space="preserve"> </w:t>
      </w:r>
    </w:p>
    <w:p w14:paraId="01ADBB62" w14:textId="77777777" w:rsidR="00F849FF" w:rsidRPr="005D6D63" w:rsidRDefault="00F849FF" w:rsidP="00F849FF">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6"/>
        <w:gridCol w:w="3332"/>
      </w:tblGrid>
      <w:tr w:rsidR="00F849FF" w:rsidRPr="005D6D63" w14:paraId="6CC0EB14" w14:textId="77777777" w:rsidTr="00F849FF">
        <w:trPr>
          <w:trHeight w:val="295"/>
          <w:jc w:val="center"/>
        </w:trPr>
        <w:tc>
          <w:tcPr>
            <w:tcW w:w="8820" w:type="dxa"/>
            <w:gridSpan w:val="3"/>
            <w:tcBorders>
              <w:top w:val="nil"/>
              <w:left w:val="nil"/>
              <w:bottom w:val="nil"/>
              <w:right w:val="nil"/>
            </w:tcBorders>
            <w:shd w:val="clear" w:color="auto" w:fill="auto"/>
          </w:tcPr>
          <w:p w14:paraId="00FA41F9" w14:textId="77777777" w:rsidR="00F849FF" w:rsidRPr="005D6D63" w:rsidRDefault="00F849FF" w:rsidP="00F849FF">
            <w:pPr>
              <w:spacing w:line="360" w:lineRule="auto"/>
              <w:jc w:val="both"/>
              <w:rPr>
                <w:sz w:val="26"/>
                <w:szCs w:val="26"/>
                <w:rtl/>
              </w:rPr>
            </w:pPr>
            <w:r w:rsidRPr="005D6D63">
              <w:rPr>
                <w:rFonts w:ascii="Arial" w:hAnsi="Arial" w:hint="cs"/>
                <w:b/>
                <w:bCs/>
                <w:sz w:val="26"/>
                <w:szCs w:val="26"/>
                <w:rtl/>
              </w:rPr>
              <w:t>ל</w:t>
            </w:r>
            <w:r w:rsidRPr="005D6D63">
              <w:rPr>
                <w:rFonts w:ascii="Arial" w:hAnsi="Arial"/>
                <w:b/>
                <w:bCs/>
                <w:sz w:val="26"/>
                <w:szCs w:val="26"/>
                <w:rtl/>
              </w:rPr>
              <w:t xml:space="preserve">פני </w:t>
            </w:r>
            <w:r w:rsidRPr="005D6D63">
              <w:rPr>
                <w:rFonts w:ascii="Arial" w:hAnsi="Arial" w:hint="cs"/>
                <w:b/>
                <w:bCs/>
                <w:sz w:val="26"/>
                <w:szCs w:val="26"/>
                <w:rtl/>
              </w:rPr>
              <w:t>כבוד ה</w:t>
            </w:r>
            <w:r w:rsidRPr="005D6D63">
              <w:rPr>
                <w:rFonts w:ascii="Arial" w:hAnsi="Arial"/>
                <w:b/>
                <w:bCs/>
                <w:sz w:val="26"/>
                <w:szCs w:val="26"/>
                <w:rtl/>
              </w:rPr>
              <w:t>שופט</w:t>
            </w:r>
            <w:r w:rsidRPr="005D6D63">
              <w:rPr>
                <w:rFonts w:ascii="Arial" w:hAnsi="Arial" w:hint="cs"/>
                <w:b/>
                <w:bCs/>
                <w:sz w:val="26"/>
                <w:szCs w:val="26"/>
                <w:rtl/>
              </w:rPr>
              <w:t xml:space="preserve"> </w:t>
            </w:r>
            <w:r w:rsidRPr="005D6D63">
              <w:rPr>
                <w:rFonts w:ascii="Arial" w:hAnsi="Arial"/>
                <w:b/>
                <w:bCs/>
                <w:sz w:val="26"/>
                <w:szCs w:val="26"/>
                <w:rtl/>
              </w:rPr>
              <w:t>שאול אבינור</w:t>
            </w:r>
          </w:p>
          <w:p w14:paraId="1BC196BF" w14:textId="77777777" w:rsidR="00F849FF" w:rsidRPr="005D6D63" w:rsidRDefault="00F849FF" w:rsidP="00F849FF">
            <w:pPr>
              <w:spacing w:line="360" w:lineRule="auto"/>
              <w:jc w:val="both"/>
              <w:rPr>
                <w:rFonts w:ascii="Arial" w:hAnsi="Arial"/>
                <w:b/>
                <w:bCs/>
                <w:sz w:val="26"/>
                <w:szCs w:val="26"/>
              </w:rPr>
            </w:pPr>
          </w:p>
        </w:tc>
      </w:tr>
      <w:tr w:rsidR="00F849FF" w:rsidRPr="005D6D63" w14:paraId="1A079F34" w14:textId="77777777" w:rsidTr="00F849FF">
        <w:trPr>
          <w:trHeight w:val="355"/>
          <w:jc w:val="center"/>
        </w:trPr>
        <w:tc>
          <w:tcPr>
            <w:tcW w:w="885" w:type="dxa"/>
            <w:tcBorders>
              <w:top w:val="nil"/>
              <w:left w:val="nil"/>
              <w:bottom w:val="nil"/>
              <w:right w:val="nil"/>
            </w:tcBorders>
            <w:shd w:val="clear" w:color="auto" w:fill="auto"/>
          </w:tcPr>
          <w:p w14:paraId="40075930" w14:textId="77777777" w:rsidR="00F849FF" w:rsidRPr="005D6D63" w:rsidRDefault="00F849FF" w:rsidP="00F849FF">
            <w:pPr>
              <w:spacing w:line="360" w:lineRule="auto"/>
              <w:jc w:val="both"/>
              <w:rPr>
                <w:rFonts w:ascii="Arial" w:hAnsi="Arial"/>
                <w:b/>
                <w:bCs/>
                <w:sz w:val="26"/>
                <w:szCs w:val="26"/>
              </w:rPr>
            </w:pPr>
            <w:bookmarkStart w:id="1" w:name="FirstAppellant"/>
            <w:bookmarkStart w:id="2" w:name="FirstLawyer"/>
            <w:r w:rsidRPr="005D6D63">
              <w:rPr>
                <w:rFonts w:ascii="Arial" w:hAnsi="Arial" w:hint="cs"/>
                <w:b/>
                <w:bCs/>
                <w:sz w:val="26"/>
                <w:szCs w:val="26"/>
                <w:rtl/>
              </w:rPr>
              <w:t>ה</w:t>
            </w:r>
            <w:r w:rsidRPr="005D6D63">
              <w:rPr>
                <w:rFonts w:ascii="Arial" w:hAnsi="Arial"/>
                <w:b/>
                <w:bCs/>
                <w:sz w:val="26"/>
                <w:szCs w:val="26"/>
                <w:rtl/>
              </w:rPr>
              <w:t>מאשימה</w:t>
            </w:r>
            <w:r w:rsidRPr="005D6D63">
              <w:rPr>
                <w:rFonts w:ascii="Arial" w:hAnsi="Arial" w:hint="cs"/>
                <w:b/>
                <w:bCs/>
                <w:sz w:val="26"/>
                <w:szCs w:val="26"/>
                <w:rtl/>
              </w:rPr>
              <w:t>:</w:t>
            </w:r>
          </w:p>
        </w:tc>
        <w:tc>
          <w:tcPr>
            <w:tcW w:w="4384" w:type="dxa"/>
            <w:tcBorders>
              <w:top w:val="nil"/>
              <w:left w:val="nil"/>
              <w:bottom w:val="nil"/>
              <w:right w:val="nil"/>
            </w:tcBorders>
            <w:shd w:val="clear" w:color="auto" w:fill="auto"/>
          </w:tcPr>
          <w:p w14:paraId="74F54C7E" w14:textId="77777777" w:rsidR="00F849FF" w:rsidRPr="005D6D63" w:rsidRDefault="00F849FF" w:rsidP="00F849FF">
            <w:pPr>
              <w:spacing w:line="360" w:lineRule="auto"/>
              <w:rPr>
                <w:b/>
                <w:bCs/>
                <w:sz w:val="26"/>
                <w:szCs w:val="26"/>
                <w:rtl/>
              </w:rPr>
            </w:pPr>
            <w:r w:rsidRPr="005D6D63">
              <w:rPr>
                <w:rFonts w:ascii="Arial" w:hAnsi="Arial"/>
                <w:b/>
                <w:bCs/>
                <w:sz w:val="26"/>
                <w:szCs w:val="26"/>
                <w:rtl/>
              </w:rPr>
              <w:t>מדינת ישראל</w:t>
            </w:r>
          </w:p>
          <w:p w14:paraId="0184779C" w14:textId="77777777" w:rsidR="00F849FF" w:rsidRPr="005D6D63" w:rsidRDefault="00F849FF" w:rsidP="00F849FF">
            <w:pPr>
              <w:spacing w:line="360" w:lineRule="auto"/>
              <w:rPr>
                <w:sz w:val="26"/>
                <w:szCs w:val="26"/>
              </w:rPr>
            </w:pPr>
            <w:r w:rsidRPr="005D6D63">
              <w:rPr>
                <w:rFonts w:hint="cs"/>
                <w:rtl/>
              </w:rPr>
              <w:t>ע"י ב"כ עו"ד יעל גבריאלי</w:t>
            </w:r>
          </w:p>
        </w:tc>
        <w:tc>
          <w:tcPr>
            <w:tcW w:w="3551" w:type="dxa"/>
            <w:tcBorders>
              <w:top w:val="nil"/>
              <w:left w:val="nil"/>
              <w:bottom w:val="nil"/>
              <w:right w:val="nil"/>
            </w:tcBorders>
            <w:shd w:val="clear" w:color="auto" w:fill="auto"/>
          </w:tcPr>
          <w:p w14:paraId="51ED5CA2" w14:textId="77777777" w:rsidR="00F849FF" w:rsidRPr="005D6D63" w:rsidRDefault="00F849FF" w:rsidP="00F849FF">
            <w:pPr>
              <w:spacing w:line="360" w:lineRule="auto"/>
              <w:jc w:val="both"/>
              <w:rPr>
                <w:rFonts w:ascii="Arial" w:hAnsi="Arial"/>
                <w:b/>
                <w:bCs/>
                <w:sz w:val="26"/>
                <w:szCs w:val="26"/>
              </w:rPr>
            </w:pPr>
          </w:p>
        </w:tc>
      </w:tr>
      <w:bookmarkEnd w:id="1"/>
      <w:bookmarkEnd w:id="2"/>
      <w:tr w:rsidR="00F849FF" w:rsidRPr="005D6D63" w14:paraId="6208A90A" w14:textId="77777777" w:rsidTr="00F849FF">
        <w:trPr>
          <w:trHeight w:val="373"/>
          <w:jc w:val="center"/>
        </w:trPr>
        <w:tc>
          <w:tcPr>
            <w:tcW w:w="885" w:type="dxa"/>
            <w:tcBorders>
              <w:top w:val="nil"/>
              <w:left w:val="nil"/>
              <w:bottom w:val="nil"/>
              <w:right w:val="nil"/>
            </w:tcBorders>
            <w:shd w:val="clear" w:color="auto" w:fill="auto"/>
          </w:tcPr>
          <w:p w14:paraId="31733F7F" w14:textId="77777777" w:rsidR="00F849FF" w:rsidRPr="005D6D63" w:rsidRDefault="00F849FF" w:rsidP="00F849FF">
            <w:pPr>
              <w:spacing w:line="360" w:lineRule="auto"/>
              <w:jc w:val="both"/>
              <w:rPr>
                <w:rFonts w:ascii="Arial" w:hAnsi="Arial"/>
                <w:b/>
                <w:bCs/>
                <w:sz w:val="26"/>
                <w:szCs w:val="26"/>
                <w:rtl/>
              </w:rPr>
            </w:pPr>
          </w:p>
          <w:p w14:paraId="2D57A80E" w14:textId="77777777" w:rsidR="00F849FF" w:rsidRPr="005D6D63" w:rsidRDefault="00F849FF" w:rsidP="00F849FF">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16D6EE6A" w14:textId="77777777" w:rsidR="00F849FF" w:rsidRPr="005D6D63" w:rsidRDefault="00F849FF" w:rsidP="00F849FF">
            <w:pPr>
              <w:spacing w:line="360" w:lineRule="auto"/>
              <w:jc w:val="center"/>
              <w:rPr>
                <w:rFonts w:ascii="Arial" w:hAnsi="Arial"/>
                <w:b/>
                <w:bCs/>
                <w:sz w:val="26"/>
                <w:szCs w:val="26"/>
                <w:rtl/>
              </w:rPr>
            </w:pPr>
          </w:p>
          <w:p w14:paraId="4E851D5E" w14:textId="77777777" w:rsidR="00F849FF" w:rsidRPr="005D6D63" w:rsidRDefault="00F849FF" w:rsidP="00F849FF">
            <w:pPr>
              <w:spacing w:line="360" w:lineRule="auto"/>
              <w:jc w:val="center"/>
              <w:rPr>
                <w:rFonts w:ascii="Arial" w:hAnsi="Arial"/>
                <w:b/>
                <w:bCs/>
                <w:sz w:val="26"/>
                <w:szCs w:val="26"/>
                <w:rtl/>
              </w:rPr>
            </w:pPr>
          </w:p>
          <w:p w14:paraId="63C47637" w14:textId="77777777" w:rsidR="00F849FF" w:rsidRPr="005D6D63" w:rsidRDefault="00F849FF" w:rsidP="00F849FF">
            <w:pPr>
              <w:spacing w:line="360" w:lineRule="auto"/>
              <w:jc w:val="center"/>
              <w:rPr>
                <w:rFonts w:ascii="Arial" w:hAnsi="Arial"/>
                <w:b/>
                <w:bCs/>
                <w:sz w:val="26"/>
                <w:szCs w:val="26"/>
                <w:rtl/>
              </w:rPr>
            </w:pPr>
            <w:r w:rsidRPr="005D6D63">
              <w:rPr>
                <w:rFonts w:ascii="Arial" w:hAnsi="Arial"/>
                <w:b/>
                <w:bCs/>
                <w:sz w:val="26"/>
                <w:szCs w:val="26"/>
                <w:rtl/>
              </w:rPr>
              <w:t>נגד</w:t>
            </w:r>
          </w:p>
          <w:p w14:paraId="02F7F85F" w14:textId="77777777" w:rsidR="00F849FF" w:rsidRPr="005D6D63" w:rsidRDefault="00F849FF" w:rsidP="00F849FF">
            <w:pPr>
              <w:spacing w:line="360" w:lineRule="auto"/>
              <w:jc w:val="both"/>
              <w:rPr>
                <w:rFonts w:ascii="Arial" w:hAnsi="Arial"/>
                <w:b/>
                <w:bCs/>
                <w:sz w:val="26"/>
                <w:szCs w:val="26"/>
                <w:rtl/>
              </w:rPr>
            </w:pPr>
          </w:p>
          <w:p w14:paraId="7E00068F" w14:textId="77777777" w:rsidR="00F849FF" w:rsidRPr="005D6D63" w:rsidRDefault="00F849FF" w:rsidP="00F849FF">
            <w:pPr>
              <w:spacing w:line="360" w:lineRule="auto"/>
              <w:jc w:val="both"/>
              <w:rPr>
                <w:rFonts w:ascii="Arial" w:hAnsi="Arial"/>
                <w:b/>
                <w:bCs/>
                <w:sz w:val="26"/>
                <w:szCs w:val="26"/>
              </w:rPr>
            </w:pPr>
          </w:p>
        </w:tc>
      </w:tr>
      <w:tr w:rsidR="00F849FF" w:rsidRPr="005D6D63" w14:paraId="14D39F7D" w14:textId="77777777" w:rsidTr="00F849FF">
        <w:trPr>
          <w:trHeight w:val="355"/>
          <w:jc w:val="center"/>
        </w:trPr>
        <w:tc>
          <w:tcPr>
            <w:tcW w:w="885" w:type="dxa"/>
            <w:tcBorders>
              <w:top w:val="nil"/>
              <w:left w:val="nil"/>
              <w:bottom w:val="nil"/>
              <w:right w:val="nil"/>
            </w:tcBorders>
            <w:shd w:val="clear" w:color="auto" w:fill="auto"/>
          </w:tcPr>
          <w:p w14:paraId="0149D69A" w14:textId="77777777" w:rsidR="00F849FF" w:rsidRPr="005D6D63" w:rsidRDefault="00F849FF" w:rsidP="00F849FF">
            <w:pPr>
              <w:spacing w:line="360" w:lineRule="auto"/>
              <w:rPr>
                <w:rFonts w:ascii="Arial" w:hAnsi="Arial"/>
                <w:b/>
                <w:bCs/>
                <w:sz w:val="26"/>
                <w:szCs w:val="26"/>
                <w:rtl/>
              </w:rPr>
            </w:pPr>
            <w:r w:rsidRPr="005D6D63">
              <w:rPr>
                <w:rFonts w:ascii="Arial" w:hAnsi="Arial" w:hint="cs"/>
                <w:b/>
                <w:bCs/>
                <w:sz w:val="26"/>
                <w:szCs w:val="26"/>
                <w:rtl/>
              </w:rPr>
              <w:t>ה</w:t>
            </w:r>
            <w:r w:rsidRPr="005D6D63">
              <w:rPr>
                <w:rFonts w:ascii="Arial" w:hAnsi="Arial"/>
                <w:b/>
                <w:bCs/>
                <w:sz w:val="26"/>
                <w:szCs w:val="26"/>
                <w:rtl/>
              </w:rPr>
              <w:t>נאשם</w:t>
            </w:r>
            <w:r w:rsidRPr="005D6D63">
              <w:rPr>
                <w:rFonts w:ascii="Arial" w:hAnsi="Arial" w:hint="cs"/>
                <w:b/>
                <w:bCs/>
                <w:sz w:val="26"/>
                <w:szCs w:val="26"/>
                <w:rtl/>
              </w:rPr>
              <w:t>:</w:t>
            </w:r>
          </w:p>
        </w:tc>
        <w:tc>
          <w:tcPr>
            <w:tcW w:w="4384" w:type="dxa"/>
            <w:tcBorders>
              <w:top w:val="nil"/>
              <w:left w:val="nil"/>
              <w:bottom w:val="nil"/>
              <w:right w:val="nil"/>
            </w:tcBorders>
            <w:shd w:val="clear" w:color="auto" w:fill="auto"/>
          </w:tcPr>
          <w:p w14:paraId="08BA8FFD" w14:textId="77777777" w:rsidR="00F849FF" w:rsidRPr="005D6D63" w:rsidRDefault="00F849FF" w:rsidP="00F849FF">
            <w:pPr>
              <w:spacing w:line="360" w:lineRule="auto"/>
              <w:rPr>
                <w:b/>
                <w:bCs/>
                <w:sz w:val="26"/>
                <w:szCs w:val="26"/>
                <w:rtl/>
              </w:rPr>
            </w:pPr>
            <w:r w:rsidRPr="005D6D63">
              <w:rPr>
                <w:rFonts w:ascii="Arial" w:hAnsi="Arial"/>
                <w:b/>
                <w:bCs/>
                <w:sz w:val="26"/>
                <w:szCs w:val="26"/>
                <w:rtl/>
              </w:rPr>
              <w:t>פיליפ דויד אוזן</w:t>
            </w:r>
          </w:p>
          <w:p w14:paraId="78329FAB" w14:textId="77777777" w:rsidR="00F849FF" w:rsidRPr="005D6D63" w:rsidRDefault="00F849FF" w:rsidP="00F849FF">
            <w:pPr>
              <w:spacing w:line="360" w:lineRule="auto"/>
              <w:rPr>
                <w:sz w:val="26"/>
                <w:szCs w:val="26"/>
                <w:rtl/>
              </w:rPr>
            </w:pPr>
            <w:r w:rsidRPr="005D6D63">
              <w:rPr>
                <w:rFonts w:hint="cs"/>
                <w:rtl/>
              </w:rPr>
              <w:t>ע"י ב"כ עו"ד ארי שמאי</w:t>
            </w:r>
          </w:p>
        </w:tc>
        <w:tc>
          <w:tcPr>
            <w:tcW w:w="3551" w:type="dxa"/>
            <w:tcBorders>
              <w:top w:val="nil"/>
              <w:left w:val="nil"/>
              <w:bottom w:val="nil"/>
              <w:right w:val="nil"/>
            </w:tcBorders>
            <w:shd w:val="clear" w:color="auto" w:fill="auto"/>
          </w:tcPr>
          <w:p w14:paraId="492468C1" w14:textId="77777777" w:rsidR="00F849FF" w:rsidRPr="005D6D63" w:rsidRDefault="00F849FF" w:rsidP="00F849FF">
            <w:pPr>
              <w:spacing w:line="360" w:lineRule="auto"/>
              <w:jc w:val="right"/>
              <w:rPr>
                <w:rFonts w:ascii="Arial" w:hAnsi="Arial"/>
                <w:b/>
                <w:bCs/>
                <w:sz w:val="26"/>
                <w:szCs w:val="26"/>
              </w:rPr>
            </w:pPr>
          </w:p>
        </w:tc>
      </w:tr>
    </w:tbl>
    <w:p w14:paraId="159A3D0E" w14:textId="77777777" w:rsidR="00B92680" w:rsidRDefault="00B92680" w:rsidP="00F849FF">
      <w:pPr>
        <w:spacing w:line="360" w:lineRule="auto"/>
        <w:rPr>
          <w:rtl/>
        </w:rPr>
      </w:pPr>
      <w:bookmarkStart w:id="3" w:name="LawTable"/>
      <w:bookmarkEnd w:id="3"/>
    </w:p>
    <w:p w14:paraId="5924EFDE" w14:textId="77777777" w:rsidR="00B92680" w:rsidRPr="00B92680" w:rsidRDefault="00B92680" w:rsidP="00B92680">
      <w:pPr>
        <w:spacing w:after="120" w:line="240" w:lineRule="exact"/>
        <w:ind w:left="283" w:hanging="283"/>
        <w:jc w:val="both"/>
        <w:rPr>
          <w:rFonts w:ascii="FrankRuehl" w:hAnsi="FrankRuehl" w:cs="FrankRuehl"/>
          <w:rtl/>
        </w:rPr>
      </w:pPr>
    </w:p>
    <w:p w14:paraId="7912F0CF" w14:textId="77777777" w:rsidR="00B92680" w:rsidRPr="00B92680" w:rsidRDefault="00B92680" w:rsidP="00B92680">
      <w:pPr>
        <w:spacing w:after="120" w:line="240" w:lineRule="exact"/>
        <w:ind w:left="283" w:hanging="283"/>
        <w:jc w:val="both"/>
        <w:rPr>
          <w:rFonts w:ascii="FrankRuehl" w:hAnsi="FrankRuehl" w:cs="FrankRuehl"/>
          <w:rtl/>
        </w:rPr>
      </w:pPr>
      <w:r w:rsidRPr="00B92680">
        <w:rPr>
          <w:rFonts w:ascii="FrankRuehl" w:hAnsi="FrankRuehl" w:cs="FrankRuehl"/>
          <w:rtl/>
        </w:rPr>
        <w:t xml:space="preserve">חקיקה שאוזכרה: </w:t>
      </w:r>
    </w:p>
    <w:p w14:paraId="66AD3B3E" w14:textId="77777777" w:rsidR="00B92680" w:rsidRPr="00B92680" w:rsidRDefault="00B92680" w:rsidP="00B92680">
      <w:pPr>
        <w:spacing w:after="120" w:line="240" w:lineRule="exact"/>
        <w:ind w:left="283" w:hanging="283"/>
        <w:jc w:val="both"/>
        <w:rPr>
          <w:rFonts w:ascii="FrankRuehl" w:hAnsi="FrankRuehl" w:cs="FrankRuehl"/>
          <w:rtl/>
        </w:rPr>
      </w:pPr>
      <w:hyperlink r:id="rId7" w:history="1">
        <w:r w:rsidRPr="00B92680">
          <w:rPr>
            <w:rFonts w:ascii="FrankRuehl" w:hAnsi="FrankRuehl" w:cs="FrankRuehl"/>
            <w:color w:val="0000FF"/>
            <w:u w:val="single"/>
            <w:rtl/>
          </w:rPr>
          <w:t>פקודת הסמים המסוכנים [נוסח חדש], תשל"ג-1973</w:t>
        </w:r>
      </w:hyperlink>
      <w:r w:rsidRPr="00B92680">
        <w:rPr>
          <w:rFonts w:ascii="FrankRuehl" w:hAnsi="FrankRuehl" w:cs="FrankRuehl"/>
          <w:rtl/>
        </w:rPr>
        <w:t xml:space="preserve">: סע'  </w:t>
      </w:r>
      <w:hyperlink r:id="rId8" w:history="1">
        <w:r w:rsidRPr="00B92680">
          <w:rPr>
            <w:rFonts w:ascii="FrankRuehl" w:hAnsi="FrankRuehl" w:cs="FrankRuehl"/>
            <w:color w:val="0000FF"/>
            <w:u w:val="single"/>
            <w:rtl/>
          </w:rPr>
          <w:t>6</w:t>
        </w:r>
      </w:hyperlink>
      <w:r w:rsidRPr="00B92680">
        <w:rPr>
          <w:rFonts w:ascii="FrankRuehl" w:hAnsi="FrankRuehl" w:cs="FrankRuehl"/>
          <w:rtl/>
        </w:rPr>
        <w:t xml:space="preserve">, </w:t>
      </w:r>
      <w:hyperlink r:id="rId9" w:history="1">
        <w:r w:rsidRPr="00B92680">
          <w:rPr>
            <w:rFonts w:ascii="FrankRuehl" w:hAnsi="FrankRuehl" w:cs="FrankRuehl"/>
            <w:color w:val="0000FF"/>
            <w:u w:val="single"/>
            <w:rtl/>
          </w:rPr>
          <w:t>7(א)</w:t>
        </w:r>
      </w:hyperlink>
      <w:r w:rsidRPr="00B92680">
        <w:rPr>
          <w:rFonts w:ascii="FrankRuehl" w:hAnsi="FrankRuehl" w:cs="FrankRuehl"/>
          <w:rtl/>
        </w:rPr>
        <w:t xml:space="preserve">, </w:t>
      </w:r>
      <w:hyperlink r:id="rId10" w:history="1">
        <w:r w:rsidRPr="00B92680">
          <w:rPr>
            <w:rFonts w:ascii="FrankRuehl" w:hAnsi="FrankRuehl" w:cs="FrankRuehl"/>
            <w:color w:val="0000FF"/>
            <w:u w:val="single"/>
            <w:rtl/>
          </w:rPr>
          <w:t>7(ג)</w:t>
        </w:r>
      </w:hyperlink>
      <w:r w:rsidRPr="00B92680">
        <w:rPr>
          <w:rFonts w:ascii="FrankRuehl" w:hAnsi="FrankRuehl" w:cs="FrankRuehl"/>
          <w:rtl/>
        </w:rPr>
        <w:t xml:space="preserve">, </w:t>
      </w:r>
      <w:hyperlink r:id="rId11" w:history="1">
        <w:r w:rsidRPr="00B92680">
          <w:rPr>
            <w:rFonts w:ascii="FrankRuehl" w:hAnsi="FrankRuehl" w:cs="FrankRuehl"/>
            <w:color w:val="0000FF"/>
            <w:u w:val="single"/>
            <w:rtl/>
          </w:rPr>
          <w:t>10</w:t>
        </w:r>
      </w:hyperlink>
    </w:p>
    <w:p w14:paraId="1EC6B814" w14:textId="77777777" w:rsidR="00B92680" w:rsidRPr="00B92680" w:rsidRDefault="00B92680" w:rsidP="00B9268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49FF" w14:paraId="70B39851" w14:textId="77777777" w:rsidTr="00F849FF">
        <w:trPr>
          <w:trHeight w:val="355"/>
          <w:jc w:val="center"/>
        </w:trPr>
        <w:tc>
          <w:tcPr>
            <w:tcW w:w="8820" w:type="dxa"/>
            <w:tcBorders>
              <w:top w:val="nil"/>
              <w:left w:val="nil"/>
              <w:bottom w:val="nil"/>
              <w:right w:val="nil"/>
            </w:tcBorders>
            <w:shd w:val="clear" w:color="auto" w:fill="auto"/>
          </w:tcPr>
          <w:p w14:paraId="4890A916" w14:textId="77777777" w:rsidR="00F849FF" w:rsidRPr="005D6D63" w:rsidRDefault="005D6D63" w:rsidP="005D6D63">
            <w:pPr>
              <w:spacing w:after="240" w:line="360" w:lineRule="auto"/>
              <w:jc w:val="center"/>
              <w:rPr>
                <w:rFonts w:ascii="Arial" w:hAnsi="Arial"/>
                <w:bCs/>
                <w:sz w:val="36"/>
                <w:szCs w:val="36"/>
                <w:u w:val="single"/>
                <w:rtl/>
              </w:rPr>
            </w:pPr>
            <w:bookmarkStart w:id="4" w:name="LawTable_End"/>
            <w:bookmarkStart w:id="5" w:name="PsakDin" w:colFirst="0" w:colLast="0"/>
            <w:bookmarkEnd w:id="0"/>
            <w:bookmarkEnd w:id="4"/>
            <w:r w:rsidRPr="005D6D63">
              <w:rPr>
                <w:rFonts w:ascii="Arial" w:hAnsi="Arial"/>
                <w:b/>
                <w:bCs/>
                <w:sz w:val="36"/>
                <w:szCs w:val="36"/>
                <w:u w:val="single"/>
                <w:rtl/>
              </w:rPr>
              <w:t>גזר דין</w:t>
            </w:r>
          </w:p>
        </w:tc>
      </w:tr>
    </w:tbl>
    <w:bookmarkEnd w:id="5"/>
    <w:p w14:paraId="34E747C6" w14:textId="77777777" w:rsidR="00F849FF" w:rsidRDefault="00F849FF" w:rsidP="00F849FF">
      <w:pPr>
        <w:spacing w:after="120" w:line="360" w:lineRule="auto"/>
        <w:jc w:val="both"/>
        <w:rPr>
          <w:rFonts w:ascii="Tahoma" w:hAnsi="Tahoma"/>
          <w:b/>
          <w:bCs/>
          <w:u w:val="single"/>
          <w:rtl/>
        </w:rPr>
      </w:pPr>
      <w:r>
        <w:rPr>
          <w:rFonts w:ascii="Tahoma" w:hAnsi="Tahoma"/>
          <w:b/>
          <w:bCs/>
          <w:rtl/>
        </w:rPr>
        <w:t>א.</w:t>
      </w:r>
      <w:r>
        <w:rPr>
          <w:rFonts w:ascii="Tahoma" w:hAnsi="Tahoma"/>
          <w:b/>
          <w:bCs/>
          <w:rtl/>
        </w:rPr>
        <w:tab/>
      </w:r>
      <w:r>
        <w:rPr>
          <w:rFonts w:ascii="Tahoma" w:hAnsi="Tahoma"/>
          <w:b/>
          <w:bCs/>
          <w:u w:val="single"/>
          <w:rtl/>
        </w:rPr>
        <w:t>רקע כללי:</w:t>
      </w:r>
    </w:p>
    <w:p w14:paraId="27B94395" w14:textId="77777777" w:rsidR="00F849FF" w:rsidRDefault="00F849FF" w:rsidP="00F849FF">
      <w:pPr>
        <w:numPr>
          <w:ilvl w:val="0"/>
          <w:numId w:val="1"/>
        </w:numPr>
        <w:tabs>
          <w:tab w:val="num" w:pos="720"/>
        </w:tabs>
        <w:spacing w:after="120" w:line="360" w:lineRule="auto"/>
        <w:ind w:left="720"/>
        <w:jc w:val="both"/>
        <w:rPr>
          <w:rFonts w:ascii="Tahoma" w:hAnsi="Tahoma"/>
        </w:rPr>
      </w:pPr>
      <w:bookmarkStart w:id="6" w:name="ABSTRACT_START"/>
      <w:bookmarkEnd w:id="6"/>
      <w:r>
        <w:rPr>
          <w:rFonts w:ascii="Tahoma" w:hAnsi="Tahoma"/>
          <w:rtl/>
        </w:rPr>
        <w:t xml:space="preserve">הנאשם הורשע, על יסוד הודייתו בעובדות כתב האישום, בעבירות של </w:t>
      </w:r>
      <w:r>
        <w:rPr>
          <w:rFonts w:ascii="Tahoma" w:hAnsi="Tahoma"/>
          <w:b/>
          <w:bCs/>
          <w:rtl/>
        </w:rPr>
        <w:t>ייצור סמים מסוכנים</w:t>
      </w:r>
      <w:r>
        <w:rPr>
          <w:rFonts w:ascii="Tahoma" w:hAnsi="Tahoma"/>
          <w:rtl/>
        </w:rPr>
        <w:t xml:space="preserve">, לפי הוראות </w:t>
      </w:r>
      <w:hyperlink r:id="rId12" w:history="1">
        <w:r w:rsidR="00B92680" w:rsidRPr="00B92680">
          <w:rPr>
            <w:rFonts w:ascii="Tahoma" w:hAnsi="Tahoma"/>
            <w:color w:val="0000FF"/>
            <w:u w:val="single"/>
            <w:rtl/>
          </w:rPr>
          <w:t>סעיף 6</w:t>
        </w:r>
      </w:hyperlink>
      <w:r>
        <w:rPr>
          <w:rFonts w:ascii="Tahoma" w:hAnsi="Tahoma"/>
          <w:rtl/>
        </w:rPr>
        <w:t xml:space="preserve"> ל</w:t>
      </w:r>
      <w:hyperlink r:id="rId13" w:history="1">
        <w:r w:rsidR="005D6D63" w:rsidRPr="005D6D63">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w:t>
      </w:r>
      <w:r>
        <w:rPr>
          <w:rFonts w:ascii="Tahoma" w:hAnsi="Tahoma"/>
          <w:b/>
          <w:bCs/>
          <w:rtl/>
        </w:rPr>
        <w:t>החזקת סמים מסוכנים שלא לצריכה עצמית</w:t>
      </w:r>
      <w:r>
        <w:rPr>
          <w:rFonts w:ascii="Tahoma" w:hAnsi="Tahoma"/>
          <w:rtl/>
        </w:rPr>
        <w:t xml:space="preserve">, לפי הוראות </w:t>
      </w:r>
      <w:hyperlink r:id="rId14" w:history="1">
        <w:r w:rsidR="00B92680" w:rsidRPr="00B92680">
          <w:rPr>
            <w:rFonts w:ascii="Tahoma" w:hAnsi="Tahoma"/>
            <w:color w:val="0000FF"/>
            <w:u w:val="single"/>
            <w:rtl/>
          </w:rPr>
          <w:t>סעיף 7(א)</w:t>
        </w:r>
      </w:hyperlink>
      <w:r>
        <w:rPr>
          <w:rFonts w:ascii="Tahoma" w:hAnsi="Tahoma"/>
          <w:rtl/>
        </w:rPr>
        <w:t xml:space="preserve"> יחד עם </w:t>
      </w:r>
      <w:hyperlink r:id="rId15" w:history="1">
        <w:r w:rsidR="00B92680" w:rsidRPr="00B92680">
          <w:rPr>
            <w:rStyle w:val="Hyperlink"/>
            <w:rFonts w:ascii="Tahoma" w:hAnsi="Tahoma"/>
            <w:color w:val="0000FF"/>
            <w:rtl/>
          </w:rPr>
          <w:t>7(ג)</w:t>
        </w:r>
      </w:hyperlink>
      <w:r>
        <w:rPr>
          <w:rFonts w:ascii="Tahoma" w:hAnsi="Tahoma"/>
          <w:rtl/>
        </w:rPr>
        <w:t xml:space="preserve"> רישא לפקודת הסמים המסוכנים, ו</w:t>
      </w:r>
      <w:r>
        <w:rPr>
          <w:rFonts w:ascii="Tahoma" w:hAnsi="Tahoma"/>
          <w:b/>
          <w:bCs/>
          <w:rtl/>
        </w:rPr>
        <w:t>כלים</w:t>
      </w:r>
      <w:r>
        <w:rPr>
          <w:rFonts w:ascii="Tahoma" w:hAnsi="Tahoma"/>
          <w:rtl/>
        </w:rPr>
        <w:t xml:space="preserve">, לפי הוראות </w:t>
      </w:r>
      <w:hyperlink r:id="rId16" w:history="1">
        <w:r w:rsidR="00B92680" w:rsidRPr="00B92680">
          <w:rPr>
            <w:rStyle w:val="Hyperlink"/>
            <w:rFonts w:ascii="Tahoma" w:hAnsi="Tahoma"/>
            <w:color w:val="0000FF"/>
            <w:rtl/>
          </w:rPr>
          <w:t>סעיף 10</w:t>
        </w:r>
      </w:hyperlink>
      <w:r>
        <w:rPr>
          <w:rFonts w:ascii="Tahoma" w:hAnsi="Tahoma"/>
          <w:rtl/>
        </w:rPr>
        <w:t xml:space="preserve"> רישא לפקודת הסמים המסוכנים.</w:t>
      </w:r>
    </w:p>
    <w:p w14:paraId="09627E01" w14:textId="77777777" w:rsidR="00F849FF" w:rsidRDefault="00F849FF" w:rsidP="00F849FF">
      <w:pPr>
        <w:numPr>
          <w:ilvl w:val="0"/>
          <w:numId w:val="1"/>
        </w:numPr>
        <w:tabs>
          <w:tab w:val="num" w:pos="720"/>
        </w:tabs>
        <w:spacing w:after="120" w:line="360" w:lineRule="auto"/>
        <w:ind w:left="720"/>
        <w:jc w:val="both"/>
        <w:rPr>
          <w:rFonts w:ascii="Tahoma" w:hAnsi="Tahoma"/>
        </w:rPr>
      </w:pPr>
      <w:bookmarkStart w:id="7" w:name="ABSTRACT_END"/>
      <w:bookmarkEnd w:id="7"/>
      <w:r>
        <w:rPr>
          <w:rFonts w:ascii="Tahoma" w:hAnsi="Tahoma"/>
          <w:rtl/>
        </w:rPr>
        <w:t>על-פי עובדות כתב האישום, ביום 19.04.15 הקים הנאשם, בדירתו בתל-אביב, מעבדה לגידול סמים מסוכנים מסוג קנבוס, שכללה ציוד רב ומשוכלל הכולל ציוד גינון ודישון, מערכות אוורור, תאורה</w:t>
      </w:r>
      <w:r>
        <w:rPr>
          <w:rFonts w:ascii="Tahoma" w:hAnsi="Tahoma" w:hint="cs"/>
          <w:rtl/>
        </w:rPr>
        <w:t>,</w:t>
      </w:r>
      <w:r>
        <w:rPr>
          <w:rFonts w:ascii="Tahoma" w:hAnsi="Tahoma"/>
          <w:rtl/>
        </w:rPr>
        <w:t xml:space="preserve"> השקיה וחשמל. במעבדה גידל הנאשם חמישה שתילים של סמים מסוכנים</w:t>
      </w:r>
      <w:r>
        <w:rPr>
          <w:rFonts w:ascii="Tahoma" w:hAnsi="Tahoma" w:hint="cs"/>
          <w:rtl/>
        </w:rPr>
        <w:t>,</w:t>
      </w:r>
      <w:r>
        <w:rPr>
          <w:rFonts w:ascii="Tahoma" w:hAnsi="Tahoma"/>
          <w:rtl/>
        </w:rPr>
        <w:t xml:space="preserve"> מסוג קנבוס, במשקל כולל של 1,250 גרם נטו.</w:t>
      </w:r>
    </w:p>
    <w:p w14:paraId="22889BCC" w14:textId="77777777" w:rsidR="00F849FF" w:rsidRPr="00E61899" w:rsidRDefault="00F849FF" w:rsidP="00F849FF">
      <w:pPr>
        <w:numPr>
          <w:ilvl w:val="0"/>
          <w:numId w:val="1"/>
        </w:numPr>
        <w:tabs>
          <w:tab w:val="num" w:pos="720"/>
        </w:tabs>
        <w:spacing w:after="120" w:line="360" w:lineRule="auto"/>
        <w:ind w:left="720"/>
        <w:jc w:val="both"/>
        <w:rPr>
          <w:rFonts w:ascii="Tahoma" w:hAnsi="Tahoma"/>
        </w:rPr>
      </w:pPr>
      <w:r w:rsidRPr="00E61899">
        <w:rPr>
          <w:rFonts w:ascii="Tahoma" w:hAnsi="Tahoma"/>
          <w:rtl/>
        </w:rPr>
        <w:t>ההליכים המקדמיים בתיק התמשכו</w:t>
      </w:r>
      <w:r w:rsidRPr="00E61899">
        <w:rPr>
          <w:rFonts w:ascii="Tahoma" w:hAnsi="Tahoma" w:hint="cs"/>
          <w:rtl/>
        </w:rPr>
        <w:t xml:space="preserve"> למדי</w:t>
      </w:r>
      <w:r w:rsidRPr="00E61899">
        <w:rPr>
          <w:rFonts w:ascii="Tahoma" w:hAnsi="Tahoma"/>
          <w:rtl/>
        </w:rPr>
        <w:t>, בין השאר בשל טענות ההגנה כי משקל הסמים שננקב בעובדות כתב האישום אינו נכון ומופרז. בסופו של דבר כפר הנאשם בעובדות כתב האישום</w:t>
      </w:r>
      <w:r w:rsidRPr="00E61899">
        <w:rPr>
          <w:rFonts w:ascii="Tahoma" w:hAnsi="Tahoma" w:hint="cs"/>
          <w:rtl/>
        </w:rPr>
        <w:t xml:space="preserve"> </w:t>
      </w:r>
      <w:r w:rsidRPr="00E61899">
        <w:rPr>
          <w:rFonts w:ascii="Tahoma" w:hAnsi="Tahoma"/>
          <w:rtl/>
        </w:rPr>
        <w:t>–</w:t>
      </w:r>
      <w:r w:rsidRPr="00E61899">
        <w:rPr>
          <w:rFonts w:ascii="Tahoma" w:hAnsi="Tahoma" w:hint="cs"/>
          <w:rtl/>
        </w:rPr>
        <w:t xml:space="preserve"> </w:t>
      </w:r>
      <w:r w:rsidRPr="00E61899">
        <w:rPr>
          <w:rFonts w:ascii="Tahoma" w:hAnsi="Tahoma"/>
          <w:rtl/>
        </w:rPr>
        <w:t>בטענה שמדובר בסמים במשקל פחות (של 950 גרם נטו)</w:t>
      </w:r>
      <w:r w:rsidRPr="00E61899">
        <w:rPr>
          <w:rFonts w:ascii="Tahoma" w:hAnsi="Tahoma" w:hint="cs"/>
          <w:rtl/>
        </w:rPr>
        <w:t>,</w:t>
      </w:r>
      <w:r w:rsidRPr="00E61899">
        <w:rPr>
          <w:rFonts w:ascii="Tahoma" w:hAnsi="Tahoma"/>
          <w:rtl/>
        </w:rPr>
        <w:t xml:space="preserve"> </w:t>
      </w:r>
      <w:r w:rsidRPr="00E61899">
        <w:rPr>
          <w:rFonts w:ascii="Tahoma" w:hAnsi="Tahoma" w:hint="cs"/>
          <w:rtl/>
        </w:rPr>
        <w:t xml:space="preserve">אותם </w:t>
      </w:r>
      <w:r w:rsidRPr="00E61899">
        <w:rPr>
          <w:rFonts w:ascii="Tahoma" w:hAnsi="Tahoma" w:hint="cs"/>
          <w:rtl/>
        </w:rPr>
        <w:lastRenderedPageBreak/>
        <w:t xml:space="preserve">החזיק הנאשם </w:t>
      </w:r>
      <w:r w:rsidRPr="00E61899">
        <w:rPr>
          <w:rFonts w:ascii="Tahoma" w:hAnsi="Tahoma"/>
          <w:rtl/>
        </w:rPr>
        <w:t>לשימוש</w:t>
      </w:r>
      <w:r w:rsidRPr="00E61899">
        <w:rPr>
          <w:rFonts w:ascii="Tahoma" w:hAnsi="Tahoma" w:hint="cs"/>
          <w:rtl/>
        </w:rPr>
        <w:t>ו</w:t>
      </w:r>
      <w:r w:rsidRPr="00E61899">
        <w:rPr>
          <w:rFonts w:ascii="Tahoma" w:hAnsi="Tahoma"/>
          <w:rtl/>
        </w:rPr>
        <w:t xml:space="preserve"> </w:t>
      </w:r>
      <w:r w:rsidRPr="00E61899">
        <w:rPr>
          <w:rFonts w:ascii="Tahoma" w:hAnsi="Tahoma" w:hint="cs"/>
          <w:rtl/>
        </w:rPr>
        <w:t>ה</w:t>
      </w:r>
      <w:r w:rsidRPr="00E61899">
        <w:rPr>
          <w:rFonts w:ascii="Tahoma" w:hAnsi="Tahoma"/>
          <w:rtl/>
        </w:rPr>
        <w:t>עצמי בלבד</w:t>
      </w:r>
      <w:r w:rsidRPr="00E61899">
        <w:rPr>
          <w:rFonts w:ascii="Tahoma" w:hAnsi="Tahoma" w:hint="cs"/>
          <w:rtl/>
        </w:rPr>
        <w:t xml:space="preserve"> </w:t>
      </w:r>
      <w:r w:rsidRPr="00E61899">
        <w:rPr>
          <w:rFonts w:ascii="Tahoma" w:hAnsi="Tahoma"/>
          <w:rtl/>
        </w:rPr>
        <w:t>–</w:t>
      </w:r>
      <w:r w:rsidRPr="00E61899">
        <w:rPr>
          <w:rFonts w:ascii="Tahoma" w:hAnsi="Tahoma" w:hint="cs"/>
          <w:rtl/>
        </w:rPr>
        <w:t xml:space="preserve"> </w:t>
      </w:r>
      <w:r w:rsidRPr="00E61899">
        <w:rPr>
          <w:rFonts w:ascii="Tahoma" w:hAnsi="Tahoma"/>
          <w:rtl/>
        </w:rPr>
        <w:t xml:space="preserve">והתיק הועבר </w:t>
      </w:r>
      <w:r>
        <w:rPr>
          <w:rFonts w:ascii="Tahoma" w:hAnsi="Tahoma" w:hint="cs"/>
          <w:rtl/>
        </w:rPr>
        <w:t xml:space="preserve">לפניי </w:t>
      </w:r>
      <w:r w:rsidRPr="00E61899">
        <w:rPr>
          <w:rFonts w:ascii="Tahoma" w:hAnsi="Tahoma"/>
          <w:rtl/>
        </w:rPr>
        <w:t xml:space="preserve">לשמיעת הראיות (בפרוטוקול, עמ' 12 שורה 9 ואילך). </w:t>
      </w:r>
    </w:p>
    <w:p w14:paraId="6DCD93C2"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 xml:space="preserve">עם זאת, </w:t>
      </w:r>
      <w:r>
        <w:rPr>
          <w:rFonts w:ascii="Tahoma" w:hAnsi="Tahoma" w:hint="cs"/>
          <w:rtl/>
        </w:rPr>
        <w:t>ב</w:t>
      </w:r>
      <w:r>
        <w:rPr>
          <w:rFonts w:ascii="Tahoma" w:hAnsi="Tahoma"/>
          <w:rtl/>
        </w:rPr>
        <w:t>טרם תחילת שמיעת הראיות הגיעו הצדדים להסדר טיעון</w:t>
      </w:r>
      <w:r>
        <w:rPr>
          <w:rFonts w:ascii="Tahoma" w:hAnsi="Tahoma" w:hint="cs"/>
          <w:rtl/>
        </w:rPr>
        <w:t>,</w:t>
      </w:r>
      <w:r>
        <w:rPr>
          <w:rFonts w:ascii="Tahoma" w:hAnsi="Tahoma"/>
          <w:rtl/>
        </w:rPr>
        <w:t xml:space="preserve"> שבמסגרתו חזר בו הנאשם מכפירתו והודה בעובדות כתב האישום. הצדדים הסכימו לעתור במשותף לקבלת תסקיר שירות המבחן והמאשימה הצהירה</w:t>
      </w:r>
      <w:r>
        <w:rPr>
          <w:rFonts w:ascii="Tahoma" w:hAnsi="Tahoma" w:hint="cs"/>
          <w:rtl/>
        </w:rPr>
        <w:t>, בנוסף,</w:t>
      </w:r>
      <w:r>
        <w:rPr>
          <w:rFonts w:ascii="Tahoma" w:hAnsi="Tahoma"/>
          <w:rtl/>
        </w:rPr>
        <w:t xml:space="preserve"> כי ככל שיסתבר שהנאשם אינו משתמש כיום בסמים היא תגביל את עתירתה העונשית לשישה חודשי מאסר, שניתן לשאתם בדרך של עבודות שירות, בצירוף ענישה נלווית.</w:t>
      </w:r>
    </w:p>
    <w:p w14:paraId="02AA7197"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הנאשם הודה אפוא בעובדות כתב האישום והורשע, על יסוד הודייתו זו, בעבירות שבהן הואשם בכתב האישום (כאמור בפסקה 1 דלעיל). בית המשפט נעתר לעתירת הצדדים והורה על הכנת תסקיר שירות המבחן בעניינו של הנאשם.</w:t>
      </w:r>
    </w:p>
    <w:p w14:paraId="5FD467EC" w14:textId="77777777" w:rsidR="00F849FF" w:rsidRDefault="00F849FF" w:rsidP="00F849FF">
      <w:pPr>
        <w:spacing w:after="120" w:line="360" w:lineRule="auto"/>
        <w:jc w:val="both"/>
        <w:rPr>
          <w:rFonts w:ascii="Tahoma" w:hAnsi="Tahoma"/>
        </w:rPr>
      </w:pPr>
    </w:p>
    <w:p w14:paraId="72A3C02B" w14:textId="77777777" w:rsidR="00F849FF" w:rsidRDefault="00F849FF" w:rsidP="00F849FF">
      <w:pPr>
        <w:spacing w:after="120" w:line="360" w:lineRule="auto"/>
        <w:jc w:val="both"/>
        <w:rPr>
          <w:rFonts w:ascii="Tahoma" w:hAnsi="Tahoma"/>
          <w:b/>
          <w:bCs/>
          <w:rtl/>
        </w:rPr>
      </w:pPr>
      <w:r>
        <w:rPr>
          <w:rFonts w:ascii="Tahoma" w:hAnsi="Tahoma"/>
          <w:b/>
          <w:bCs/>
          <w:rtl/>
        </w:rPr>
        <w:t>ב.</w:t>
      </w:r>
      <w:r>
        <w:rPr>
          <w:rFonts w:ascii="Tahoma" w:hAnsi="Tahoma"/>
          <w:b/>
          <w:bCs/>
          <w:rtl/>
        </w:rPr>
        <w:tab/>
      </w:r>
      <w:r>
        <w:rPr>
          <w:rFonts w:ascii="Tahoma" w:hAnsi="Tahoma"/>
          <w:b/>
          <w:bCs/>
          <w:u w:val="single"/>
          <w:rtl/>
        </w:rPr>
        <w:t>תסקירי שירות המבחן:</w:t>
      </w:r>
    </w:p>
    <w:p w14:paraId="0F1036FF"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תסקיר שירות המבחן (מיום 15.03.18) פירט את נסיבותיו האישיות של הנאשם, רווק יליד שנת 1972 (בן 47 שנים כיום), שעלה מצרפת בעת שהיה בן 35. הנאשם עלה ארצה עם משפחתו, אך לאחר פטירת אביו חזרה אמו לצרפת באופן שהותיר את הנאשם ללא מערכות תמיכה משפחתיות משמעותיות וללא מערכות תמיכה כלכלי</w:t>
      </w:r>
      <w:r>
        <w:rPr>
          <w:rFonts w:ascii="Tahoma" w:hAnsi="Tahoma" w:hint="cs"/>
          <w:rtl/>
        </w:rPr>
        <w:t>ו</w:t>
      </w:r>
      <w:r>
        <w:rPr>
          <w:rFonts w:ascii="Tahoma" w:hAnsi="Tahoma"/>
          <w:rtl/>
        </w:rPr>
        <w:t>ת.</w:t>
      </w:r>
    </w:p>
    <w:p w14:paraId="7C1A9466"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 xml:space="preserve">ברקע לביצוע העבירות שיתף הנאשם את שירות המבחן בבעיותיו הבריאותיות, בעטיין </w:t>
      </w:r>
      <w:r>
        <w:rPr>
          <w:rFonts w:ascii="Tahoma" w:hAnsi="Tahoma" w:hint="cs"/>
          <w:rtl/>
        </w:rPr>
        <w:t xml:space="preserve">הוא </w:t>
      </w:r>
      <w:r>
        <w:rPr>
          <w:rFonts w:ascii="Tahoma" w:hAnsi="Tahoma"/>
          <w:rtl/>
        </w:rPr>
        <w:t>סובל מכאבים בפלג גופו התחתון ובגבו, אשר לא חדלו גם לאחר שפנה לקבלת טיפול רפואי. הנאשם טען כי השימוש בסמים מסוכנים מקל על מצוקותיו</w:t>
      </w:r>
      <w:r>
        <w:rPr>
          <w:rFonts w:ascii="Tahoma" w:hAnsi="Tahoma" w:hint="cs"/>
          <w:rtl/>
        </w:rPr>
        <w:t>,</w:t>
      </w:r>
      <w:r>
        <w:rPr>
          <w:rFonts w:ascii="Tahoma" w:hAnsi="Tahoma"/>
          <w:rtl/>
        </w:rPr>
        <w:t xml:space="preserve"> הפיסיות והנפשיות</w:t>
      </w:r>
      <w:r>
        <w:rPr>
          <w:rFonts w:ascii="Tahoma" w:hAnsi="Tahoma" w:hint="cs"/>
          <w:rtl/>
        </w:rPr>
        <w:t>,</w:t>
      </w:r>
      <w:r>
        <w:rPr>
          <w:rFonts w:ascii="Tahoma" w:hAnsi="Tahoma"/>
          <w:rtl/>
        </w:rPr>
        <w:t xml:space="preserve"> ומאפשר לו איכות חיים טובה יותר. לדבריו, על מנת להימנע ממגע עם גורמים שוליים הוא בחר לגדל את הסמים בדירתו.</w:t>
      </w:r>
    </w:p>
    <w:p w14:paraId="22BBFD00"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במישור הטיפולי-שיקומי חשף תסקיר שירות המבחן תמונה עגומה. מחד גיסא, מדובר בנאשם הממשיך לקיים אורח חיים התמכרותי, מתמודד עם קשיי הגירה ונעדר מערכות תמיכה. מאידך גיסא, מדובר בנאשם שאינו מגל</w:t>
      </w:r>
      <w:r>
        <w:rPr>
          <w:rFonts w:ascii="Tahoma" w:hAnsi="Tahoma" w:hint="cs"/>
          <w:rtl/>
        </w:rPr>
        <w:t>ה</w:t>
      </w:r>
      <w:r>
        <w:rPr>
          <w:rFonts w:ascii="Tahoma" w:hAnsi="Tahoma"/>
          <w:rtl/>
        </w:rPr>
        <w:t xml:space="preserve"> </w:t>
      </w:r>
      <w:r>
        <w:rPr>
          <w:rFonts w:ascii="Tahoma" w:hAnsi="Tahoma" w:hint="cs"/>
          <w:rtl/>
        </w:rPr>
        <w:t xml:space="preserve">כל </w:t>
      </w:r>
      <w:r>
        <w:rPr>
          <w:rFonts w:ascii="Tahoma" w:hAnsi="Tahoma"/>
          <w:rtl/>
        </w:rPr>
        <w:t xml:space="preserve">תובנה למצבו ואף שולל </w:t>
      </w:r>
      <w:r>
        <w:rPr>
          <w:rFonts w:ascii="Tahoma" w:hAnsi="Tahoma" w:hint="cs"/>
          <w:rtl/>
        </w:rPr>
        <w:t xml:space="preserve">כל </w:t>
      </w:r>
      <w:r>
        <w:rPr>
          <w:rFonts w:ascii="Tahoma" w:hAnsi="Tahoma"/>
          <w:rtl/>
        </w:rPr>
        <w:t>צורך או נזקקות טיפולית. בנסיבות אלה נמנע התסקיר מהמלצה טיפולית בעניינו של הנאשם.</w:t>
      </w:r>
    </w:p>
    <w:p w14:paraId="20E5AADD"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 xml:space="preserve">בדיון שנערך לאחר קבלת התסקיר </w:t>
      </w:r>
      <w:r>
        <w:rPr>
          <w:rFonts w:ascii="Tahoma" w:hAnsi="Tahoma" w:hint="cs"/>
          <w:rtl/>
        </w:rPr>
        <w:t xml:space="preserve">הנ"ל </w:t>
      </w:r>
      <w:r>
        <w:rPr>
          <w:rFonts w:ascii="Tahoma" w:hAnsi="Tahoma"/>
          <w:rtl/>
        </w:rPr>
        <w:t xml:space="preserve">עתר ב"כ הנאשם לקבלת תסקיר משלים, </w:t>
      </w:r>
      <w:r>
        <w:rPr>
          <w:rFonts w:ascii="Tahoma" w:hAnsi="Tahoma" w:hint="cs"/>
          <w:rtl/>
        </w:rPr>
        <w:t xml:space="preserve">וזאת </w:t>
      </w:r>
      <w:r>
        <w:rPr>
          <w:rFonts w:ascii="Tahoma" w:hAnsi="Tahoma"/>
          <w:rtl/>
        </w:rPr>
        <w:t>בטענה כי הנאשם הפנים את מצבו ו</w:t>
      </w:r>
      <w:r>
        <w:rPr>
          <w:rFonts w:ascii="Tahoma" w:hAnsi="Tahoma" w:hint="cs"/>
          <w:rtl/>
        </w:rPr>
        <w:t xml:space="preserve">כעת הוא </w:t>
      </w:r>
      <w:r>
        <w:rPr>
          <w:rFonts w:ascii="Tahoma" w:hAnsi="Tahoma"/>
          <w:rtl/>
        </w:rPr>
        <w:t>מבקש ומצהיר שברצונו להשתלב בהליך טיפולי</w:t>
      </w:r>
      <w:r>
        <w:rPr>
          <w:rFonts w:ascii="Tahoma" w:hAnsi="Tahoma" w:hint="cs"/>
          <w:rtl/>
        </w:rPr>
        <w:t>,</w:t>
      </w:r>
      <w:r>
        <w:rPr>
          <w:rFonts w:ascii="Tahoma" w:hAnsi="Tahoma"/>
          <w:rtl/>
        </w:rPr>
        <w:t xml:space="preserve"> לצורך גמילה משימוש בסמים מסוכנים. נוכח דברים אלה ניתנה לנאשם הזדמנות נוספת לנסות </w:t>
      </w:r>
      <w:r>
        <w:rPr>
          <w:rFonts w:ascii="Tahoma" w:hAnsi="Tahoma" w:hint="cs"/>
          <w:rtl/>
        </w:rPr>
        <w:t>ו</w:t>
      </w:r>
      <w:r>
        <w:rPr>
          <w:rFonts w:ascii="Tahoma" w:hAnsi="Tahoma"/>
          <w:rtl/>
        </w:rPr>
        <w:t>למצות את האפיק השיקומי.</w:t>
      </w:r>
    </w:p>
    <w:p w14:paraId="25D8AD2A"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למרבה השמחה, הנאשם עמד בהצהר</w:t>
      </w:r>
      <w:r>
        <w:rPr>
          <w:rFonts w:ascii="Tahoma" w:hAnsi="Tahoma" w:hint="cs"/>
          <w:rtl/>
        </w:rPr>
        <w:t xml:space="preserve">ותיו הנ"ל. הנאשם החל לשתף פעולה </w:t>
      </w:r>
      <w:r>
        <w:rPr>
          <w:rFonts w:ascii="Tahoma" w:hAnsi="Tahoma"/>
          <w:rtl/>
        </w:rPr>
        <w:t>באופן מלא ושולב בטיפול במסגרת היחידה לטיפול בהתמכרויות</w:t>
      </w:r>
      <w:r>
        <w:rPr>
          <w:rFonts w:ascii="Tahoma" w:hAnsi="Tahoma" w:hint="cs"/>
          <w:rtl/>
        </w:rPr>
        <w:t>,</w:t>
      </w:r>
      <w:r>
        <w:rPr>
          <w:rFonts w:ascii="Tahoma" w:hAnsi="Tahoma"/>
          <w:rtl/>
        </w:rPr>
        <w:t xml:space="preserve"> באגף הרווחה בתל-אביב. על רקע זה ביקש שירות המבחן מספר דחיות, והגיש שלושה תסקירים משלימים. כפי שעולה מתסקירים אלה, הנאשם התמיד בהגעתו ליחידה, שיתף פעולה בהתאם לדרישות המטפלים ומסר בדיקות שתן נקיות. הנאשם הביע בפני מטפליו שביעות רצון מתהליכי </w:t>
      </w:r>
      <w:r>
        <w:rPr>
          <w:rFonts w:ascii="Tahoma" w:hAnsi="Tahoma"/>
          <w:rtl/>
        </w:rPr>
        <w:lastRenderedPageBreak/>
        <w:t>הטיפול שעבר ו</w:t>
      </w:r>
      <w:r>
        <w:rPr>
          <w:rFonts w:ascii="Tahoma" w:hAnsi="Tahoma" w:hint="cs"/>
          <w:rtl/>
        </w:rPr>
        <w:t xml:space="preserve">אף </w:t>
      </w:r>
      <w:r>
        <w:rPr>
          <w:rFonts w:ascii="Tahoma" w:hAnsi="Tahoma"/>
          <w:rtl/>
        </w:rPr>
        <w:t xml:space="preserve">טען כי הטיפול מהווה עבורו מקור תמיכה משמעותי ומסייע לו בהתמודדות </w:t>
      </w:r>
      <w:r>
        <w:rPr>
          <w:rFonts w:ascii="Tahoma" w:hAnsi="Tahoma" w:hint="cs"/>
          <w:rtl/>
        </w:rPr>
        <w:t xml:space="preserve">עם </w:t>
      </w:r>
      <w:r>
        <w:rPr>
          <w:rFonts w:ascii="Tahoma" w:hAnsi="Tahoma"/>
          <w:rtl/>
        </w:rPr>
        <w:t>קשייו הנפשיים וחיזוק יכולותיו התפקודיות.</w:t>
      </w:r>
    </w:p>
    <w:p w14:paraId="0477E5AD"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rtl/>
        </w:rPr>
        <w:t>בהמשך (בתסקיר משלים שני מיום 27.12.18) עמד שירות המבחן על ההתקדמות החיובית של הנאשם בהליך הטיפולי. שירות המבחן התרשם כי הנאשם מגלה כעת מודעות גבוהה יותר לבעייתיות שבהתנהגותו ועתר לדחייה נוספת לשם ביסוס ההליך הטיפולי ובחינת יכולתו של הנאשם להתמיד בטיפול.</w:t>
      </w:r>
    </w:p>
    <w:p w14:paraId="06B2C0EB"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hint="cs"/>
          <w:rtl/>
        </w:rPr>
        <w:t xml:space="preserve">לבסוף, </w:t>
      </w:r>
      <w:r>
        <w:rPr>
          <w:rFonts w:ascii="Tahoma" w:hAnsi="Tahoma"/>
          <w:rtl/>
        </w:rPr>
        <w:t>תסקיר משלים אחרון (שלישי) נערך ביום 04.03.19. בתקופת הדחייה התרחשו מספר שינויים בחייו האישיים של הנאשם: במקביל לעבודתו בפרסום החל הנאשם בעבודה נוספת בתחום המסעדנות. בנוסף, אמו של הנאשם עלתה ארצה מצרפת, וכעת מתגוררת עמו בדירה. מבחינה טיפולית ציין שירות המבחן כי הנאשם עומד ביעדים</w:t>
      </w:r>
      <w:r>
        <w:rPr>
          <w:rFonts w:ascii="Tahoma" w:hAnsi="Tahoma" w:hint="cs"/>
          <w:rtl/>
        </w:rPr>
        <w:t xml:space="preserve">, אותם </w:t>
      </w:r>
      <w:r>
        <w:rPr>
          <w:rFonts w:ascii="Tahoma" w:hAnsi="Tahoma"/>
          <w:rtl/>
        </w:rPr>
        <w:t xml:space="preserve">הציב לעצמו בתחילת דרכו הטיפולית, </w:t>
      </w:r>
      <w:r>
        <w:rPr>
          <w:rFonts w:ascii="Tahoma" w:hAnsi="Tahoma" w:hint="cs"/>
          <w:rtl/>
        </w:rPr>
        <w:t xml:space="preserve">ואף </w:t>
      </w:r>
      <w:r>
        <w:rPr>
          <w:rFonts w:ascii="Tahoma" w:hAnsi="Tahoma"/>
          <w:rtl/>
        </w:rPr>
        <w:t xml:space="preserve">ביסס מסגרת תעסוקתית יציבה והרחיב את מעגלי התמיכה בחייו. עם זאת הטעים שירות המבחן, </w:t>
      </w:r>
      <w:r>
        <w:rPr>
          <w:rFonts w:ascii="Tahoma" w:hAnsi="Tahoma" w:hint="cs"/>
          <w:rtl/>
        </w:rPr>
        <w:t xml:space="preserve">כי </w:t>
      </w:r>
      <w:r>
        <w:rPr>
          <w:rFonts w:ascii="Tahoma" w:hAnsi="Tahoma"/>
          <w:rtl/>
        </w:rPr>
        <w:t>על הנאשם להמשיך בטיפול לתקופה משמעותית נוספת.</w:t>
      </w:r>
    </w:p>
    <w:p w14:paraId="129FAB26" w14:textId="77777777" w:rsidR="00F849FF" w:rsidRPr="00400903" w:rsidRDefault="00F849FF" w:rsidP="00F849FF">
      <w:pPr>
        <w:numPr>
          <w:ilvl w:val="0"/>
          <w:numId w:val="1"/>
        </w:numPr>
        <w:tabs>
          <w:tab w:val="num" w:pos="720"/>
        </w:tabs>
        <w:spacing w:after="120" w:line="360" w:lineRule="auto"/>
        <w:ind w:left="720"/>
        <w:jc w:val="both"/>
        <w:rPr>
          <w:rFonts w:ascii="Tahoma" w:hAnsi="Tahoma"/>
          <w:rtl/>
        </w:rPr>
      </w:pPr>
      <w:r w:rsidRPr="00400903">
        <w:rPr>
          <w:rFonts w:ascii="Tahoma" w:hAnsi="Tahoma"/>
          <w:rtl/>
        </w:rPr>
        <w:t xml:space="preserve">בהתאם להחלטת בית המשפט בחן שירות המבחן את </w:t>
      </w:r>
      <w:r w:rsidRPr="00400903">
        <w:rPr>
          <w:rFonts w:ascii="Tahoma" w:hAnsi="Tahoma" w:hint="cs"/>
          <w:rtl/>
        </w:rPr>
        <w:t xml:space="preserve">אפשרות </w:t>
      </w:r>
      <w:r w:rsidRPr="00400903">
        <w:rPr>
          <w:rFonts w:ascii="Tahoma" w:hAnsi="Tahoma"/>
          <w:rtl/>
        </w:rPr>
        <w:t>התאמתו של הנאשם למסגרת בית משפט קהילתי. אולם, לגישת שירות המבחן הטיפול הנוכחי אותו עובר הנאשם מהווה פתרון מלא לצרכיו, ומפחית את הסיכון במצבו.</w:t>
      </w:r>
      <w:r>
        <w:rPr>
          <w:rFonts w:ascii="Tahoma" w:hAnsi="Tahoma" w:hint="cs"/>
          <w:rtl/>
        </w:rPr>
        <w:t xml:space="preserve"> </w:t>
      </w:r>
      <w:r w:rsidRPr="00400903">
        <w:rPr>
          <w:rFonts w:ascii="Tahoma" w:hAnsi="Tahoma"/>
          <w:rtl/>
        </w:rPr>
        <w:t xml:space="preserve">שירות המבחן המליץ אפוא, בשורה התחתונה, להשית על הנאשם ענישה קונקרטית ומוחשית בדמות 200 שעות של"צ בהתאם לתוכנית שגובשה עם הנאשם (במסגרת המסייעת במתן ביגוד למשפחות נזקקות), וזאת לצד צו מבחן למשך שנה, אשר במהלכה ימשיך הנאשם בטיפול במסגרת היחידה לטיפול בהתמכרויות תוך רכישת כלים להתנהגות תקינה, ללא שימוש בסמים </w:t>
      </w:r>
      <w:r>
        <w:rPr>
          <w:rFonts w:ascii="Tahoma" w:hAnsi="Tahoma" w:hint="cs"/>
          <w:rtl/>
        </w:rPr>
        <w:t>א</w:t>
      </w:r>
      <w:r w:rsidRPr="00400903">
        <w:rPr>
          <w:rFonts w:ascii="Tahoma" w:hAnsi="Tahoma"/>
          <w:rtl/>
        </w:rPr>
        <w:t>ו</w:t>
      </w:r>
      <w:r>
        <w:rPr>
          <w:rFonts w:ascii="Tahoma" w:hAnsi="Tahoma" w:hint="cs"/>
          <w:rtl/>
        </w:rPr>
        <w:t xml:space="preserve"> </w:t>
      </w:r>
      <w:r w:rsidRPr="00400903">
        <w:rPr>
          <w:rFonts w:ascii="Tahoma" w:hAnsi="Tahoma"/>
          <w:rtl/>
        </w:rPr>
        <w:t>מעורבות שולית.</w:t>
      </w:r>
    </w:p>
    <w:p w14:paraId="127597FD" w14:textId="77777777" w:rsidR="00F849FF" w:rsidRDefault="00F849FF" w:rsidP="00F849FF">
      <w:pPr>
        <w:spacing w:after="120" w:line="360" w:lineRule="auto"/>
        <w:jc w:val="both"/>
        <w:rPr>
          <w:rtl/>
        </w:rPr>
      </w:pPr>
    </w:p>
    <w:p w14:paraId="44548DD1" w14:textId="77777777" w:rsidR="00F849FF" w:rsidRPr="00DE411D" w:rsidRDefault="00F849FF" w:rsidP="00F849FF">
      <w:pPr>
        <w:snapToGrid w:val="0"/>
        <w:spacing w:after="120" w:line="360" w:lineRule="auto"/>
        <w:jc w:val="both"/>
        <w:rPr>
          <w:b/>
          <w:bCs/>
          <w:u w:val="single"/>
        </w:rPr>
      </w:pPr>
      <w:r>
        <w:rPr>
          <w:rFonts w:hint="cs"/>
          <w:b/>
          <w:bCs/>
          <w:rtl/>
        </w:rPr>
        <w:t>ג</w:t>
      </w:r>
      <w:r w:rsidRPr="00627467">
        <w:rPr>
          <w:rFonts w:hint="cs"/>
          <w:b/>
          <w:bCs/>
          <w:rtl/>
        </w:rPr>
        <w:t>.</w:t>
      </w:r>
      <w:r w:rsidRPr="00627467">
        <w:rPr>
          <w:rFonts w:hint="cs"/>
          <w:b/>
          <w:bCs/>
          <w:rtl/>
        </w:rPr>
        <w:tab/>
      </w:r>
      <w:r>
        <w:rPr>
          <w:rFonts w:hint="cs"/>
          <w:b/>
          <w:bCs/>
          <w:u w:val="single"/>
          <w:rtl/>
        </w:rPr>
        <w:t>הראיות לקביעת העונש ותמצית</w:t>
      </w:r>
      <w:r w:rsidRPr="00DE411D">
        <w:rPr>
          <w:rFonts w:hint="cs"/>
          <w:b/>
          <w:bCs/>
          <w:u w:val="single"/>
          <w:rtl/>
        </w:rPr>
        <w:t xml:space="preserve"> טיעוני הצדדים:</w:t>
      </w:r>
    </w:p>
    <w:p w14:paraId="7AD15AA5" w14:textId="77777777" w:rsidR="00F849FF" w:rsidRDefault="00F849FF" w:rsidP="00F849FF">
      <w:pPr>
        <w:numPr>
          <w:ilvl w:val="0"/>
          <w:numId w:val="1"/>
        </w:numPr>
        <w:tabs>
          <w:tab w:val="num" w:pos="720"/>
        </w:tabs>
        <w:spacing w:after="120" w:line="360" w:lineRule="auto"/>
        <w:ind w:left="720"/>
        <w:jc w:val="both"/>
        <w:rPr>
          <w:rFonts w:ascii="Tahoma" w:hAnsi="Tahoma"/>
        </w:rPr>
      </w:pPr>
      <w:r w:rsidRPr="0090269F">
        <w:rPr>
          <w:rFonts w:ascii="Tahoma" w:hAnsi="Tahoma" w:hint="cs"/>
          <w:rtl/>
        </w:rPr>
        <w:t xml:space="preserve">כראיות לעונש הגישה ב"כ המאשימה את </w:t>
      </w:r>
      <w:r w:rsidRPr="0090269F">
        <w:rPr>
          <w:rFonts w:ascii="Tahoma" w:hAnsi="Tahoma"/>
          <w:rtl/>
        </w:rPr>
        <w:t xml:space="preserve">לוח </w:t>
      </w:r>
      <w:r>
        <w:rPr>
          <w:rFonts w:ascii="Tahoma" w:hAnsi="Tahoma" w:hint="cs"/>
          <w:rtl/>
        </w:rPr>
        <w:t>ה</w:t>
      </w:r>
      <w:r>
        <w:rPr>
          <w:rFonts w:ascii="Tahoma" w:hAnsi="Tahoma"/>
          <w:rtl/>
        </w:rPr>
        <w:t>תצלומים</w:t>
      </w:r>
      <w:r>
        <w:rPr>
          <w:rFonts w:ascii="Tahoma" w:hAnsi="Tahoma" w:hint="cs"/>
          <w:rtl/>
        </w:rPr>
        <w:t>, ש</w:t>
      </w:r>
      <w:r w:rsidRPr="0090269F">
        <w:rPr>
          <w:rFonts w:ascii="Tahoma" w:hAnsi="Tahoma"/>
          <w:rtl/>
        </w:rPr>
        <w:t xml:space="preserve">בו </w:t>
      </w:r>
      <w:r>
        <w:rPr>
          <w:rFonts w:ascii="Tahoma" w:hAnsi="Tahoma" w:hint="cs"/>
          <w:rtl/>
        </w:rPr>
        <w:t xml:space="preserve">4 </w:t>
      </w:r>
      <w:r w:rsidRPr="0090269F">
        <w:rPr>
          <w:rFonts w:ascii="Tahoma" w:hAnsi="Tahoma"/>
          <w:rtl/>
        </w:rPr>
        <w:t xml:space="preserve">תמונות המעבדה (סומן ע/1). </w:t>
      </w:r>
      <w:r>
        <w:rPr>
          <w:rFonts w:ascii="Tahoma" w:hAnsi="Tahoma" w:hint="cs"/>
          <w:rtl/>
        </w:rPr>
        <w:t>כעולה מתמונות אלה, המעבדה דנא נראית כמעין ארון, הממוקם בפינת סלון דירת המגורים של הנאשם, אשר בו מצוי הציוד הנדרש לצורך גידול חמשת השתילים מושא כתב האישום.</w:t>
      </w:r>
    </w:p>
    <w:p w14:paraId="4C8F7655" w14:textId="77777777" w:rsidR="00F849FF" w:rsidRDefault="00F849FF" w:rsidP="00F849FF">
      <w:pPr>
        <w:numPr>
          <w:ilvl w:val="0"/>
          <w:numId w:val="1"/>
        </w:numPr>
        <w:tabs>
          <w:tab w:val="num" w:pos="720"/>
        </w:tabs>
        <w:spacing w:after="120" w:line="360" w:lineRule="auto"/>
        <w:ind w:left="720"/>
        <w:jc w:val="both"/>
        <w:rPr>
          <w:rFonts w:ascii="Tahoma" w:hAnsi="Tahoma"/>
        </w:rPr>
      </w:pPr>
      <w:r w:rsidRPr="0090269F">
        <w:rPr>
          <w:rFonts w:ascii="Tahoma" w:hAnsi="Tahoma"/>
          <w:rtl/>
        </w:rPr>
        <w:t>בטיעוניה לעונש עמדה ב"כ המאשימה על חומר</w:t>
      </w:r>
      <w:r>
        <w:rPr>
          <w:rFonts w:ascii="Tahoma" w:hAnsi="Tahoma" w:hint="cs"/>
          <w:rtl/>
        </w:rPr>
        <w:t xml:space="preserve">ת העבירות בהן הורשע הנאשם, בפרט משום שמדובר </w:t>
      </w:r>
      <w:r w:rsidRPr="0090269F">
        <w:rPr>
          <w:rFonts w:ascii="Tahoma" w:hAnsi="Tahoma"/>
          <w:rtl/>
        </w:rPr>
        <w:t xml:space="preserve">במעבדה משוכללת </w:t>
      </w:r>
      <w:r>
        <w:rPr>
          <w:rFonts w:ascii="Tahoma" w:hAnsi="Tahoma" w:hint="cs"/>
          <w:rtl/>
        </w:rPr>
        <w:t xml:space="preserve">ומתוחכמת, שעל כן יש בה </w:t>
      </w:r>
      <w:r w:rsidRPr="0090269F">
        <w:rPr>
          <w:rFonts w:ascii="Tahoma" w:hAnsi="Tahoma"/>
          <w:rtl/>
        </w:rPr>
        <w:t>כדי ללמד על עיסוק שיטתי ומתמשך של הנאשם בתחום הסמים המסוכנים. ב"כ המאשימה הדגישה כי מדובר בעבירה "</w:t>
      </w:r>
      <w:r w:rsidRPr="0090269F">
        <w:rPr>
          <w:rFonts w:ascii="Tahoma" w:hAnsi="Tahoma"/>
          <w:b/>
          <w:bCs/>
          <w:rtl/>
        </w:rPr>
        <w:t>נפוצה ונפיצה</w:t>
      </w:r>
      <w:r w:rsidRPr="0090269F">
        <w:rPr>
          <w:rFonts w:ascii="Tahoma" w:hAnsi="Tahoma"/>
          <w:rtl/>
        </w:rPr>
        <w:t>"</w:t>
      </w:r>
      <w:r>
        <w:rPr>
          <w:rFonts w:ascii="Tahoma" w:hAnsi="Tahoma" w:hint="cs"/>
          <w:rtl/>
        </w:rPr>
        <w:t>, הן משום קלות ביצועה והן בשל פ</w:t>
      </w:r>
      <w:r w:rsidRPr="0090269F">
        <w:rPr>
          <w:rFonts w:ascii="Tahoma" w:hAnsi="Tahoma"/>
          <w:rtl/>
        </w:rPr>
        <w:t xml:space="preserve">וטנציאל </w:t>
      </w:r>
      <w:r>
        <w:rPr>
          <w:rFonts w:ascii="Tahoma" w:hAnsi="Tahoma" w:hint="cs"/>
          <w:rtl/>
        </w:rPr>
        <w:t>ה</w:t>
      </w:r>
      <w:r w:rsidRPr="0090269F">
        <w:rPr>
          <w:rFonts w:ascii="Tahoma" w:hAnsi="Tahoma"/>
          <w:rtl/>
        </w:rPr>
        <w:t>סיכון לשלום הציבור ולבריאותו</w:t>
      </w:r>
      <w:r>
        <w:rPr>
          <w:rFonts w:ascii="Tahoma" w:hAnsi="Tahoma" w:hint="cs"/>
          <w:rtl/>
        </w:rPr>
        <w:t xml:space="preserve"> הנובע ממנה</w:t>
      </w:r>
      <w:r w:rsidRPr="0090269F">
        <w:rPr>
          <w:rFonts w:ascii="Tahoma" w:hAnsi="Tahoma"/>
          <w:rtl/>
        </w:rPr>
        <w:t>.</w:t>
      </w:r>
    </w:p>
    <w:p w14:paraId="36BB879A" w14:textId="77777777" w:rsidR="00F849FF" w:rsidRDefault="00F849FF" w:rsidP="00F849FF">
      <w:pPr>
        <w:numPr>
          <w:ilvl w:val="0"/>
          <w:numId w:val="1"/>
        </w:numPr>
        <w:tabs>
          <w:tab w:val="num" w:pos="720"/>
        </w:tabs>
        <w:spacing w:after="120" w:line="360" w:lineRule="auto"/>
        <w:ind w:left="720"/>
        <w:jc w:val="both"/>
        <w:rPr>
          <w:rFonts w:ascii="Tahoma" w:hAnsi="Tahoma"/>
        </w:rPr>
      </w:pPr>
      <w:r w:rsidRPr="00AE6EE0">
        <w:rPr>
          <w:rFonts w:ascii="Tahoma" w:hAnsi="Tahoma" w:hint="cs"/>
          <w:rtl/>
        </w:rPr>
        <w:t>לשיטת ב"כ המאשימה</w:t>
      </w:r>
      <w:r>
        <w:rPr>
          <w:rFonts w:ascii="Tahoma" w:hAnsi="Tahoma" w:hint="cs"/>
          <w:rtl/>
        </w:rPr>
        <w:t xml:space="preserve"> מדובר</w:t>
      </w:r>
      <w:r w:rsidRPr="00AE6EE0">
        <w:rPr>
          <w:rFonts w:ascii="Tahoma" w:hAnsi="Tahoma" w:hint="cs"/>
          <w:rtl/>
        </w:rPr>
        <w:t xml:space="preserve"> במקרה דנא במעשים שיש בהם פגיעה משמעותית בערכים החברתיים המוגנים ועל כן </w:t>
      </w:r>
      <w:r>
        <w:rPr>
          <w:rFonts w:ascii="Tahoma" w:hAnsi="Tahoma" w:hint="cs"/>
          <w:rtl/>
        </w:rPr>
        <w:t xml:space="preserve">היא </w:t>
      </w:r>
      <w:r w:rsidRPr="00AE6EE0">
        <w:rPr>
          <w:rFonts w:ascii="Tahoma" w:hAnsi="Tahoma" w:hint="cs"/>
          <w:rtl/>
        </w:rPr>
        <w:t>עתרה לקביעת מתחם עונש הולם מחמיר</w:t>
      </w:r>
      <w:r>
        <w:rPr>
          <w:rFonts w:ascii="Tahoma" w:hAnsi="Tahoma" w:hint="cs"/>
          <w:rtl/>
        </w:rPr>
        <w:t>,</w:t>
      </w:r>
      <w:r w:rsidRPr="00AE6EE0">
        <w:rPr>
          <w:rFonts w:ascii="Tahoma" w:hAnsi="Tahoma" w:hint="cs"/>
          <w:rtl/>
        </w:rPr>
        <w:t xml:space="preserve"> שבין 8 חודשי מאסר בפועל לבין 14 חודשי מאסר בפועל. בהקשר זה הפנתה ב"כ המאשימה ל</w:t>
      </w:r>
      <w:hyperlink r:id="rId17" w:history="1">
        <w:r w:rsidR="005D6D63" w:rsidRPr="005D6D63">
          <w:rPr>
            <w:rFonts w:ascii="Tahoma" w:hAnsi="Tahoma"/>
            <w:color w:val="0000FF"/>
            <w:u w:val="single"/>
            <w:rtl/>
          </w:rPr>
          <w:t>רע"פ 1787/15</w:t>
        </w:r>
      </w:hyperlink>
      <w:r w:rsidRPr="00AE6EE0">
        <w:rPr>
          <w:rFonts w:ascii="Tahoma" w:hAnsi="Tahoma"/>
          <w:rtl/>
        </w:rPr>
        <w:t xml:space="preserve"> </w:t>
      </w:r>
      <w:r w:rsidRPr="00AE6EE0">
        <w:rPr>
          <w:rFonts w:ascii="Tahoma" w:hAnsi="Tahoma"/>
          <w:b/>
          <w:bCs/>
          <w:rtl/>
        </w:rPr>
        <w:t>עמר נ' מדינת ישראל</w:t>
      </w:r>
      <w:r w:rsidRPr="00AE6EE0">
        <w:rPr>
          <w:rFonts w:ascii="Tahoma" w:hAnsi="Tahoma"/>
          <w:rtl/>
        </w:rPr>
        <w:t xml:space="preserve"> (24.03.15)</w:t>
      </w:r>
      <w:r w:rsidRPr="00AE6EE0">
        <w:rPr>
          <w:rFonts w:ascii="Tahoma" w:hAnsi="Tahoma" w:hint="cs"/>
          <w:rtl/>
        </w:rPr>
        <w:t xml:space="preserve">, בו נקבע מתחם עונש הולם </w:t>
      </w:r>
      <w:r>
        <w:rPr>
          <w:rFonts w:ascii="Tahoma" w:hAnsi="Tahoma" w:hint="cs"/>
          <w:rtl/>
        </w:rPr>
        <w:t>שבין 8 חודשי מאסר בפועל לבין 20</w:t>
      </w:r>
      <w:r w:rsidRPr="00AE6EE0">
        <w:rPr>
          <w:rFonts w:ascii="Tahoma" w:hAnsi="Tahoma" w:hint="cs"/>
          <w:rtl/>
        </w:rPr>
        <w:t xml:space="preserve"> חודשי מאסר בפועל</w:t>
      </w:r>
      <w:r>
        <w:rPr>
          <w:rFonts w:ascii="Tahoma" w:hAnsi="Tahoma" w:hint="cs"/>
          <w:rtl/>
        </w:rPr>
        <w:t>, אך יש לציין כי שם דובר במקרה חמור בהרבה מענייננו: זאת, הן בהיקף גידול הסמים המסוכנים, הן בנסיבות הגידול (סכומי כסף גבוהים שנתפסו, שמהם נלמד על גידול לשם בצע כסף) והן בנסיבות האישיות.</w:t>
      </w:r>
    </w:p>
    <w:p w14:paraId="534DE7ED"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hint="cs"/>
          <w:rtl/>
        </w:rPr>
        <w:t>מכל מקום, ועל אף שהרף התחתון של מתחם העונש ההולם לו עתרה ב"כ המאשימה הוא חמור מהעונש שהמאשימה הסכימה לטעון לו, עתרה ב"כ המאשימה לכיבוד הסכמות הצדדים ולגזירת עונשו של הנאשם בהתאם, דהיינו: לענישה של שישה חודשי מאסר בפועל, לנשיאה בדרך של עבודות שירות, בצירוף ענישה נלווית.</w:t>
      </w:r>
    </w:p>
    <w:p w14:paraId="6EC745CA"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hint="cs"/>
          <w:rtl/>
        </w:rPr>
        <w:t>ב</w:t>
      </w:r>
      <w:r w:rsidRPr="00134EC5">
        <w:rPr>
          <w:rFonts w:ascii="Tahoma" w:hAnsi="Tahoma"/>
          <w:rtl/>
        </w:rPr>
        <w:t>"כ הנאשם</w:t>
      </w:r>
      <w:r>
        <w:rPr>
          <w:rFonts w:ascii="Tahoma" w:hAnsi="Tahoma" w:hint="cs"/>
          <w:rtl/>
        </w:rPr>
        <w:t xml:space="preserve">, מצידו, עתר לאימוץ </w:t>
      </w:r>
      <w:r w:rsidRPr="00134EC5">
        <w:rPr>
          <w:rFonts w:ascii="Tahoma" w:hAnsi="Tahoma"/>
          <w:rtl/>
        </w:rPr>
        <w:t>המלצות שירות המבחן</w:t>
      </w:r>
      <w:r>
        <w:rPr>
          <w:rFonts w:ascii="Tahoma" w:hAnsi="Tahoma" w:hint="cs"/>
          <w:rtl/>
        </w:rPr>
        <w:t xml:space="preserve"> ולהשתת ענישה</w:t>
      </w:r>
      <w:r w:rsidRPr="00134EC5">
        <w:rPr>
          <w:rFonts w:ascii="Tahoma" w:hAnsi="Tahoma"/>
          <w:rtl/>
        </w:rPr>
        <w:t xml:space="preserve"> של של"צ יחד עם צו מבחן. ב"כ הנאשם </w:t>
      </w:r>
      <w:r>
        <w:rPr>
          <w:rFonts w:ascii="Tahoma" w:hAnsi="Tahoma" w:hint="cs"/>
          <w:rtl/>
        </w:rPr>
        <w:t>הדגיש בטיעוניו את הדרך הארוכה, בה צעד הנאשם מאז מתן הכרעת הדין, ואת ההליך הטיפולי בו מתמיד הנאשם, כאשר בדיקות שתן שמסר מלמדות על הפסקת השימוש בסמים מסוכנים, כלומר: על שינוי מהותי באורחות חייו של הנאשם.</w:t>
      </w:r>
    </w:p>
    <w:p w14:paraId="6DCD364A" w14:textId="77777777" w:rsidR="00F849FF" w:rsidRDefault="00F849FF" w:rsidP="00F849FF">
      <w:pPr>
        <w:numPr>
          <w:ilvl w:val="0"/>
          <w:numId w:val="1"/>
        </w:numPr>
        <w:tabs>
          <w:tab w:val="num" w:pos="720"/>
        </w:tabs>
        <w:spacing w:after="120" w:line="360" w:lineRule="auto"/>
        <w:ind w:left="720"/>
        <w:jc w:val="both"/>
        <w:rPr>
          <w:rFonts w:ascii="Tahoma" w:hAnsi="Tahoma"/>
        </w:rPr>
      </w:pPr>
      <w:r>
        <w:rPr>
          <w:rFonts w:ascii="Tahoma" w:hAnsi="Tahoma" w:hint="cs"/>
          <w:rtl/>
        </w:rPr>
        <w:t xml:space="preserve">בנוסף ציין ב"כ הנאשם את נסיבות הקולה הכלליות במקרה זה, דהיינו: </w:t>
      </w:r>
      <w:r>
        <w:rPr>
          <w:rFonts w:ascii="Tahoma" w:hAnsi="Tahoma"/>
          <w:rtl/>
        </w:rPr>
        <w:t>חלוף הזמן המשמעותי</w:t>
      </w:r>
      <w:r>
        <w:rPr>
          <w:rFonts w:ascii="Tahoma" w:hAnsi="Tahoma" w:hint="cs"/>
          <w:rtl/>
        </w:rPr>
        <w:t>;</w:t>
      </w:r>
      <w:r w:rsidRPr="00134EC5">
        <w:rPr>
          <w:rFonts w:ascii="Tahoma" w:hAnsi="Tahoma"/>
          <w:rtl/>
        </w:rPr>
        <w:t xml:space="preserve"> הכמות הקטנה-יחסית של הס</w:t>
      </w:r>
      <w:r>
        <w:rPr>
          <w:rFonts w:ascii="Tahoma" w:hAnsi="Tahoma" w:hint="cs"/>
          <w:rtl/>
        </w:rPr>
        <w:t>מים; טענות הנאשם לשימוש עצמי גרידא על רקע מצב רפואי, כאשר כיום</w:t>
      </w:r>
      <w:r w:rsidRPr="00134EC5">
        <w:rPr>
          <w:rFonts w:ascii="Tahoma" w:hAnsi="Tahoma"/>
          <w:rtl/>
        </w:rPr>
        <w:t xml:space="preserve"> המדינה עצמה </w:t>
      </w:r>
      <w:r>
        <w:rPr>
          <w:rFonts w:ascii="Tahoma" w:hAnsi="Tahoma" w:hint="cs"/>
          <w:rtl/>
        </w:rPr>
        <w:t xml:space="preserve">מכירה בקנבוס כתרופה לחולים מסוימים. </w:t>
      </w:r>
      <w:r w:rsidRPr="00134EC5">
        <w:rPr>
          <w:rFonts w:ascii="Tahoma" w:hAnsi="Tahoma"/>
          <w:rtl/>
        </w:rPr>
        <w:t>בנסיבות אלה עתר ב"כ הנאשם להשתת ענישה כהמלצת שירות המבחן, תוך שהוא מוסיף שהיעתרות לבקשת המאשימה לענישה של מאסר בעבודות שירות, עשויה להוביל לנזקים ולרגרסיה במצבו</w:t>
      </w:r>
      <w:r>
        <w:rPr>
          <w:rFonts w:ascii="Tahoma" w:hAnsi="Tahoma" w:hint="cs"/>
          <w:rtl/>
        </w:rPr>
        <w:t xml:space="preserve"> של הנאשם</w:t>
      </w:r>
      <w:r w:rsidRPr="00134EC5">
        <w:rPr>
          <w:rFonts w:ascii="Tahoma" w:hAnsi="Tahoma"/>
          <w:rtl/>
        </w:rPr>
        <w:t xml:space="preserve">, </w:t>
      </w:r>
      <w:r>
        <w:rPr>
          <w:rFonts w:ascii="Tahoma" w:hAnsi="Tahoma" w:hint="cs"/>
          <w:rtl/>
        </w:rPr>
        <w:t xml:space="preserve">המתגורר </w:t>
      </w:r>
      <w:r w:rsidRPr="00134EC5">
        <w:rPr>
          <w:rFonts w:ascii="Tahoma" w:hAnsi="Tahoma"/>
          <w:rtl/>
        </w:rPr>
        <w:t>כיום עם אמו ו</w:t>
      </w:r>
      <w:r>
        <w:rPr>
          <w:rFonts w:ascii="Tahoma" w:hAnsi="Tahoma" w:hint="cs"/>
          <w:rtl/>
        </w:rPr>
        <w:t xml:space="preserve">מסייע </w:t>
      </w:r>
      <w:r w:rsidRPr="00134EC5">
        <w:rPr>
          <w:rFonts w:ascii="Tahoma" w:hAnsi="Tahoma"/>
          <w:rtl/>
        </w:rPr>
        <w:t xml:space="preserve">בפרנסתה. </w:t>
      </w:r>
    </w:p>
    <w:p w14:paraId="74A8A1E7" w14:textId="77777777" w:rsidR="00F849FF" w:rsidRPr="00040D80" w:rsidRDefault="00F849FF" w:rsidP="00F849FF">
      <w:pPr>
        <w:numPr>
          <w:ilvl w:val="0"/>
          <w:numId w:val="1"/>
        </w:numPr>
        <w:tabs>
          <w:tab w:val="num" w:pos="720"/>
        </w:tabs>
        <w:spacing w:after="120" w:line="360" w:lineRule="auto"/>
        <w:ind w:left="720"/>
        <w:jc w:val="both"/>
        <w:rPr>
          <w:rFonts w:ascii="Tahoma" w:hAnsi="Tahoma"/>
        </w:rPr>
      </w:pPr>
      <w:r>
        <w:rPr>
          <w:rFonts w:ascii="Tahoma" w:hAnsi="Tahoma" w:hint="cs"/>
          <w:rtl/>
        </w:rPr>
        <w:t xml:space="preserve">לבסוף </w:t>
      </w:r>
      <w:r w:rsidRPr="00040D80">
        <w:rPr>
          <w:rFonts w:ascii="Tahoma" w:hAnsi="Tahoma"/>
          <w:rtl/>
        </w:rPr>
        <w:t xml:space="preserve">הנאשם, בדברו האחרון לעונש, התייחס לעבירות </w:t>
      </w:r>
      <w:r>
        <w:rPr>
          <w:rFonts w:ascii="Tahoma" w:hAnsi="Tahoma" w:hint="cs"/>
          <w:rtl/>
        </w:rPr>
        <w:t>מוש</w:t>
      </w:r>
      <w:r w:rsidRPr="00040D80">
        <w:rPr>
          <w:rFonts w:ascii="Tahoma" w:hAnsi="Tahoma"/>
          <w:rtl/>
        </w:rPr>
        <w:t xml:space="preserve">א האישום כטעות שאותה </w:t>
      </w:r>
      <w:r>
        <w:rPr>
          <w:rFonts w:ascii="Tahoma" w:hAnsi="Tahoma" w:hint="cs"/>
          <w:rtl/>
        </w:rPr>
        <w:t xml:space="preserve">הוא </w:t>
      </w:r>
      <w:r w:rsidRPr="00040D80">
        <w:rPr>
          <w:rFonts w:ascii="Tahoma" w:hAnsi="Tahoma"/>
          <w:rtl/>
        </w:rPr>
        <w:t>מנסה לתקן</w:t>
      </w:r>
      <w:r>
        <w:rPr>
          <w:rFonts w:ascii="Tahoma" w:hAnsi="Tahoma" w:hint="cs"/>
          <w:rtl/>
        </w:rPr>
        <w:t xml:space="preserve"> כיום, כאשר, כדבריו</w:t>
      </w:r>
      <w:r w:rsidRPr="00040D80">
        <w:rPr>
          <w:rFonts w:ascii="Tahoma" w:hAnsi="Tahoma"/>
          <w:rtl/>
        </w:rPr>
        <w:t>: "</w:t>
      </w:r>
      <w:r w:rsidRPr="00040D80">
        <w:rPr>
          <w:rFonts w:ascii="Tahoma" w:hAnsi="Tahoma"/>
          <w:b/>
          <w:bCs/>
          <w:rtl/>
        </w:rPr>
        <w:t>זה הטעות הראשונה והיחידה</w:t>
      </w:r>
      <w:r>
        <w:rPr>
          <w:rFonts w:ascii="Tahoma" w:hAnsi="Tahoma"/>
          <w:rtl/>
        </w:rPr>
        <w:t>"</w:t>
      </w:r>
      <w:r>
        <w:rPr>
          <w:rFonts w:ascii="Tahoma" w:hAnsi="Tahoma" w:hint="cs"/>
          <w:rtl/>
        </w:rPr>
        <w:t xml:space="preserve">. הנאשם הדגיש כי עשה כל שביכולתו על מנת לנקות את עצמו והוסיף כי </w:t>
      </w:r>
      <w:r w:rsidRPr="00040D80">
        <w:rPr>
          <w:rFonts w:ascii="Tahoma" w:hAnsi="Tahoma"/>
          <w:rtl/>
        </w:rPr>
        <w:t xml:space="preserve">ענישה </w:t>
      </w:r>
      <w:r>
        <w:rPr>
          <w:rFonts w:ascii="Tahoma" w:hAnsi="Tahoma" w:hint="cs"/>
          <w:rtl/>
        </w:rPr>
        <w:t xml:space="preserve">מחמירה </w:t>
      </w:r>
      <w:r w:rsidRPr="00040D80">
        <w:rPr>
          <w:rFonts w:ascii="Tahoma" w:hAnsi="Tahoma"/>
          <w:rtl/>
        </w:rPr>
        <w:t xml:space="preserve">תמנע ממנו להתפרנס למחייתו </w:t>
      </w:r>
      <w:r>
        <w:rPr>
          <w:rFonts w:ascii="Tahoma" w:hAnsi="Tahoma" w:hint="cs"/>
          <w:rtl/>
        </w:rPr>
        <w:t xml:space="preserve">משום שאין בארץ </w:t>
      </w:r>
      <w:r w:rsidRPr="00040D80">
        <w:rPr>
          <w:rFonts w:ascii="Tahoma" w:hAnsi="Tahoma"/>
          <w:rtl/>
        </w:rPr>
        <w:t xml:space="preserve">קרובים </w:t>
      </w:r>
      <w:r>
        <w:rPr>
          <w:rFonts w:ascii="Tahoma" w:hAnsi="Tahoma" w:hint="cs"/>
          <w:rtl/>
        </w:rPr>
        <w:t xml:space="preserve">היכולים </w:t>
      </w:r>
      <w:r w:rsidRPr="00040D80">
        <w:rPr>
          <w:rFonts w:ascii="Tahoma" w:hAnsi="Tahoma"/>
          <w:rtl/>
        </w:rPr>
        <w:t xml:space="preserve">לסייע לו (בפרוטוקול, עמ' 27 שורה 13 ואילך). </w:t>
      </w:r>
    </w:p>
    <w:p w14:paraId="0457FFDA" w14:textId="77777777" w:rsidR="00F849FF" w:rsidRDefault="00F849FF" w:rsidP="00F849FF">
      <w:pPr>
        <w:spacing w:after="120" w:line="360" w:lineRule="auto"/>
        <w:jc w:val="both"/>
        <w:rPr>
          <w:rFonts w:ascii="Tahoma" w:hAnsi="Tahoma"/>
          <w:rtl/>
        </w:rPr>
      </w:pPr>
    </w:p>
    <w:p w14:paraId="3EFEF515" w14:textId="77777777" w:rsidR="00F849FF" w:rsidRPr="00DE411D" w:rsidRDefault="00F849FF" w:rsidP="00F849FF">
      <w:pPr>
        <w:snapToGrid w:val="0"/>
        <w:spacing w:after="120" w:line="360" w:lineRule="auto"/>
        <w:jc w:val="both"/>
        <w:rPr>
          <w:b/>
          <w:bCs/>
          <w:u w:val="single"/>
          <w:rtl/>
        </w:rPr>
      </w:pPr>
      <w:r>
        <w:rPr>
          <w:rFonts w:hint="cs"/>
          <w:b/>
          <w:bCs/>
          <w:rtl/>
        </w:rPr>
        <w:t>ד</w:t>
      </w:r>
      <w:r w:rsidRPr="00627467">
        <w:rPr>
          <w:rFonts w:hint="cs"/>
          <w:b/>
          <w:bCs/>
          <w:rtl/>
        </w:rPr>
        <w:t>.</w:t>
      </w:r>
      <w:r w:rsidRPr="00627467">
        <w:rPr>
          <w:rFonts w:hint="cs"/>
          <w:b/>
          <w:bCs/>
          <w:rtl/>
        </w:rPr>
        <w:tab/>
      </w:r>
      <w:r w:rsidRPr="00DE411D">
        <w:rPr>
          <w:rFonts w:hint="cs"/>
          <w:b/>
          <w:bCs/>
          <w:u w:val="single"/>
          <w:rtl/>
        </w:rPr>
        <w:t>דיון והכרעה:</w:t>
      </w:r>
    </w:p>
    <w:p w14:paraId="560D0AE2" w14:textId="77777777" w:rsidR="00F849FF" w:rsidRPr="00DE411D" w:rsidRDefault="00F849FF" w:rsidP="00F849FF">
      <w:pPr>
        <w:snapToGrid w:val="0"/>
        <w:spacing w:after="120" w:line="360" w:lineRule="auto"/>
        <w:jc w:val="both"/>
        <w:rPr>
          <w:u w:val="single"/>
          <w:rtl/>
        </w:rPr>
      </w:pPr>
      <w:r w:rsidRPr="00627467">
        <w:rPr>
          <w:rFonts w:hint="cs"/>
          <w:rtl/>
        </w:rPr>
        <w:t>(1)</w:t>
      </w:r>
      <w:r w:rsidRPr="00627467">
        <w:rPr>
          <w:rtl/>
        </w:rPr>
        <w:tab/>
      </w:r>
      <w:r w:rsidRPr="00DE411D">
        <w:rPr>
          <w:rFonts w:hint="cs"/>
          <w:u w:val="single"/>
          <w:rtl/>
        </w:rPr>
        <w:t>קביעת מתח</w:t>
      </w:r>
      <w:r>
        <w:rPr>
          <w:rFonts w:hint="cs"/>
          <w:u w:val="single"/>
          <w:rtl/>
        </w:rPr>
        <w:t>מי</w:t>
      </w:r>
      <w:r w:rsidRPr="00DE411D">
        <w:rPr>
          <w:rFonts w:hint="cs"/>
          <w:u w:val="single"/>
          <w:rtl/>
        </w:rPr>
        <w:t xml:space="preserve"> העונש ההול</w:t>
      </w:r>
      <w:r>
        <w:rPr>
          <w:rFonts w:hint="cs"/>
          <w:u w:val="single"/>
          <w:rtl/>
        </w:rPr>
        <w:t>מי</w:t>
      </w:r>
      <w:r w:rsidRPr="00DE411D">
        <w:rPr>
          <w:rFonts w:hint="cs"/>
          <w:u w:val="single"/>
          <w:rtl/>
        </w:rPr>
        <w:t>ם:</w:t>
      </w:r>
    </w:p>
    <w:p w14:paraId="4D675B4A" w14:textId="77777777" w:rsidR="00F849FF" w:rsidRDefault="00F849FF" w:rsidP="00F849FF">
      <w:pPr>
        <w:numPr>
          <w:ilvl w:val="0"/>
          <w:numId w:val="1"/>
        </w:numPr>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ולאחר מכן לגזור את עונשו של הנאשם בתוך מתחם העונש ההולם. קביעת מתחם העונש ההולם לכל אירוע תיעשה בהתאם </w:t>
      </w:r>
      <w:r w:rsidRPr="00627467">
        <w:rPr>
          <w:rFonts w:ascii="Tahoma" w:hAnsi="Tahoma" w:hint="cs"/>
          <w:rtl/>
        </w:rPr>
        <w:t xml:space="preserve">לעיקרון המנחה בענישה – הוא עקרון ההלימה – </w:t>
      </w:r>
      <w:r>
        <w:rPr>
          <w:rFonts w:hint="cs"/>
          <w:rtl/>
        </w:rPr>
        <w:t>תוך התחשבות בערך החברתי שנפגע מביצוע העבירות ובמידת הפגיעה בו, במדיניות הענישה הנהוגה ובנסיבות הקשורות בביצוע העבירות.</w:t>
      </w:r>
    </w:p>
    <w:p w14:paraId="112601E6" w14:textId="77777777" w:rsidR="00F849FF" w:rsidRPr="00127049" w:rsidRDefault="00F849FF" w:rsidP="00F849FF">
      <w:pPr>
        <w:numPr>
          <w:ilvl w:val="0"/>
          <w:numId w:val="1"/>
        </w:numPr>
        <w:spacing w:after="120" w:line="360" w:lineRule="auto"/>
        <w:ind w:left="720"/>
        <w:jc w:val="both"/>
        <w:rPr>
          <w:rFonts w:ascii="Tahoma" w:hAnsi="Tahoma"/>
        </w:rPr>
      </w:pPr>
      <w:r>
        <w:rPr>
          <w:rFonts w:hint="cs"/>
          <w:rtl/>
        </w:rPr>
        <w:t xml:space="preserve">מקובל עליי טיעון ב"כ המאשימה באשר לחומרת הפגיעה בערכים החברתיים, הנגרמת כתוצאה מביצוע עבירות סמים, והדברים ידועים </w:t>
      </w:r>
      <w:r>
        <w:rPr>
          <w:rtl/>
        </w:rPr>
        <w:t>–</w:t>
      </w:r>
      <w:r>
        <w:rPr>
          <w:rFonts w:hint="cs"/>
          <w:rtl/>
        </w:rPr>
        <w:t xml:space="preserve"> בבחינת מושכלות-יסוד פסיקתיים. יחד עם זאת, כאשר מדובר בגידול שתילי קנבוס, בהיקפים מצומצמים יחסית כבענייננו (והתמונות ע/1 מלמדות על כך), מדיניות הענישה הנוהגת היא מקלה בהרבה מהענישה לה טענה ב"כ המאשימה </w:t>
      </w:r>
      <w:r>
        <w:rPr>
          <w:rtl/>
        </w:rPr>
        <w:t>–</w:t>
      </w:r>
      <w:r>
        <w:rPr>
          <w:rFonts w:hint="cs"/>
          <w:rtl/>
        </w:rPr>
        <w:t xml:space="preserve"> כאשר הרף התחתון של מתחם העונש ההולם במקרים דומים נקבע פעמים רבות כענישה צופה פני עתיד או אף עונשי של"צ</w:t>
      </w:r>
      <w:r w:rsidRPr="00127049">
        <w:rPr>
          <w:rFonts w:ascii="Tahoma" w:hAnsi="Tahoma" w:hint="cs"/>
          <w:rtl/>
        </w:rPr>
        <w:t>.</w:t>
      </w:r>
    </w:p>
    <w:p w14:paraId="7A238A20" w14:textId="77777777" w:rsidR="00F849FF" w:rsidRPr="00740BCC" w:rsidRDefault="00F849FF" w:rsidP="00F849FF">
      <w:pPr>
        <w:numPr>
          <w:ilvl w:val="0"/>
          <w:numId w:val="1"/>
        </w:numPr>
        <w:spacing w:after="120" w:line="360" w:lineRule="auto"/>
        <w:ind w:left="720"/>
        <w:jc w:val="both"/>
        <w:rPr>
          <w:rFonts w:ascii="Tahoma" w:hAnsi="Tahoma"/>
        </w:rPr>
      </w:pPr>
      <w:r w:rsidRPr="00740BCC">
        <w:rPr>
          <w:rFonts w:ascii="Tahoma" w:hAnsi="Tahoma" w:hint="cs"/>
          <w:rtl/>
        </w:rPr>
        <w:t>בהקשר זה הפנה הסניגור לפסיקה רבה; וראוי להפנות גם לפסק דינו של בית המשפט המחוזי בתל-אביב ב</w:t>
      </w:r>
      <w:hyperlink r:id="rId18" w:history="1">
        <w:r w:rsidR="005D6D63" w:rsidRPr="005D6D63">
          <w:rPr>
            <w:rFonts w:ascii="Tahoma" w:hAnsi="Tahoma"/>
            <w:color w:val="0000FF"/>
            <w:u w:val="single"/>
            <w:rtl/>
          </w:rPr>
          <w:t>עפ"ג (מחוזי ת"א) 4706-10-15</w:t>
        </w:r>
      </w:hyperlink>
      <w:r w:rsidRPr="00740BCC">
        <w:rPr>
          <w:rFonts w:ascii="Tahoma" w:hAnsi="Tahoma"/>
          <w:rtl/>
        </w:rPr>
        <w:t xml:space="preserve"> </w:t>
      </w:r>
      <w:r w:rsidRPr="00740BCC">
        <w:rPr>
          <w:rFonts w:ascii="Tahoma" w:hAnsi="Tahoma"/>
          <w:b/>
          <w:bCs/>
          <w:rtl/>
        </w:rPr>
        <w:t>מדינת ישראל נ' מסרי</w:t>
      </w:r>
      <w:r w:rsidRPr="00740BCC">
        <w:rPr>
          <w:rFonts w:ascii="Tahoma" w:hAnsi="Tahoma"/>
          <w:rtl/>
        </w:rPr>
        <w:t xml:space="preserve"> (23.11.2015)</w:t>
      </w:r>
      <w:r w:rsidRPr="00740BCC">
        <w:rPr>
          <w:rFonts w:ascii="Tahoma" w:hAnsi="Tahoma" w:hint="cs"/>
          <w:rtl/>
        </w:rPr>
        <w:t xml:space="preserve">. באותו מקרה דובר במעבדת סמים מסוכנים, בהיקף דומה לענייננו מבחינת משקל הסמים אך בנסיבות חמורות יותר של שניים שחברו יחדיו לביצוע העבירות ואף שכרו חדר לצורך זה. בית המשפט המחוזי קיבל את ערעור המדינה על ביטול הרשעתו בדין של המשיב דשם, אך לא התערב בענישה של של"צ בלבד (לעניין מתחם העונש ההולם ר' גם </w:t>
      </w:r>
      <w:hyperlink r:id="rId19" w:history="1">
        <w:r w:rsidR="005D6D63" w:rsidRPr="005D6D63">
          <w:rPr>
            <w:rFonts w:ascii="Tahoma" w:hAnsi="Tahoma"/>
            <w:color w:val="0000FF"/>
            <w:u w:val="single"/>
            <w:rtl/>
          </w:rPr>
          <w:t>רע"פ 8237/15</w:t>
        </w:r>
      </w:hyperlink>
      <w:r w:rsidRPr="00740BCC">
        <w:rPr>
          <w:rFonts w:ascii="Tahoma" w:hAnsi="Tahoma"/>
          <w:rtl/>
        </w:rPr>
        <w:t xml:space="preserve"> </w:t>
      </w:r>
      <w:r w:rsidRPr="00740BCC">
        <w:rPr>
          <w:rFonts w:ascii="Tahoma" w:hAnsi="Tahoma"/>
          <w:b/>
          <w:bCs/>
          <w:rtl/>
        </w:rPr>
        <w:t>בן זקן נ' מדינת ישראל</w:t>
      </w:r>
      <w:r w:rsidRPr="00740BCC">
        <w:rPr>
          <w:rFonts w:ascii="Tahoma" w:hAnsi="Tahoma"/>
          <w:rtl/>
        </w:rPr>
        <w:t xml:space="preserve"> (02.12.2015)</w:t>
      </w:r>
      <w:r w:rsidRPr="00740BCC">
        <w:rPr>
          <w:rFonts w:ascii="Tahoma" w:hAnsi="Tahoma" w:hint="cs"/>
          <w:rtl/>
        </w:rPr>
        <w:t xml:space="preserve">, בפסקה 3 להחלטה, </w:t>
      </w:r>
      <w:r>
        <w:rPr>
          <w:rFonts w:ascii="Tahoma" w:hAnsi="Tahoma" w:hint="cs"/>
          <w:rtl/>
        </w:rPr>
        <w:t>ו</w:t>
      </w:r>
      <w:r w:rsidRPr="00740BCC">
        <w:rPr>
          <w:rFonts w:ascii="Tahoma" w:hAnsi="Tahoma" w:hint="cs"/>
          <w:rtl/>
        </w:rPr>
        <w:t xml:space="preserve">השווה </w:t>
      </w:r>
      <w:r>
        <w:rPr>
          <w:rFonts w:ascii="Tahoma" w:hAnsi="Tahoma" w:hint="cs"/>
          <w:rtl/>
        </w:rPr>
        <w:t>ל</w:t>
      </w:r>
      <w:hyperlink r:id="rId20" w:history="1">
        <w:r w:rsidR="005D6D63" w:rsidRPr="005D6D63">
          <w:rPr>
            <w:rFonts w:ascii="Tahoma" w:hAnsi="Tahoma"/>
            <w:color w:val="0000FF"/>
            <w:u w:val="single"/>
            <w:rtl/>
          </w:rPr>
          <w:t>ת"פ (שלום ת"א) 23797-03-14</w:t>
        </w:r>
      </w:hyperlink>
      <w:r w:rsidRPr="00740BCC">
        <w:rPr>
          <w:rFonts w:ascii="Tahoma" w:hAnsi="Tahoma"/>
          <w:rtl/>
        </w:rPr>
        <w:t xml:space="preserve"> </w:t>
      </w:r>
      <w:r w:rsidRPr="00740BCC">
        <w:rPr>
          <w:rFonts w:ascii="Tahoma" w:hAnsi="Tahoma"/>
          <w:b/>
          <w:bCs/>
          <w:rtl/>
        </w:rPr>
        <w:t>מדינת ישראל נ' אביב</w:t>
      </w:r>
      <w:r w:rsidRPr="00740BCC">
        <w:rPr>
          <w:rFonts w:ascii="Tahoma" w:hAnsi="Tahoma"/>
          <w:rtl/>
        </w:rPr>
        <w:t xml:space="preserve"> (01.12.2015)</w:t>
      </w:r>
      <w:r w:rsidRPr="00740BCC">
        <w:rPr>
          <w:rFonts w:ascii="Tahoma" w:hAnsi="Tahoma" w:hint="cs"/>
          <w:rtl/>
        </w:rPr>
        <w:t>).</w:t>
      </w:r>
    </w:p>
    <w:p w14:paraId="4076E8F5" w14:textId="77777777" w:rsidR="00F849FF" w:rsidRDefault="00F849FF" w:rsidP="00F849FF">
      <w:pPr>
        <w:numPr>
          <w:ilvl w:val="0"/>
          <w:numId w:val="1"/>
        </w:numPr>
        <w:spacing w:after="120" w:line="360" w:lineRule="auto"/>
        <w:ind w:left="720"/>
        <w:jc w:val="both"/>
        <w:rPr>
          <w:rFonts w:ascii="Tahoma" w:hAnsi="Tahoma"/>
        </w:rPr>
      </w:pPr>
      <w:r>
        <w:rPr>
          <w:rFonts w:ascii="Tahoma" w:hAnsi="Tahoma" w:hint="cs"/>
          <w:rtl/>
        </w:rPr>
        <w:t>לפיכך ולאור כל המקובץ אני קובע את מתחם העונש ההולם, לאירוע מושא כתב האישום, בין רף תחתון של ענישה צופה פני עתיד לבין ענישה של 9 חודשי מאסר בפועל.</w:t>
      </w:r>
    </w:p>
    <w:p w14:paraId="2CD3D83F" w14:textId="77777777" w:rsidR="00F849FF" w:rsidRPr="00761D70" w:rsidRDefault="00F849FF" w:rsidP="00F849FF">
      <w:pPr>
        <w:spacing w:after="120" w:line="360" w:lineRule="auto"/>
        <w:jc w:val="both"/>
        <w:rPr>
          <w:rtl/>
        </w:rPr>
      </w:pPr>
    </w:p>
    <w:p w14:paraId="561BA92D" w14:textId="77777777" w:rsidR="00F849FF" w:rsidRPr="00DE411D" w:rsidRDefault="00F849FF" w:rsidP="00F849FF">
      <w:pPr>
        <w:snapToGrid w:val="0"/>
        <w:spacing w:after="120" w:line="360" w:lineRule="auto"/>
        <w:jc w:val="both"/>
        <w:rPr>
          <w:u w:val="single"/>
          <w:rtl/>
        </w:rPr>
      </w:pPr>
      <w:r w:rsidRPr="00627467">
        <w:rPr>
          <w:rFonts w:hint="cs"/>
          <w:rtl/>
        </w:rPr>
        <w:t>(2)</w:t>
      </w:r>
      <w:r w:rsidRPr="00627467">
        <w:rPr>
          <w:rtl/>
        </w:rPr>
        <w:tab/>
      </w:r>
      <w:r>
        <w:rPr>
          <w:rFonts w:hint="cs"/>
          <w:u w:val="single"/>
          <w:rtl/>
        </w:rPr>
        <w:t>גזירת עונשו של הנאשם בתוך מתחם</w:t>
      </w:r>
      <w:r w:rsidRPr="00DE411D">
        <w:rPr>
          <w:rFonts w:hint="cs"/>
          <w:u w:val="single"/>
          <w:rtl/>
        </w:rPr>
        <w:t xml:space="preserve"> העונש ההולם:</w:t>
      </w:r>
    </w:p>
    <w:p w14:paraId="7E35F757" w14:textId="77777777" w:rsidR="00F849FF" w:rsidRDefault="00F849FF" w:rsidP="00F849FF">
      <w:pPr>
        <w:numPr>
          <w:ilvl w:val="0"/>
          <w:numId w:val="1"/>
        </w:numPr>
        <w:spacing w:after="120" w:line="360" w:lineRule="auto"/>
        <w:ind w:left="720"/>
        <w:jc w:val="both"/>
        <w:rPr>
          <w:rFonts w:ascii="Tahoma" w:hAnsi="Tahoma"/>
        </w:rPr>
      </w:pPr>
      <w:r>
        <w:rPr>
          <w:rFonts w:hint="cs"/>
          <w:rtl/>
        </w:rPr>
        <w:t>לאחר קביעת מתחם העונש ההולם על בית המשפט לגזור את עונשו של הנאשם בתוך מתחם זה, תוך התחשבות בנסיבות שאינן קשורות בביצוע העבירות.</w:t>
      </w:r>
    </w:p>
    <w:p w14:paraId="775EB632" w14:textId="77777777" w:rsidR="00F849FF" w:rsidRPr="00627467" w:rsidRDefault="00F849FF" w:rsidP="00F849FF">
      <w:pPr>
        <w:numPr>
          <w:ilvl w:val="0"/>
          <w:numId w:val="1"/>
        </w:numPr>
        <w:spacing w:after="120" w:line="360" w:lineRule="auto"/>
        <w:ind w:left="720"/>
        <w:jc w:val="both"/>
        <w:rPr>
          <w:rFonts w:ascii="Tahoma" w:hAnsi="Tahoma"/>
        </w:rPr>
      </w:pPr>
      <w:r>
        <w:rPr>
          <w:rFonts w:hint="cs"/>
          <w:rtl/>
        </w:rPr>
        <w:t>באשר לנאשם שלפניי, השיקולים הרלוואנטיים לגזירת עונשו הם כלהלן:</w:t>
      </w:r>
    </w:p>
    <w:p w14:paraId="07808418" w14:textId="77777777" w:rsidR="00F849FF" w:rsidRDefault="00F849FF" w:rsidP="00F849FF">
      <w:pPr>
        <w:snapToGrid w:val="0"/>
        <w:spacing w:after="120" w:line="360" w:lineRule="auto"/>
        <w:ind w:left="144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אין הרשעות קודמות או מאוחרות לעבירות מושא כתב האישום. מדובר, כמובן, בנסיבה מהותית לקולת העונש.</w:t>
      </w:r>
    </w:p>
    <w:p w14:paraId="68583DCB" w14:textId="77777777" w:rsidR="00F849FF" w:rsidRDefault="00F849FF" w:rsidP="00F849FF">
      <w:pPr>
        <w:snapToGrid w:val="0"/>
        <w:spacing w:after="120" w:line="360" w:lineRule="auto"/>
        <w:ind w:left="144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w:t>
      </w:r>
      <w:r>
        <w:rPr>
          <w:rFonts w:hint="cs"/>
          <w:rtl/>
        </w:rPr>
        <w:t>אמו, בה הוא תומך, ויש להתחשב בנתונים אלה.</w:t>
      </w:r>
    </w:p>
    <w:p w14:paraId="1C4793FA" w14:textId="77777777" w:rsidR="00F849FF" w:rsidRDefault="00F849FF" w:rsidP="00F849FF">
      <w:pPr>
        <w:snapToGrid w:val="0"/>
        <w:spacing w:after="120" w:line="360" w:lineRule="auto"/>
        <w:ind w:left="144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ובכך חסך מזמנם של העדים, הצדדים ובית המשפט. פשיטא כי נסיבות אלה יש לזקוף לזכותו של הנאשם.</w:t>
      </w:r>
    </w:p>
    <w:p w14:paraId="0104A1A2" w14:textId="77777777" w:rsidR="00F849FF" w:rsidRDefault="00F849FF" w:rsidP="00F849FF">
      <w:pPr>
        <w:snapToGrid w:val="0"/>
        <w:spacing w:after="120" w:line="360" w:lineRule="auto"/>
        <w:ind w:left="1440"/>
        <w:jc w:val="both"/>
        <w:rPr>
          <w:rtl/>
        </w:rPr>
      </w:pPr>
      <w:r w:rsidRPr="00627467">
        <w:rPr>
          <w:rFonts w:hint="cs"/>
          <w:b/>
          <w:bCs/>
          <w:rtl/>
        </w:rPr>
        <w:t xml:space="preserve">נתוניו האישיים של הנאשם ונסיבות חייו </w:t>
      </w:r>
      <w:r>
        <w:rPr>
          <w:rtl/>
        </w:rPr>
        <w:t>–</w:t>
      </w:r>
      <w:r>
        <w:rPr>
          <w:rFonts w:hint="cs"/>
          <w:rtl/>
        </w:rPr>
        <w:t xml:space="preserve"> הנאשם יליד שנת 1972, בעל נסיבות חיים מורכבות, לרבות בשל קשיי העלייה ארצה, והכל כפי שפורט בהרחבה בתסקירי שירות המבחן. יתר על כן, תסקירי שירות המבחן משקפים תהליך משמעותי שערך הנאשם, למעשה מהפך ממש באורחות חייו, שבמסגרתו נגמל הנאשם משימוש מתמשך בסמים מסוכנים.</w:t>
      </w:r>
    </w:p>
    <w:p w14:paraId="29B98617" w14:textId="77777777" w:rsidR="00F849FF" w:rsidRDefault="00F849FF" w:rsidP="00F849FF">
      <w:pPr>
        <w:snapToGrid w:val="0"/>
        <w:spacing w:after="120" w:line="360" w:lineRule="auto"/>
        <w:ind w:left="1440"/>
        <w:jc w:val="both"/>
        <w:rPr>
          <w:rtl/>
        </w:rPr>
      </w:pPr>
      <w:r>
        <w:rPr>
          <w:rFonts w:hint="cs"/>
          <w:b/>
          <w:bCs/>
          <w:rtl/>
        </w:rPr>
        <w:t>חלוף הזמן מעת ביצוע העבירות –</w:t>
      </w:r>
      <w:r>
        <w:rPr>
          <w:rFonts w:hint="cs"/>
          <w:rtl/>
        </w:rPr>
        <w:t xml:space="preserve"> מאז ביצוע העבירות מושא כתב האישום כבר חלפו ארבע שנים. אמנם חלק לא מבוטל מהתמשכות ההליך נגרמה בשל בקשות דחייה של ההגנה, כך שבעניין זה אין לנאשם להלין אלא על עצמו, אך יחד עם זאת העובדה שבפרק זמן ממושך זה לא שב הנאשם לדרכי עבירה מהווה נסיבה מקלה.</w:t>
      </w:r>
    </w:p>
    <w:p w14:paraId="4D59E9B6" w14:textId="77777777" w:rsidR="00F849FF" w:rsidRPr="00490812" w:rsidRDefault="00F849FF" w:rsidP="00F849FF">
      <w:pPr>
        <w:numPr>
          <w:ilvl w:val="0"/>
          <w:numId w:val="1"/>
        </w:numPr>
        <w:spacing w:after="120" w:line="360" w:lineRule="auto"/>
        <w:ind w:left="720"/>
        <w:jc w:val="both"/>
        <w:rPr>
          <w:rFonts w:ascii="Tahoma" w:hAnsi="Tahoma"/>
        </w:rPr>
      </w:pPr>
      <w:r>
        <w:rPr>
          <w:rFonts w:hint="cs"/>
          <w:rtl/>
        </w:rPr>
        <w:t xml:space="preserve">מכלול הנסיבות והשיקולים שפורטו לעיל </w:t>
      </w:r>
      <w:r>
        <w:rPr>
          <w:rtl/>
        </w:rPr>
        <w:t>–</w:t>
      </w:r>
      <w:r>
        <w:rPr>
          <w:rFonts w:hint="cs"/>
          <w:rtl/>
        </w:rPr>
        <w:t xml:space="preserve"> בוודאי בהצטרפותם להמלצות שירות המבחן </w:t>
      </w:r>
      <w:r>
        <w:rPr>
          <w:rtl/>
        </w:rPr>
        <w:t>–</w:t>
      </w:r>
      <w:r>
        <w:rPr>
          <w:rFonts w:hint="cs"/>
          <w:rtl/>
        </w:rPr>
        <w:t xml:space="preserve"> מלמד כי במקרה זה נסיבות הקולה עולות במשקלן על נסיבות החומרה</w:t>
      </w:r>
      <w:r>
        <w:rPr>
          <w:rFonts w:ascii="Tahoma" w:hAnsi="Tahoma" w:hint="cs"/>
          <w:rtl/>
        </w:rPr>
        <w:t>,</w:t>
      </w:r>
      <w:r w:rsidRPr="00490812">
        <w:rPr>
          <w:rFonts w:ascii="Tahoma" w:hAnsi="Tahoma" w:hint="cs"/>
          <w:rtl/>
        </w:rPr>
        <w:t xml:space="preserve"> </w:t>
      </w:r>
      <w:r>
        <w:rPr>
          <w:rFonts w:ascii="Tahoma" w:hAnsi="Tahoma" w:hint="cs"/>
          <w:rtl/>
        </w:rPr>
        <w:t>באופן ש</w:t>
      </w:r>
      <w:r w:rsidRPr="00490812">
        <w:rPr>
          <w:rFonts w:ascii="Tahoma" w:hAnsi="Tahoma" w:hint="cs"/>
          <w:rtl/>
        </w:rPr>
        <w:t>יש לגזור את עונשו של הנאשם ברף התחתון של מתחם העונש ההולם.</w:t>
      </w:r>
    </w:p>
    <w:p w14:paraId="0D67C9CB" w14:textId="77777777" w:rsidR="00F849FF" w:rsidRDefault="00F849FF" w:rsidP="00F849FF">
      <w:pPr>
        <w:spacing w:after="120" w:line="360" w:lineRule="auto"/>
        <w:jc w:val="both"/>
        <w:rPr>
          <w:rtl/>
        </w:rPr>
      </w:pPr>
    </w:p>
    <w:p w14:paraId="61B5244C" w14:textId="77777777" w:rsidR="00F849FF" w:rsidRPr="00DE411D" w:rsidRDefault="00F849FF" w:rsidP="00F849FF">
      <w:pPr>
        <w:snapToGrid w:val="0"/>
        <w:spacing w:after="120" w:line="360" w:lineRule="auto"/>
        <w:jc w:val="both"/>
        <w:rPr>
          <w:b/>
          <w:bCs/>
          <w:u w:val="single"/>
          <w:rtl/>
        </w:rPr>
      </w:pPr>
      <w:r>
        <w:rPr>
          <w:rFonts w:hint="cs"/>
          <w:b/>
          <w:bCs/>
          <w:rtl/>
        </w:rPr>
        <w:t>ד</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7D3E503F" w14:textId="77777777" w:rsidR="00F849FF" w:rsidRPr="00120D59" w:rsidRDefault="00F849FF" w:rsidP="00F849FF">
      <w:pPr>
        <w:numPr>
          <w:ilvl w:val="0"/>
          <w:numId w:val="1"/>
        </w:numPr>
        <w:spacing w:after="120" w:line="360" w:lineRule="auto"/>
        <w:ind w:left="72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A997C84" w14:textId="77777777" w:rsidR="00F849FF" w:rsidRDefault="00F849FF" w:rsidP="00F849FF">
      <w:pPr>
        <w:spacing w:after="120" w:line="360" w:lineRule="auto"/>
        <w:ind w:left="1440" w:hanging="720"/>
        <w:jc w:val="both"/>
        <w:rPr>
          <w:rFonts w:ascii="Tahoma" w:hAnsi="Tahoma"/>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מסוג פשע לפי </w:t>
      </w:r>
      <w:hyperlink r:id="rId21" w:history="1">
        <w:r w:rsidR="005D6D63" w:rsidRPr="005D6D63">
          <w:rPr>
            <w:color w:val="0000FF"/>
            <w:u w:val="single"/>
            <w:rtl/>
          </w:rPr>
          <w:t>פקודת הסמים המסוכנים</w:t>
        </w:r>
      </w:hyperlink>
      <w:r>
        <w:rPr>
          <w:rFonts w:hint="cs"/>
          <w:rtl/>
        </w:rPr>
        <w:t>.</w:t>
      </w:r>
    </w:p>
    <w:p w14:paraId="4D4AC911" w14:textId="77777777" w:rsidR="00F849FF" w:rsidRDefault="00F849FF" w:rsidP="00F849FF">
      <w:pPr>
        <w:spacing w:after="120" w:line="360" w:lineRule="auto"/>
        <w:ind w:left="720"/>
        <w:jc w:val="both"/>
        <w:rPr>
          <w:rFonts w:ascii="Tahoma" w:hAnsi="Tahoma"/>
          <w:rtl/>
        </w:rPr>
      </w:pPr>
      <w:r>
        <w:rPr>
          <w:rFonts w:hint="cs"/>
          <w:rtl/>
        </w:rPr>
        <w:t>(ב)</w:t>
      </w:r>
      <w:r>
        <w:rPr>
          <w:rtl/>
        </w:rPr>
        <w:tab/>
      </w:r>
      <w:r>
        <w:rPr>
          <w:rFonts w:hint="cs"/>
          <w:rtl/>
        </w:rPr>
        <w:t>קנס בסך של 2,000 ₪, או 10 ימי מאסר תמורתו.</w:t>
      </w:r>
    </w:p>
    <w:p w14:paraId="49106758" w14:textId="77777777" w:rsidR="00F849FF" w:rsidRPr="00E0628E" w:rsidRDefault="00F849FF" w:rsidP="00F849FF">
      <w:pPr>
        <w:spacing w:after="120" w:line="360" w:lineRule="auto"/>
        <w:ind w:left="1440"/>
        <w:jc w:val="both"/>
        <w:rPr>
          <w:rFonts w:ascii="Tahoma" w:hAnsi="Tahoma"/>
        </w:rPr>
      </w:pPr>
      <w:r>
        <w:rPr>
          <w:rFonts w:ascii="Tahoma" w:hAnsi="Tahoma" w:hint="cs"/>
          <w:rtl/>
        </w:rPr>
        <w:t>בהסכמת הנאשם הקנס ישולם מתוך הפיקדון אותו הפקיד בתיק המעצר, כאשר היתרה, בסך של 500 ₪, תשולם עד ליום 01.06.19.</w:t>
      </w:r>
    </w:p>
    <w:p w14:paraId="15597077" w14:textId="77777777" w:rsidR="00F849FF" w:rsidRPr="009E2A50" w:rsidRDefault="00F849FF" w:rsidP="00F849FF">
      <w:pPr>
        <w:spacing w:after="120" w:line="360" w:lineRule="auto"/>
        <w:ind w:left="1440" w:hanging="720"/>
        <w:jc w:val="both"/>
        <w:rPr>
          <w:rFonts w:ascii="Tahoma" w:hAnsi="Tahoma"/>
          <w:rtl/>
        </w:rPr>
      </w:pPr>
      <w:r w:rsidRPr="00F849FF">
        <w:rPr>
          <w:rFonts w:ascii="Calibri" w:hAnsi="Calibri" w:hint="cs"/>
          <w:rtl/>
        </w:rPr>
        <w:t xml:space="preserve"> (ג)</w:t>
      </w:r>
      <w:r w:rsidRPr="00F849FF">
        <w:rPr>
          <w:rFonts w:ascii="Calibri" w:hAnsi="Calibri"/>
          <w:rtl/>
        </w:rPr>
        <w:tab/>
        <w:t xml:space="preserve">שירות לתועלת הציבור בהיקף של </w:t>
      </w:r>
      <w:r w:rsidRPr="00F849FF">
        <w:rPr>
          <w:rFonts w:ascii="Calibri" w:hAnsi="Calibri" w:hint="cs"/>
          <w:rtl/>
        </w:rPr>
        <w:t>200</w:t>
      </w:r>
      <w:r w:rsidRPr="00F849FF">
        <w:rPr>
          <w:rFonts w:ascii="Calibri" w:hAnsi="Calibri"/>
          <w:rtl/>
        </w:rPr>
        <w:t xml:space="preserve"> שעות. השירות יבוצע, בהתאם</w:t>
      </w:r>
      <w:r w:rsidRPr="00F849FF">
        <w:rPr>
          <w:rFonts w:ascii="Calibri" w:hAnsi="Calibri" w:hint="cs"/>
          <w:rtl/>
        </w:rPr>
        <w:t xml:space="preserve"> </w:t>
      </w:r>
      <w:r w:rsidRPr="00F849FF">
        <w:rPr>
          <w:rFonts w:ascii="Calibri" w:hAnsi="Calibri"/>
          <w:rtl/>
        </w:rPr>
        <w:t>לתכנית שגיבש שירות המבחן</w:t>
      </w:r>
      <w:r w:rsidRPr="00F849FF">
        <w:rPr>
          <w:rFonts w:ascii="Calibri" w:hAnsi="Calibri" w:hint="cs"/>
          <w:rtl/>
        </w:rPr>
        <w:t xml:space="preserve"> בתסקיר מיום 04.03.19, החל מיום 22.05.19 או במועד אחר שייקבע שירות המבחן.</w:t>
      </w:r>
    </w:p>
    <w:p w14:paraId="233C4260" w14:textId="77777777" w:rsidR="00F849FF" w:rsidRPr="00F849FF" w:rsidRDefault="00F849FF" w:rsidP="00F849FF">
      <w:pPr>
        <w:spacing w:after="120" w:line="360" w:lineRule="auto"/>
        <w:ind w:left="1440"/>
        <w:jc w:val="both"/>
        <w:rPr>
          <w:rFonts w:ascii="Calibri" w:hAnsi="Calibri"/>
          <w:rtl/>
        </w:rPr>
      </w:pPr>
      <w:r w:rsidRPr="00F849FF">
        <w:rPr>
          <w:rFonts w:ascii="Calibri" w:hAnsi="Calibri"/>
          <w:rtl/>
        </w:rPr>
        <w:t xml:space="preserve">מובהר בזה לנאשם כי אם הוא לא ימלא אחר </w:t>
      </w:r>
      <w:r w:rsidRPr="00F849FF">
        <w:rPr>
          <w:rFonts w:ascii="Calibri" w:hAnsi="Calibri" w:hint="cs"/>
          <w:rtl/>
        </w:rPr>
        <w:t xml:space="preserve">הוראות </w:t>
      </w:r>
      <w:r w:rsidRPr="00F849FF">
        <w:rPr>
          <w:rFonts w:ascii="Calibri" w:hAnsi="Calibri"/>
          <w:rtl/>
        </w:rPr>
        <w:t>צו השירות יהא בית המשפט רשאי</w:t>
      </w:r>
      <w:r w:rsidRPr="00F849FF">
        <w:rPr>
          <w:rFonts w:ascii="Calibri" w:hAnsi="Calibri" w:hint="cs"/>
          <w:rtl/>
        </w:rPr>
        <w:t xml:space="preserve"> </w:t>
      </w:r>
      <w:r w:rsidRPr="00F849FF">
        <w:rPr>
          <w:rFonts w:ascii="Calibri" w:hAnsi="Calibri"/>
          <w:rtl/>
        </w:rPr>
        <w:t>לבטל את צו השירות ולהטיל עליו, במקו</w:t>
      </w:r>
      <w:r w:rsidRPr="00F849FF">
        <w:rPr>
          <w:rFonts w:ascii="Calibri" w:hAnsi="Calibri" w:hint="cs"/>
          <w:rtl/>
        </w:rPr>
        <w:t>ם צו השירות</w:t>
      </w:r>
      <w:r w:rsidRPr="00F849FF">
        <w:rPr>
          <w:rFonts w:ascii="Calibri" w:hAnsi="Calibri"/>
          <w:rtl/>
        </w:rPr>
        <w:t>, עונש נוסף.</w:t>
      </w:r>
    </w:p>
    <w:p w14:paraId="59CB18BE" w14:textId="77777777" w:rsidR="00F849FF" w:rsidRPr="00F849FF" w:rsidRDefault="00F849FF" w:rsidP="00F849FF">
      <w:pPr>
        <w:spacing w:after="120" w:line="360" w:lineRule="auto"/>
        <w:ind w:left="1440" w:hanging="720"/>
        <w:jc w:val="both"/>
        <w:rPr>
          <w:rFonts w:ascii="Calibri" w:hAnsi="Calibri"/>
          <w:rtl/>
        </w:rPr>
      </w:pPr>
      <w:r w:rsidRPr="00F849FF">
        <w:rPr>
          <w:rFonts w:ascii="Calibri" w:hAnsi="Calibri" w:hint="cs"/>
          <w:rtl/>
        </w:rPr>
        <w:t>(ד)</w:t>
      </w:r>
      <w:r w:rsidRPr="00F849FF">
        <w:rPr>
          <w:rFonts w:ascii="Calibri" w:hAnsi="Calibri"/>
          <w:rtl/>
        </w:rPr>
        <w:tab/>
      </w:r>
      <w:r w:rsidRPr="00F849FF">
        <w:rPr>
          <w:rFonts w:ascii="Calibri" w:hAnsi="Calibri" w:hint="cs"/>
          <w:rtl/>
        </w:rPr>
        <w:t>צו מבחן, לתקופה של 12 חודשים מהיום.</w:t>
      </w:r>
    </w:p>
    <w:p w14:paraId="5F810FE2" w14:textId="77777777" w:rsidR="00F849FF" w:rsidRPr="00F849FF" w:rsidRDefault="00F849FF" w:rsidP="00F849FF">
      <w:pPr>
        <w:spacing w:after="120" w:line="360" w:lineRule="auto"/>
        <w:ind w:left="1440"/>
        <w:jc w:val="both"/>
        <w:rPr>
          <w:rFonts w:ascii="Calibri" w:hAnsi="Calibri"/>
          <w:rtl/>
        </w:rPr>
      </w:pPr>
      <w:r w:rsidRPr="00F849FF">
        <w:rPr>
          <w:rFonts w:ascii="Calibri" w:hAnsi="Calibri"/>
          <w:rtl/>
        </w:rPr>
        <w:t xml:space="preserve">מובהר בזה לנאשם כי אם הוא לא ימלא אחר </w:t>
      </w:r>
      <w:r w:rsidRPr="00F849FF">
        <w:rPr>
          <w:rFonts w:ascii="Calibri" w:hAnsi="Calibri" w:hint="cs"/>
          <w:rtl/>
        </w:rPr>
        <w:t xml:space="preserve">הוראות </w:t>
      </w:r>
      <w:r w:rsidRPr="00F849FF">
        <w:rPr>
          <w:rFonts w:ascii="Calibri" w:hAnsi="Calibri"/>
          <w:rtl/>
        </w:rPr>
        <w:t>צו ה</w:t>
      </w:r>
      <w:r w:rsidRPr="00F849FF">
        <w:rPr>
          <w:rFonts w:ascii="Calibri" w:hAnsi="Calibri" w:hint="cs"/>
          <w:rtl/>
        </w:rPr>
        <w:t xml:space="preserve">מבחן ולא ישתף פעולה עם קצין המבחן, </w:t>
      </w:r>
      <w:r w:rsidRPr="00F849FF">
        <w:rPr>
          <w:rFonts w:ascii="Calibri" w:hAnsi="Calibri"/>
          <w:rtl/>
        </w:rPr>
        <w:t>יהא בית המשפט רשאי</w:t>
      </w:r>
      <w:r w:rsidRPr="00F849FF">
        <w:rPr>
          <w:rFonts w:ascii="Calibri" w:hAnsi="Calibri" w:hint="cs"/>
          <w:rtl/>
        </w:rPr>
        <w:t xml:space="preserve"> </w:t>
      </w:r>
      <w:r w:rsidRPr="00F849FF">
        <w:rPr>
          <w:rFonts w:ascii="Calibri" w:hAnsi="Calibri"/>
          <w:rtl/>
        </w:rPr>
        <w:t>לבטל את צו ה</w:t>
      </w:r>
      <w:r w:rsidRPr="00F849FF">
        <w:rPr>
          <w:rFonts w:ascii="Calibri" w:hAnsi="Calibri" w:hint="cs"/>
          <w:rtl/>
        </w:rPr>
        <w:t>מבחן ולגזור עליו, במקומו, עונש נוסף.</w:t>
      </w:r>
    </w:p>
    <w:p w14:paraId="754B294A" w14:textId="77777777" w:rsidR="00F849FF" w:rsidRDefault="00F849FF" w:rsidP="00F849FF">
      <w:pPr>
        <w:spacing w:after="120" w:line="360" w:lineRule="auto"/>
        <w:jc w:val="both"/>
        <w:rPr>
          <w:rtl/>
        </w:rPr>
      </w:pPr>
      <w:r>
        <w:rPr>
          <w:rFonts w:hint="cs"/>
          <w:rtl/>
        </w:rPr>
        <w:t>ניתן בזה צו כללי, לעניין מוצגים, לשיקול דעתו של קצין משטרה. הסמים יושמדו.</w:t>
      </w:r>
    </w:p>
    <w:p w14:paraId="5F7BF411" w14:textId="77777777" w:rsidR="00F849FF" w:rsidRDefault="00F849FF" w:rsidP="00F849FF">
      <w:pPr>
        <w:snapToGrid w:val="0"/>
        <w:spacing w:after="120" w:line="360" w:lineRule="auto"/>
        <w:jc w:val="both"/>
        <w:rPr>
          <w:rtl/>
        </w:rPr>
      </w:pPr>
      <w:r>
        <w:rPr>
          <w:rFonts w:hint="cs"/>
          <w:rtl/>
        </w:rPr>
        <w:t>זכות ערעור בתוך 45 יום מהיום.</w:t>
      </w:r>
    </w:p>
    <w:p w14:paraId="314F1781" w14:textId="77777777" w:rsidR="00F849FF" w:rsidRPr="00761D70" w:rsidRDefault="005D6D63" w:rsidP="00F849FF">
      <w:pPr>
        <w:spacing w:after="120" w:line="360" w:lineRule="auto"/>
        <w:jc w:val="both"/>
        <w:rPr>
          <w:rFonts w:ascii="Tahoma" w:hAnsi="Tahoma"/>
          <w:rtl/>
        </w:rPr>
      </w:pPr>
      <w:r w:rsidRPr="005D6D63">
        <w:rPr>
          <w:color w:val="FFFFFF"/>
          <w:sz w:val="2"/>
          <w:szCs w:val="2"/>
          <w:rtl/>
        </w:rPr>
        <w:t>5129371</w:t>
      </w:r>
      <w:r w:rsidR="00F849FF">
        <w:rPr>
          <w:rFonts w:hint="cs"/>
          <w:rtl/>
        </w:rPr>
        <w:t>המזכירות תשלח העתק גזר דין זה לשירות המבחן.</w:t>
      </w:r>
    </w:p>
    <w:p w14:paraId="424575D9" w14:textId="77777777" w:rsidR="00F849FF" w:rsidRPr="00250B83" w:rsidRDefault="005D6D63" w:rsidP="00F849FF">
      <w:pPr>
        <w:rPr>
          <w:rtl/>
        </w:rPr>
      </w:pPr>
      <w:r w:rsidRPr="005D6D63">
        <w:rPr>
          <w:rFonts w:ascii="Arial" w:hAnsi="Arial"/>
          <w:color w:val="FFFFFF"/>
          <w:sz w:val="2"/>
          <w:szCs w:val="2"/>
          <w:rtl/>
        </w:rPr>
        <w:t>54678313</w:t>
      </w:r>
      <w:r>
        <w:rPr>
          <w:rFonts w:ascii="Arial" w:hAnsi="Arial"/>
          <w:rtl/>
        </w:rPr>
        <w:t xml:space="preserve">ניתן היום,  ט' ניסן תשע"ט, 14 אפריל 2019, במעמד הצדדים. </w:t>
      </w:r>
    </w:p>
    <w:p w14:paraId="7DC6D255" w14:textId="77777777" w:rsidR="00F849FF" w:rsidRPr="00250B83" w:rsidRDefault="00F849FF" w:rsidP="00F849F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4F7FF22D" w14:textId="77777777" w:rsidR="00F849FF" w:rsidRPr="00250B83" w:rsidRDefault="00F849FF" w:rsidP="00F849FF">
      <w:pPr>
        <w:jc w:val="center"/>
        <w:rPr>
          <w:rFonts w:ascii="Arial" w:hAnsi="Arial"/>
          <w:rtl/>
        </w:rPr>
      </w:pPr>
    </w:p>
    <w:p w14:paraId="7A7A8661" w14:textId="77777777" w:rsidR="00F849FF" w:rsidRPr="00250B83" w:rsidRDefault="00F849FF" w:rsidP="00F849FF">
      <w:pPr>
        <w:rPr>
          <w:rtl/>
        </w:rPr>
      </w:pPr>
    </w:p>
    <w:p w14:paraId="498235DE" w14:textId="77777777" w:rsidR="00F849FF" w:rsidRDefault="00F849FF" w:rsidP="00F849FF">
      <w:pPr>
        <w:pStyle w:val="a3"/>
        <w:jc w:val="center"/>
        <w:rPr>
          <w:rtl/>
        </w:rPr>
      </w:pPr>
    </w:p>
    <w:p w14:paraId="23595E97" w14:textId="77777777" w:rsidR="00236317" w:rsidRPr="005D6D63" w:rsidRDefault="00236317" w:rsidP="005D6D63">
      <w:pPr>
        <w:keepNext/>
        <w:rPr>
          <w:rFonts w:ascii="David" w:hAnsi="David"/>
          <w:color w:val="000000"/>
          <w:sz w:val="22"/>
          <w:szCs w:val="22"/>
          <w:rtl/>
        </w:rPr>
      </w:pPr>
    </w:p>
    <w:p w14:paraId="368E91A3" w14:textId="77777777" w:rsidR="005D6D63" w:rsidRPr="005D6D63" w:rsidRDefault="005D6D63" w:rsidP="005D6D63">
      <w:pPr>
        <w:keepNext/>
        <w:rPr>
          <w:rFonts w:ascii="David" w:hAnsi="David"/>
          <w:color w:val="000000"/>
          <w:sz w:val="22"/>
          <w:szCs w:val="22"/>
          <w:rtl/>
        </w:rPr>
      </w:pPr>
      <w:r w:rsidRPr="005D6D63">
        <w:rPr>
          <w:rFonts w:ascii="David" w:hAnsi="David"/>
          <w:color w:val="000000"/>
          <w:sz w:val="22"/>
          <w:szCs w:val="22"/>
          <w:rtl/>
        </w:rPr>
        <w:t>שאול אבינור 54678313</w:t>
      </w:r>
    </w:p>
    <w:p w14:paraId="1675D855" w14:textId="77777777" w:rsidR="005D6D63" w:rsidRDefault="005D6D63" w:rsidP="005D6D63">
      <w:r w:rsidRPr="005D6D63">
        <w:rPr>
          <w:color w:val="000000"/>
          <w:rtl/>
        </w:rPr>
        <w:t>נוסח מסמך זה כפוף לשינויי ניסוח ועריכה</w:t>
      </w:r>
    </w:p>
    <w:p w14:paraId="41F8FE9C" w14:textId="77777777" w:rsidR="005D6D63" w:rsidRDefault="005D6D63" w:rsidP="005D6D63">
      <w:pPr>
        <w:rPr>
          <w:rtl/>
        </w:rPr>
      </w:pPr>
    </w:p>
    <w:p w14:paraId="084C7653" w14:textId="77777777" w:rsidR="005D6D63" w:rsidRDefault="005D6D63" w:rsidP="005D6D63">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86404D9" w14:textId="77777777" w:rsidR="005D6D63" w:rsidRPr="005D6D63" w:rsidRDefault="005D6D63" w:rsidP="005D6D63">
      <w:pPr>
        <w:jc w:val="center"/>
        <w:rPr>
          <w:color w:val="0000FF"/>
          <w:u w:val="single"/>
        </w:rPr>
      </w:pPr>
    </w:p>
    <w:sectPr w:rsidR="005D6D63" w:rsidRPr="005D6D63" w:rsidSect="005D6D63">
      <w:headerReference w:type="even" r:id="rId23"/>
      <w:headerReference w:type="default" r:id="rId24"/>
      <w:footerReference w:type="even" r:id="rId25"/>
      <w:footerReference w:type="default" r:id="rId2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C1EFC" w14:textId="77777777" w:rsidR="00594C3A" w:rsidRDefault="00594C3A" w:rsidP="003166F3">
      <w:r>
        <w:separator/>
      </w:r>
    </w:p>
  </w:endnote>
  <w:endnote w:type="continuationSeparator" w:id="0">
    <w:p w14:paraId="28FADC03" w14:textId="77777777" w:rsidR="00594C3A" w:rsidRDefault="00594C3A" w:rsidP="0031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838F0" w14:textId="77777777" w:rsidR="005D6D63" w:rsidRDefault="005D6D63" w:rsidP="005D6D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3D23DA" w14:textId="77777777" w:rsidR="00912937" w:rsidRPr="005D6D63" w:rsidRDefault="005D6D63" w:rsidP="005D6D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263FD" w14:textId="77777777" w:rsidR="005D6D63" w:rsidRDefault="005D6D63" w:rsidP="005D6D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DD3">
      <w:rPr>
        <w:rFonts w:ascii="FrankRuehl" w:hAnsi="FrankRuehl" w:cs="FrankRuehl"/>
        <w:noProof/>
        <w:rtl/>
      </w:rPr>
      <w:t>1</w:t>
    </w:r>
    <w:r>
      <w:rPr>
        <w:rFonts w:ascii="FrankRuehl" w:hAnsi="FrankRuehl" w:cs="FrankRuehl"/>
        <w:rtl/>
      </w:rPr>
      <w:fldChar w:fldCharType="end"/>
    </w:r>
  </w:p>
  <w:p w14:paraId="51A2C29E" w14:textId="77777777" w:rsidR="00912937" w:rsidRPr="005D6D63" w:rsidRDefault="005D6D63" w:rsidP="005D6D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CD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07AA9" w14:textId="77777777" w:rsidR="00594C3A" w:rsidRDefault="00594C3A" w:rsidP="003166F3">
      <w:r>
        <w:separator/>
      </w:r>
    </w:p>
  </w:footnote>
  <w:footnote w:type="continuationSeparator" w:id="0">
    <w:p w14:paraId="4E8C00E5" w14:textId="77777777" w:rsidR="00594C3A" w:rsidRDefault="00594C3A" w:rsidP="00316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F222" w14:textId="77777777" w:rsidR="005D6D63" w:rsidRPr="005D6D63" w:rsidRDefault="005D6D63" w:rsidP="005D6D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39274-04-15</w:t>
    </w:r>
    <w:r>
      <w:rPr>
        <w:rFonts w:ascii="David" w:hAnsi="David"/>
        <w:color w:val="000000"/>
        <w:sz w:val="22"/>
        <w:szCs w:val="22"/>
        <w:rtl/>
      </w:rPr>
      <w:tab/>
      <w:t xml:space="preserve"> מדינת ישראל נ' פיליפ דויד אוזן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C9948" w14:textId="77777777" w:rsidR="005D6D63" w:rsidRPr="005D6D63" w:rsidRDefault="005D6D63" w:rsidP="005D6D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39274-04-15</w:t>
    </w:r>
    <w:r>
      <w:rPr>
        <w:rFonts w:ascii="David" w:hAnsi="David"/>
        <w:color w:val="000000"/>
        <w:sz w:val="22"/>
        <w:szCs w:val="22"/>
        <w:rtl/>
      </w:rPr>
      <w:tab/>
      <w:t xml:space="preserve"> מדינת ישראל נ' פיליפ דויד אוזן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66559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49FF"/>
    <w:rsid w:val="00236317"/>
    <w:rsid w:val="00262BEB"/>
    <w:rsid w:val="003166F3"/>
    <w:rsid w:val="00381020"/>
    <w:rsid w:val="00594C3A"/>
    <w:rsid w:val="005D6D63"/>
    <w:rsid w:val="00886DD3"/>
    <w:rsid w:val="00912937"/>
    <w:rsid w:val="00927E18"/>
    <w:rsid w:val="00B92680"/>
    <w:rsid w:val="00F84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261DB7"/>
  <w15:chartTrackingRefBased/>
  <w15:docId w15:val="{039543BC-0155-4F0F-A10A-3B0AEEE7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9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49FF"/>
    <w:pPr>
      <w:tabs>
        <w:tab w:val="center" w:pos="4153"/>
        <w:tab w:val="right" w:pos="8306"/>
      </w:tabs>
    </w:pPr>
  </w:style>
  <w:style w:type="character" w:customStyle="1" w:styleId="a4">
    <w:name w:val="כותרת עליונה תו"/>
    <w:link w:val="a3"/>
    <w:rsid w:val="00F849FF"/>
    <w:rPr>
      <w:rFonts w:ascii="Times New Roman" w:eastAsia="Times New Roman" w:hAnsi="Times New Roman" w:cs="David"/>
      <w:sz w:val="24"/>
      <w:szCs w:val="24"/>
    </w:rPr>
  </w:style>
  <w:style w:type="paragraph" w:styleId="a5">
    <w:name w:val="footer"/>
    <w:basedOn w:val="a"/>
    <w:link w:val="a6"/>
    <w:rsid w:val="00F849FF"/>
    <w:pPr>
      <w:tabs>
        <w:tab w:val="center" w:pos="4153"/>
        <w:tab w:val="right" w:pos="8306"/>
      </w:tabs>
    </w:pPr>
  </w:style>
  <w:style w:type="character" w:customStyle="1" w:styleId="a6">
    <w:name w:val="כותרת תחתונה תו"/>
    <w:link w:val="a5"/>
    <w:rsid w:val="00F849FF"/>
    <w:rPr>
      <w:rFonts w:ascii="Times New Roman" w:eastAsia="Times New Roman" w:hAnsi="Times New Roman" w:cs="David"/>
      <w:sz w:val="24"/>
      <w:szCs w:val="24"/>
    </w:rPr>
  </w:style>
  <w:style w:type="table" w:styleId="a7">
    <w:name w:val="Table Grid"/>
    <w:basedOn w:val="a1"/>
    <w:rsid w:val="00F849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49FF"/>
  </w:style>
  <w:style w:type="character" w:styleId="Hyperlink">
    <w:name w:val="Hyperlink"/>
    <w:rsid w:val="005D6D6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60440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011170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130493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20770504"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2019</Words>
  <Characters>10095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12090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3801200</vt:i4>
      </vt:variant>
      <vt:variant>
        <vt:i4>39</vt:i4>
      </vt:variant>
      <vt:variant>
        <vt:i4>0</vt:i4>
      </vt:variant>
      <vt:variant>
        <vt:i4>5</vt:i4>
      </vt:variant>
      <vt:variant>
        <vt:lpwstr>http://www.nevo.co.il/case/13049328</vt:lpwstr>
      </vt:variant>
      <vt:variant>
        <vt:lpwstr/>
      </vt:variant>
      <vt:variant>
        <vt:i4>3473526</vt:i4>
      </vt:variant>
      <vt:variant>
        <vt:i4>36</vt:i4>
      </vt:variant>
      <vt:variant>
        <vt:i4>0</vt:i4>
      </vt:variant>
      <vt:variant>
        <vt:i4>5</vt:i4>
      </vt:variant>
      <vt:variant>
        <vt:lpwstr>http://www.nevo.co.il/case/20770504</vt:lpwstr>
      </vt:variant>
      <vt:variant>
        <vt:lpwstr/>
      </vt:variant>
      <vt:variant>
        <vt:i4>3145840</vt:i4>
      </vt:variant>
      <vt:variant>
        <vt:i4>33</vt:i4>
      </vt:variant>
      <vt:variant>
        <vt:i4>0</vt:i4>
      </vt:variant>
      <vt:variant>
        <vt:i4>5</vt:i4>
      </vt:variant>
      <vt:variant>
        <vt:lpwstr>http://www.nevo.co.il/case/20604405</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2025-04-22T22:41:00Z</dcterms:created>
  <dcterms:modified xsi:type="dcterms:W3CDTF">2025-04-22T22:41:00Z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39274</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פיליפ דויד אוזן</vt:lpwstr>
  </property>
  <property fmtid="{D5CDD505-2E9C-101B-9397-08002B2CF9AE}" pid="10" name="LAWYER">
    <vt:lpwstr>יעל גבריאלי;ארי שמאי</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20190414</vt:lpwstr>
  </property>
  <property fmtid="{D5CDD505-2E9C-101B-9397-08002B2CF9AE}" pid="14" name="TYPE_N_DATE">
    <vt:lpwstr>38020190414</vt:lpwstr>
  </property>
  <property fmtid="{D5CDD505-2E9C-101B-9397-08002B2CF9AE}" pid="15" name="CASESLISTTMP1">
    <vt:lpwstr>20111708;20604405;20770504;13049328</vt:lpwstr>
  </property>
  <property fmtid="{D5CDD505-2E9C-101B-9397-08002B2CF9AE}" pid="16" name="WORDNUMPAGES">
    <vt:lpwstr>7</vt:lpwstr>
  </property>
  <property fmtid="{D5CDD505-2E9C-101B-9397-08002B2CF9AE}" pid="17" name="TYPE_ABS_DATE">
    <vt:lpwstr>380020190414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4216/006;007.a;007.c;010</vt:lpwstr>
  </property>
</Properties>
</file>