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92365" w:rsidRPr="00A35D00" w14:paraId="58824518" w14:textId="77777777">
        <w:trPr>
          <w:trHeight w:hRule="exact" w:val="418"/>
          <w:jc w:val="center"/>
        </w:trPr>
        <w:tc>
          <w:tcPr>
            <w:tcW w:w="8720" w:type="dxa"/>
            <w:gridSpan w:val="3"/>
          </w:tcPr>
          <w:p w14:paraId="28CCEBE4" w14:textId="77777777" w:rsidR="00992365" w:rsidRPr="00A35D00" w:rsidRDefault="00A35D00">
            <w:pPr>
              <w:pStyle w:val="a4"/>
              <w:tabs>
                <w:tab w:val="clear" w:pos="8306"/>
              </w:tabs>
              <w:jc w:val="center"/>
              <w:rPr>
                <w:rFonts w:ascii="Tahoma" w:hAnsi="Tahoma" w:cs="Tahoma"/>
                <w:b/>
                <w:bCs/>
                <w:color w:val="000080"/>
                <w:sz w:val="20"/>
                <w:szCs w:val="20"/>
                <w:rtl/>
              </w:rPr>
            </w:pPr>
            <w:bookmarkStart w:id="0" w:name="LastJudge"/>
            <w:r w:rsidRPr="00A35D00">
              <w:rPr>
                <w:rFonts w:ascii="Tahoma" w:hAnsi="Tahoma" w:cs="Tahoma"/>
                <w:b/>
                <w:bCs/>
                <w:color w:val="000080"/>
                <w:sz w:val="20"/>
                <w:szCs w:val="20"/>
                <w:rtl/>
              </w:rPr>
              <w:t>בית משפט השלום בקריית שמונה</w:t>
            </w:r>
          </w:p>
        </w:tc>
      </w:tr>
      <w:tr w:rsidR="00992365" w:rsidRPr="00A35D00" w14:paraId="55832C7C" w14:textId="77777777">
        <w:trPr>
          <w:trHeight w:val="337"/>
          <w:jc w:val="center"/>
        </w:trPr>
        <w:tc>
          <w:tcPr>
            <w:tcW w:w="6396" w:type="dxa"/>
          </w:tcPr>
          <w:p w14:paraId="18A19D90" w14:textId="77777777" w:rsidR="00992365" w:rsidRPr="00A35D00" w:rsidRDefault="00A35D00">
            <w:pPr>
              <w:rPr>
                <w:b/>
                <w:bCs/>
                <w:sz w:val="26"/>
                <w:szCs w:val="26"/>
                <w:rtl/>
              </w:rPr>
            </w:pPr>
            <w:r w:rsidRPr="00A35D00">
              <w:rPr>
                <w:b/>
                <w:bCs/>
                <w:sz w:val="26"/>
                <w:szCs w:val="26"/>
                <w:rtl/>
              </w:rPr>
              <w:t>ת"פ</w:t>
            </w:r>
            <w:r w:rsidRPr="00A35D00">
              <w:rPr>
                <w:rFonts w:hint="cs"/>
                <w:b/>
                <w:bCs/>
                <w:sz w:val="26"/>
                <w:szCs w:val="26"/>
                <w:rtl/>
              </w:rPr>
              <w:t xml:space="preserve"> </w:t>
            </w:r>
            <w:r w:rsidRPr="00A35D00">
              <w:rPr>
                <w:b/>
                <w:bCs/>
                <w:sz w:val="26"/>
                <w:szCs w:val="26"/>
                <w:rtl/>
              </w:rPr>
              <w:t>17342-06-15</w:t>
            </w:r>
            <w:r w:rsidRPr="00A35D00">
              <w:rPr>
                <w:rFonts w:hint="cs"/>
                <w:b/>
                <w:bCs/>
                <w:sz w:val="26"/>
                <w:szCs w:val="26"/>
                <w:rtl/>
              </w:rPr>
              <w:t xml:space="preserve"> </w:t>
            </w:r>
            <w:r w:rsidRPr="00A35D00">
              <w:rPr>
                <w:b/>
                <w:bCs/>
                <w:sz w:val="26"/>
                <w:szCs w:val="26"/>
                <w:rtl/>
              </w:rPr>
              <w:t>תביעות צפת נ' ענטר</w:t>
            </w:r>
          </w:p>
          <w:p w14:paraId="0B2649C0" w14:textId="77777777" w:rsidR="00992365" w:rsidRPr="00A35D00" w:rsidRDefault="00992365">
            <w:pPr>
              <w:rPr>
                <w:b/>
                <w:bCs/>
                <w:sz w:val="26"/>
                <w:szCs w:val="26"/>
                <w:rtl/>
              </w:rPr>
            </w:pPr>
          </w:p>
        </w:tc>
        <w:tc>
          <w:tcPr>
            <w:tcW w:w="236" w:type="dxa"/>
          </w:tcPr>
          <w:p w14:paraId="56E7F336" w14:textId="77777777" w:rsidR="00992365" w:rsidRPr="00A35D00" w:rsidRDefault="00992365">
            <w:pPr>
              <w:pStyle w:val="a4"/>
              <w:jc w:val="right"/>
              <w:rPr>
                <w:b/>
                <w:bCs/>
                <w:sz w:val="26"/>
                <w:szCs w:val="26"/>
                <w:rtl/>
              </w:rPr>
            </w:pPr>
          </w:p>
        </w:tc>
        <w:tc>
          <w:tcPr>
            <w:tcW w:w="2088" w:type="dxa"/>
          </w:tcPr>
          <w:p w14:paraId="1B6A3BC1" w14:textId="77777777" w:rsidR="00992365" w:rsidRPr="00A35D00" w:rsidRDefault="00A35D00">
            <w:pPr>
              <w:pStyle w:val="a4"/>
              <w:tabs>
                <w:tab w:val="clear" w:pos="4153"/>
              </w:tabs>
              <w:jc w:val="right"/>
              <w:rPr>
                <w:b/>
                <w:bCs/>
                <w:sz w:val="26"/>
                <w:szCs w:val="26"/>
                <w:rtl/>
              </w:rPr>
            </w:pPr>
            <w:r w:rsidRPr="00A35D00">
              <w:rPr>
                <w:b/>
                <w:bCs/>
                <w:sz w:val="26"/>
                <w:szCs w:val="26"/>
                <w:rtl/>
              </w:rPr>
              <w:t>10 יולי 2016</w:t>
            </w:r>
          </w:p>
        </w:tc>
      </w:tr>
    </w:tbl>
    <w:p w14:paraId="244E74EE" w14:textId="77777777" w:rsidR="00992365" w:rsidRPr="00A35D00" w:rsidRDefault="00992365">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992365" w:rsidRPr="00A35D00" w14:paraId="23887D75" w14:textId="77777777">
        <w:trPr>
          <w:gridAfter w:val="1"/>
          <w:wAfter w:w="84" w:type="dxa"/>
        </w:trPr>
        <w:tc>
          <w:tcPr>
            <w:tcW w:w="8718" w:type="dxa"/>
            <w:gridSpan w:val="2"/>
            <w:shd w:val="clear" w:color="auto" w:fill="auto"/>
          </w:tcPr>
          <w:p w14:paraId="70E886CE" w14:textId="77777777" w:rsidR="00992365" w:rsidRPr="00A35D00" w:rsidRDefault="00A35D00">
            <w:pPr>
              <w:rPr>
                <w:rFonts w:ascii="Times New Roman" w:eastAsia="Times New Roman" w:hAnsi="Times New Roman"/>
                <w:b/>
                <w:bCs/>
                <w:sz w:val="26"/>
                <w:szCs w:val="26"/>
                <w:rtl/>
              </w:rPr>
            </w:pPr>
            <w:r w:rsidRPr="00A35D00">
              <w:rPr>
                <w:rFonts w:ascii="Times New Roman" w:eastAsia="Times New Roman" w:hAnsi="Times New Roman" w:hint="cs"/>
                <w:b/>
                <w:bCs/>
                <w:sz w:val="26"/>
                <w:szCs w:val="26"/>
                <w:rtl/>
              </w:rPr>
              <w:t>לפני כבוד ה</w:t>
            </w:r>
            <w:r w:rsidRPr="00A35D00">
              <w:rPr>
                <w:rFonts w:ascii="Times New Roman" w:eastAsia="Times New Roman" w:hAnsi="Times New Roman" w:hint="cs"/>
                <w:rtl/>
              </w:rPr>
              <w:t>שופטת רות שפילברג כהן</w:t>
            </w:r>
            <w:r w:rsidRPr="00A35D00">
              <w:rPr>
                <w:rStyle w:val="TimesNewRomanTimesNewRoman"/>
                <w:rFonts w:eastAsia="Times New Roman"/>
                <w:rtl/>
              </w:rPr>
              <w:t xml:space="preserve"> </w:t>
            </w:r>
          </w:p>
        </w:tc>
      </w:tr>
      <w:tr w:rsidR="00992365" w:rsidRPr="00A35D00" w14:paraId="1C7D1101" w14:textId="77777777">
        <w:trPr>
          <w:cantSplit/>
          <w:trHeight w:val="724"/>
        </w:trPr>
        <w:tc>
          <w:tcPr>
            <w:tcW w:w="2880" w:type="dxa"/>
            <w:shd w:val="clear" w:color="auto" w:fill="auto"/>
          </w:tcPr>
          <w:p w14:paraId="4641A548" w14:textId="77777777" w:rsidR="00992365" w:rsidRPr="00A35D00" w:rsidRDefault="00992365">
            <w:pPr>
              <w:ind w:left="26"/>
              <w:rPr>
                <w:rFonts w:ascii="Times New Roman" w:eastAsia="Times New Roman" w:hAnsi="Times New Roman"/>
                <w:b/>
                <w:bCs/>
                <w:sz w:val="26"/>
                <w:szCs w:val="26"/>
                <w:rtl/>
              </w:rPr>
            </w:pPr>
            <w:bookmarkStart w:id="1" w:name="FirstAppellant"/>
          </w:p>
          <w:p w14:paraId="5F6E8256" w14:textId="77777777" w:rsidR="00992365" w:rsidRPr="00A35D00" w:rsidRDefault="00A35D00">
            <w:pPr>
              <w:ind w:left="26"/>
              <w:rPr>
                <w:rFonts w:ascii="Times New Roman" w:eastAsia="Times New Roman" w:hAnsi="Times New Roman"/>
                <w:b/>
                <w:bCs/>
                <w:sz w:val="26"/>
                <w:szCs w:val="26"/>
                <w:rtl/>
              </w:rPr>
            </w:pPr>
            <w:r w:rsidRPr="00A35D00">
              <w:rPr>
                <w:rFonts w:ascii="Times New Roman" w:eastAsia="Times New Roman" w:hAnsi="Times New Roman" w:hint="cs"/>
                <w:b/>
                <w:bCs/>
                <w:sz w:val="26"/>
                <w:szCs w:val="26"/>
                <w:rtl/>
              </w:rPr>
              <w:t>המאשימה</w:t>
            </w:r>
          </w:p>
        </w:tc>
        <w:tc>
          <w:tcPr>
            <w:tcW w:w="5922" w:type="dxa"/>
            <w:gridSpan w:val="2"/>
            <w:shd w:val="clear" w:color="auto" w:fill="auto"/>
          </w:tcPr>
          <w:p w14:paraId="2D8B0C83" w14:textId="77777777" w:rsidR="00992365" w:rsidRPr="00A35D00" w:rsidRDefault="00992365">
            <w:pPr>
              <w:rPr>
                <w:rFonts w:ascii="Times New Roman" w:eastAsia="Times New Roman" w:hAnsi="Times New Roman" w:cs="Times New Roman"/>
                <w:rtl/>
              </w:rPr>
            </w:pPr>
          </w:p>
          <w:p w14:paraId="4A6BCD50" w14:textId="77777777" w:rsidR="00992365" w:rsidRPr="00A35D00" w:rsidRDefault="00A35D00">
            <w:pPr>
              <w:rPr>
                <w:rFonts w:ascii="Times New Roman" w:eastAsia="Times New Roman" w:hAnsi="Times New Roman"/>
                <w:b/>
                <w:bCs/>
                <w:sz w:val="26"/>
                <w:szCs w:val="26"/>
                <w:rtl/>
              </w:rPr>
            </w:pPr>
            <w:r w:rsidRPr="00A35D00">
              <w:rPr>
                <w:rFonts w:ascii="Times New Roman" w:eastAsia="Times New Roman" w:hAnsi="Times New Roman" w:cs="Times New Roman" w:hint="cs"/>
                <w:rtl/>
              </w:rPr>
              <w:t xml:space="preserve"> </w:t>
            </w:r>
            <w:r w:rsidRPr="00A35D00">
              <w:rPr>
                <w:rFonts w:ascii="Times New Roman" w:eastAsia="Times New Roman" w:hAnsi="Times New Roman" w:hint="cs"/>
                <w:rtl/>
              </w:rPr>
              <w:t>תביעות צפת</w:t>
            </w:r>
          </w:p>
          <w:p w14:paraId="24B05A18" w14:textId="77777777" w:rsidR="00992365" w:rsidRPr="00A35D00" w:rsidRDefault="00992365">
            <w:pPr>
              <w:rPr>
                <w:rFonts w:ascii="Times New Roman" w:eastAsia="Times New Roman" w:hAnsi="Times New Roman"/>
                <w:b/>
                <w:bCs/>
                <w:sz w:val="26"/>
                <w:szCs w:val="26"/>
                <w:rtl/>
              </w:rPr>
            </w:pPr>
          </w:p>
        </w:tc>
      </w:tr>
      <w:bookmarkEnd w:id="1"/>
      <w:tr w:rsidR="00992365" w:rsidRPr="00A35D00" w14:paraId="3B991D23" w14:textId="77777777">
        <w:tc>
          <w:tcPr>
            <w:tcW w:w="8802" w:type="dxa"/>
            <w:gridSpan w:val="3"/>
            <w:shd w:val="clear" w:color="auto" w:fill="auto"/>
            <w:vAlign w:val="center"/>
          </w:tcPr>
          <w:p w14:paraId="05021561" w14:textId="77777777" w:rsidR="00992365" w:rsidRPr="00A35D00" w:rsidRDefault="00992365">
            <w:pPr>
              <w:jc w:val="center"/>
              <w:rPr>
                <w:rFonts w:ascii="Arial" w:eastAsia="Times New Roman" w:hAnsi="Arial"/>
                <w:b/>
                <w:bCs/>
                <w:sz w:val="26"/>
                <w:szCs w:val="26"/>
                <w:rtl/>
              </w:rPr>
            </w:pPr>
          </w:p>
          <w:p w14:paraId="3BFADEB0" w14:textId="77777777" w:rsidR="00992365" w:rsidRPr="00A35D00" w:rsidRDefault="00A35D00">
            <w:pPr>
              <w:jc w:val="center"/>
              <w:rPr>
                <w:rFonts w:ascii="Arial" w:eastAsia="Times New Roman" w:hAnsi="Arial"/>
                <w:b/>
                <w:bCs/>
                <w:sz w:val="26"/>
                <w:szCs w:val="26"/>
                <w:rtl/>
              </w:rPr>
            </w:pPr>
            <w:r w:rsidRPr="00A35D00">
              <w:rPr>
                <w:rFonts w:ascii="Arial" w:eastAsia="Times New Roman" w:hAnsi="Arial"/>
                <w:b/>
                <w:bCs/>
                <w:sz w:val="26"/>
                <w:szCs w:val="26"/>
                <w:rtl/>
              </w:rPr>
              <w:t>נגד</w:t>
            </w:r>
          </w:p>
          <w:p w14:paraId="223DE579" w14:textId="77777777" w:rsidR="00992365" w:rsidRPr="00A35D00" w:rsidRDefault="00992365">
            <w:pPr>
              <w:rPr>
                <w:rFonts w:ascii="Arial" w:eastAsia="Times New Roman" w:hAnsi="Arial"/>
                <w:b/>
                <w:bCs/>
                <w:sz w:val="26"/>
                <w:szCs w:val="26"/>
              </w:rPr>
            </w:pPr>
          </w:p>
        </w:tc>
      </w:tr>
      <w:tr w:rsidR="00992365" w:rsidRPr="00A35D00" w14:paraId="1F982120" w14:textId="77777777">
        <w:tc>
          <w:tcPr>
            <w:tcW w:w="2880" w:type="dxa"/>
            <w:shd w:val="clear" w:color="auto" w:fill="auto"/>
          </w:tcPr>
          <w:p w14:paraId="7BFF9ACF" w14:textId="77777777" w:rsidR="00992365" w:rsidRPr="00A35D00" w:rsidRDefault="00A35D00">
            <w:pPr>
              <w:ind w:left="26"/>
              <w:rPr>
                <w:rFonts w:ascii="Times New Roman" w:eastAsia="Times New Roman" w:hAnsi="Times New Roman"/>
                <w:b/>
                <w:bCs/>
                <w:sz w:val="26"/>
                <w:szCs w:val="26"/>
                <w:rtl/>
              </w:rPr>
            </w:pPr>
            <w:r w:rsidRPr="00A35D00">
              <w:rPr>
                <w:rFonts w:ascii="Times New Roman" w:eastAsia="Times New Roman" w:hAnsi="Times New Roman" w:hint="cs"/>
                <w:b/>
                <w:bCs/>
                <w:sz w:val="26"/>
                <w:szCs w:val="26"/>
                <w:rtl/>
              </w:rPr>
              <w:t xml:space="preserve">הנאשמת </w:t>
            </w:r>
          </w:p>
        </w:tc>
        <w:tc>
          <w:tcPr>
            <w:tcW w:w="5922" w:type="dxa"/>
            <w:gridSpan w:val="2"/>
            <w:shd w:val="clear" w:color="auto" w:fill="auto"/>
          </w:tcPr>
          <w:p w14:paraId="17E2E1E6" w14:textId="77777777" w:rsidR="00992365" w:rsidRPr="00A35D00" w:rsidRDefault="00A35D00">
            <w:pPr>
              <w:rPr>
                <w:rFonts w:ascii="Times New Roman" w:eastAsia="Times New Roman" w:hAnsi="Times New Roman"/>
                <w:b/>
                <w:bCs/>
                <w:sz w:val="26"/>
                <w:szCs w:val="26"/>
                <w:rtl/>
              </w:rPr>
            </w:pPr>
            <w:r w:rsidRPr="00A35D00">
              <w:rPr>
                <w:rFonts w:ascii="Times New Roman" w:eastAsia="Times New Roman" w:hAnsi="Times New Roman" w:cs="Times New Roman" w:hint="cs"/>
                <w:rtl/>
              </w:rPr>
              <w:t xml:space="preserve"> </w:t>
            </w:r>
            <w:r w:rsidRPr="00A35D00">
              <w:rPr>
                <w:rFonts w:ascii="Times New Roman" w:eastAsia="Times New Roman" w:hAnsi="Times New Roman"/>
                <w:b/>
                <w:bCs/>
                <w:sz w:val="26"/>
                <w:szCs w:val="26"/>
                <w:rtl/>
              </w:rPr>
              <w:t>תומר ענטר</w:t>
            </w:r>
          </w:p>
          <w:p w14:paraId="76010134" w14:textId="77777777" w:rsidR="00992365" w:rsidRPr="00A35D00" w:rsidRDefault="00992365">
            <w:pPr>
              <w:rPr>
                <w:rFonts w:ascii="Times New Roman" w:eastAsia="Times New Roman" w:hAnsi="Times New Roman"/>
                <w:b/>
                <w:bCs/>
                <w:sz w:val="26"/>
                <w:szCs w:val="26"/>
                <w:rtl/>
              </w:rPr>
            </w:pPr>
          </w:p>
        </w:tc>
      </w:tr>
    </w:tbl>
    <w:p w14:paraId="2A3B9E92" w14:textId="77777777" w:rsidR="000E4919" w:rsidRDefault="000E4919">
      <w:pPr>
        <w:pStyle w:val="12"/>
        <w:rPr>
          <w:rFonts w:hint="cs"/>
          <w:u w:val="none"/>
          <w:rtl/>
        </w:rPr>
      </w:pPr>
    </w:p>
    <w:p w14:paraId="4C3F07A0" w14:textId="77777777" w:rsidR="00992365" w:rsidRPr="00A35D00" w:rsidRDefault="00A35D00">
      <w:pPr>
        <w:pStyle w:val="12"/>
        <w:rPr>
          <w:u w:val="none"/>
          <w:rtl/>
        </w:rPr>
      </w:pPr>
      <w:r w:rsidRPr="00A35D00">
        <w:rPr>
          <w:rFonts w:hint="cs"/>
          <w:u w:val="none"/>
          <w:rtl/>
        </w:rPr>
        <w:t>נוכחים:</w:t>
      </w:r>
    </w:p>
    <w:p w14:paraId="291474FF" w14:textId="77777777" w:rsidR="00992365" w:rsidRPr="00A35D00" w:rsidRDefault="00992365">
      <w:pPr>
        <w:pStyle w:val="12"/>
        <w:rPr>
          <w:sz w:val="4"/>
          <w:szCs w:val="4"/>
          <w:u w:val="none"/>
          <w:rtl/>
        </w:rPr>
      </w:pPr>
    </w:p>
    <w:p w14:paraId="10D91562" w14:textId="77777777" w:rsidR="00992365" w:rsidRPr="00A35D00" w:rsidRDefault="00A35D00">
      <w:pPr>
        <w:pStyle w:val="12"/>
        <w:rPr>
          <w:u w:val="none"/>
          <w:rtl/>
        </w:rPr>
      </w:pPr>
      <w:bookmarkStart w:id="2" w:name="FirstLawyer"/>
      <w:r w:rsidRPr="00A35D00">
        <w:rPr>
          <w:rFonts w:hint="cs"/>
          <w:u w:val="none"/>
          <w:rtl/>
        </w:rPr>
        <w:t>ב"כ</w:t>
      </w:r>
      <w:bookmarkEnd w:id="2"/>
      <w:r w:rsidRPr="00A35D00">
        <w:rPr>
          <w:rFonts w:hint="cs"/>
          <w:u w:val="none"/>
          <w:rtl/>
        </w:rPr>
        <w:t xml:space="preserve"> המאשימה: עו"ד מאור מזרחי</w:t>
      </w:r>
      <w:r w:rsidRPr="00A35D00">
        <w:rPr>
          <w:rFonts w:hint="cs"/>
          <w:u w:val="none"/>
          <w:rtl/>
        </w:rPr>
        <w:br/>
        <w:t>הנאשמת: בעצמה, וע"י ב"כ עו"ד ירון שומרון</w:t>
      </w:r>
    </w:p>
    <w:p w14:paraId="731613A9" w14:textId="77777777" w:rsidR="00992365" w:rsidRPr="00A35D00" w:rsidRDefault="00992365">
      <w:pPr>
        <w:pStyle w:val="12"/>
        <w:rPr>
          <w:b w:val="0"/>
          <w:bCs w:val="0"/>
          <w:sz w:val="4"/>
          <w:szCs w:val="4"/>
          <w:u w:val="none"/>
        </w:rPr>
      </w:pPr>
    </w:p>
    <w:p w14:paraId="30FD2A0A" w14:textId="77777777" w:rsidR="00992365" w:rsidRPr="00A35D00" w:rsidRDefault="00992365">
      <w:pPr>
        <w:pStyle w:val="12"/>
        <w:rPr>
          <w:b w:val="0"/>
          <w:bCs w:val="0"/>
          <w:u w:val="none"/>
          <w:rtl/>
        </w:rPr>
      </w:pPr>
    </w:p>
    <w:p w14:paraId="7B428DFB" w14:textId="77777777" w:rsidR="00992365" w:rsidRPr="00A35D00" w:rsidRDefault="00992365">
      <w:pPr>
        <w:pStyle w:val="12"/>
        <w:rPr>
          <w:b w:val="0"/>
          <w:bCs w:val="0"/>
          <w:u w:val="none"/>
          <w:rtl/>
        </w:rPr>
      </w:pPr>
    </w:p>
    <w:p w14:paraId="434DD9E8" w14:textId="77777777" w:rsidR="000E4919" w:rsidRDefault="00A35D00">
      <w:pPr>
        <w:spacing w:line="360" w:lineRule="auto"/>
        <w:jc w:val="center"/>
        <w:rPr>
          <w:rFonts w:ascii="Arial" w:hAnsi="Arial"/>
          <w:sz w:val="28"/>
          <w:szCs w:val="28"/>
          <w:rtl/>
        </w:rPr>
      </w:pPr>
      <w:r w:rsidRPr="00A35D00">
        <w:rPr>
          <w:rFonts w:ascii="Arial" w:hAnsi="Arial"/>
          <w:b/>
          <w:color w:val="FF0000"/>
          <w:sz w:val="28"/>
          <w:rtl/>
        </w:rPr>
        <w:t>במסמך זה הושמטו פרוטוקולים</w:t>
      </w:r>
      <w:bookmarkStart w:id="3" w:name="LawTable"/>
      <w:bookmarkEnd w:id="3"/>
    </w:p>
    <w:p w14:paraId="1CAD7FB6" w14:textId="77777777" w:rsidR="000E4919" w:rsidRPr="000E4919" w:rsidRDefault="000E4919" w:rsidP="000E4919">
      <w:pPr>
        <w:spacing w:after="120" w:line="240" w:lineRule="exact"/>
        <w:ind w:left="283" w:hanging="283"/>
        <w:jc w:val="both"/>
        <w:rPr>
          <w:rFonts w:ascii="FrankRuehl" w:hAnsi="FrankRuehl" w:cs="FrankRuehl"/>
          <w:rtl/>
        </w:rPr>
      </w:pPr>
    </w:p>
    <w:p w14:paraId="47092835" w14:textId="77777777" w:rsidR="000E4919" w:rsidRPr="000E4919" w:rsidRDefault="000E4919" w:rsidP="000E4919">
      <w:pPr>
        <w:spacing w:after="120" w:line="240" w:lineRule="exact"/>
        <w:ind w:left="283" w:hanging="283"/>
        <w:jc w:val="both"/>
        <w:rPr>
          <w:rFonts w:ascii="FrankRuehl" w:hAnsi="FrankRuehl" w:cs="FrankRuehl"/>
          <w:rtl/>
        </w:rPr>
      </w:pPr>
      <w:r w:rsidRPr="000E4919">
        <w:rPr>
          <w:rFonts w:ascii="FrankRuehl" w:hAnsi="FrankRuehl" w:cs="FrankRuehl"/>
          <w:rtl/>
        </w:rPr>
        <w:t xml:space="preserve">חקיקה שאוזכרה: </w:t>
      </w:r>
    </w:p>
    <w:p w14:paraId="455850D8" w14:textId="77777777" w:rsidR="000E4919" w:rsidRPr="000E4919" w:rsidRDefault="000E4919" w:rsidP="000E4919">
      <w:pPr>
        <w:spacing w:after="120" w:line="240" w:lineRule="exact"/>
        <w:ind w:left="283" w:hanging="283"/>
        <w:jc w:val="both"/>
        <w:rPr>
          <w:rFonts w:ascii="FrankRuehl" w:hAnsi="FrankRuehl" w:cs="FrankRuehl"/>
          <w:rtl/>
        </w:rPr>
      </w:pPr>
      <w:hyperlink r:id="rId6" w:history="1">
        <w:r w:rsidRPr="000E4919">
          <w:rPr>
            <w:rFonts w:ascii="FrankRuehl" w:hAnsi="FrankRuehl" w:cs="FrankRuehl"/>
            <w:color w:val="0000FF"/>
            <w:u w:val="single"/>
            <w:rtl/>
          </w:rPr>
          <w:t>פקודת הסמים המסוכנים [נוסח חדש], תשל"ג-1973</w:t>
        </w:r>
      </w:hyperlink>
      <w:r w:rsidRPr="000E4919">
        <w:rPr>
          <w:rFonts w:ascii="FrankRuehl" w:hAnsi="FrankRuehl" w:cs="FrankRuehl"/>
          <w:rtl/>
        </w:rPr>
        <w:t xml:space="preserve">: סע'  </w:t>
      </w:r>
      <w:hyperlink r:id="rId7" w:history="1">
        <w:r w:rsidRPr="000E4919">
          <w:rPr>
            <w:rFonts w:ascii="FrankRuehl" w:hAnsi="FrankRuehl" w:cs="FrankRuehl"/>
            <w:color w:val="0000FF"/>
            <w:u w:val="single"/>
            <w:rtl/>
          </w:rPr>
          <w:t>6</w:t>
        </w:r>
      </w:hyperlink>
      <w:r w:rsidRPr="000E4919">
        <w:rPr>
          <w:rFonts w:ascii="FrankRuehl" w:hAnsi="FrankRuehl" w:cs="FrankRuehl"/>
          <w:rtl/>
        </w:rPr>
        <w:t xml:space="preserve">, </w:t>
      </w:r>
      <w:hyperlink r:id="rId8" w:history="1">
        <w:r w:rsidRPr="000E4919">
          <w:rPr>
            <w:rFonts w:ascii="FrankRuehl" w:hAnsi="FrankRuehl" w:cs="FrankRuehl"/>
            <w:color w:val="0000FF"/>
            <w:u w:val="single"/>
            <w:rtl/>
          </w:rPr>
          <w:t>10</w:t>
        </w:r>
      </w:hyperlink>
    </w:p>
    <w:p w14:paraId="68225545" w14:textId="77777777" w:rsidR="000E4919" w:rsidRPr="000E4919" w:rsidRDefault="000E4919" w:rsidP="000E4919">
      <w:pPr>
        <w:spacing w:after="120" w:line="240" w:lineRule="exact"/>
        <w:ind w:left="283" w:hanging="283"/>
        <w:jc w:val="both"/>
        <w:rPr>
          <w:rFonts w:ascii="FrankRuehl" w:hAnsi="FrankRuehl" w:cs="FrankRuehl"/>
          <w:rtl/>
        </w:rPr>
      </w:pPr>
    </w:p>
    <w:p w14:paraId="082E1A00" w14:textId="77777777" w:rsidR="00A35D00" w:rsidRPr="00A35D00" w:rsidRDefault="00A35D00" w:rsidP="00A35D00">
      <w:pPr>
        <w:spacing w:line="360" w:lineRule="auto"/>
        <w:jc w:val="center"/>
        <w:rPr>
          <w:rFonts w:ascii="Arial" w:hAnsi="Arial"/>
          <w:b/>
          <w:bCs/>
          <w:sz w:val="28"/>
          <w:szCs w:val="28"/>
          <w:u w:val="single"/>
          <w:rtl/>
        </w:rPr>
      </w:pPr>
      <w:bookmarkStart w:id="4" w:name="LawTable_End"/>
      <w:bookmarkStart w:id="5" w:name="PsakDin"/>
      <w:bookmarkEnd w:id="0"/>
      <w:bookmarkEnd w:id="4"/>
      <w:r w:rsidRPr="00A35D00">
        <w:rPr>
          <w:rFonts w:ascii="Arial" w:hAnsi="Arial"/>
          <w:b/>
          <w:bCs/>
          <w:sz w:val="28"/>
          <w:szCs w:val="28"/>
          <w:u w:val="single"/>
          <w:rtl/>
        </w:rPr>
        <w:t>גזר דין</w:t>
      </w:r>
    </w:p>
    <w:bookmarkEnd w:id="5"/>
    <w:p w14:paraId="6BA834FC" w14:textId="77777777" w:rsidR="00992365" w:rsidRDefault="00992365">
      <w:pPr>
        <w:spacing w:line="360" w:lineRule="auto"/>
        <w:jc w:val="center"/>
        <w:rPr>
          <w:rtl/>
        </w:rPr>
      </w:pPr>
    </w:p>
    <w:p w14:paraId="2F059039" w14:textId="77777777" w:rsidR="00992365" w:rsidRDefault="00A35D00">
      <w:pPr>
        <w:spacing w:line="360" w:lineRule="auto"/>
        <w:jc w:val="both"/>
        <w:rPr>
          <w:rtl/>
        </w:rPr>
      </w:pPr>
      <w:bookmarkStart w:id="6" w:name="ABSTRACT_START"/>
      <w:bookmarkEnd w:id="6"/>
      <w:r>
        <w:rPr>
          <w:rFonts w:hint="cs"/>
          <w:rtl/>
        </w:rPr>
        <w:t xml:space="preserve">הנאשמת הורשעה עפ"י הודאתה ובהתאם להסדר טיעון בגידול סמים לפי </w:t>
      </w:r>
      <w:hyperlink r:id="rId9" w:history="1">
        <w:r w:rsidR="000E4919" w:rsidRPr="000E4919">
          <w:rPr>
            <w:color w:val="0000FF"/>
            <w:u w:val="single"/>
            <w:rtl/>
          </w:rPr>
          <w:t>סעיף 6</w:t>
        </w:r>
      </w:hyperlink>
      <w:r>
        <w:rPr>
          <w:rFonts w:hint="cs"/>
          <w:rtl/>
        </w:rPr>
        <w:t xml:space="preserve"> ל</w:t>
      </w:r>
      <w:hyperlink r:id="rId10" w:history="1">
        <w:r w:rsidRPr="00A35D00">
          <w:rPr>
            <w:color w:val="0000FF"/>
            <w:u w:val="single"/>
            <w:rtl/>
          </w:rPr>
          <w:t>פקודת הסמים המסוכנים</w:t>
        </w:r>
      </w:hyperlink>
      <w:r>
        <w:rPr>
          <w:rFonts w:hint="cs"/>
          <w:rtl/>
        </w:rPr>
        <w:t xml:space="preserve">, ובהחזקת כלים לסמים שלא לצריכה עצמית לפי </w:t>
      </w:r>
      <w:hyperlink r:id="rId11" w:history="1">
        <w:r w:rsidR="000E4919" w:rsidRPr="000E4919">
          <w:rPr>
            <w:color w:val="0000FF"/>
            <w:u w:val="single"/>
            <w:rtl/>
          </w:rPr>
          <w:t>סעיף 10</w:t>
        </w:r>
      </w:hyperlink>
      <w:r>
        <w:rPr>
          <w:rFonts w:hint="cs"/>
          <w:rtl/>
        </w:rPr>
        <w:t xml:space="preserve"> רישא לפקודת הסמים המסוכנים. </w:t>
      </w:r>
    </w:p>
    <w:p w14:paraId="037AAB1C" w14:textId="77777777" w:rsidR="00992365" w:rsidRDefault="00992365">
      <w:pPr>
        <w:spacing w:line="360" w:lineRule="auto"/>
        <w:jc w:val="both"/>
        <w:rPr>
          <w:rtl/>
        </w:rPr>
      </w:pPr>
      <w:bookmarkStart w:id="7" w:name="ABSTRACT_END"/>
      <w:bookmarkEnd w:id="7"/>
    </w:p>
    <w:p w14:paraId="140300D4" w14:textId="77777777" w:rsidR="00992365" w:rsidRDefault="00A35D00">
      <w:pPr>
        <w:spacing w:line="360" w:lineRule="auto"/>
        <w:jc w:val="both"/>
        <w:rPr>
          <w:rtl/>
        </w:rPr>
      </w:pPr>
      <w:r>
        <w:rPr>
          <w:rFonts w:hint="cs"/>
          <w:rtl/>
        </w:rPr>
        <w:t xml:space="preserve">מדובר בשישה שתילים מסוג קנבוס במשקל של כ-136 ג' שגידלה הנאשמת בביתה שבצפת, עובר ליום 5.1.15, תוך שנעזרה בכלים אופייניים כגון מאווררים, תאורה, מד טמפרטורה ו"שרוולים". </w:t>
      </w:r>
    </w:p>
    <w:p w14:paraId="52438C92" w14:textId="77777777" w:rsidR="00992365" w:rsidRDefault="00992365">
      <w:pPr>
        <w:spacing w:line="360" w:lineRule="auto"/>
        <w:jc w:val="both"/>
        <w:rPr>
          <w:rtl/>
        </w:rPr>
      </w:pPr>
    </w:p>
    <w:p w14:paraId="0474A8CA" w14:textId="77777777" w:rsidR="00992365" w:rsidRDefault="00A35D00">
      <w:pPr>
        <w:spacing w:line="360" w:lineRule="auto"/>
        <w:jc w:val="both"/>
        <w:rPr>
          <w:rtl/>
        </w:rPr>
      </w:pPr>
      <w:r>
        <w:rPr>
          <w:rFonts w:hint="cs"/>
          <w:rtl/>
        </w:rPr>
        <w:t xml:space="preserve">במועד הצגת הסדר הטיעון הסכימו הצדדים למתווה של ענישה, לרבות עונש של מאסר בעבודות שרות. </w:t>
      </w:r>
    </w:p>
    <w:p w14:paraId="0A7C0881" w14:textId="77777777" w:rsidR="00992365" w:rsidRDefault="00992365">
      <w:pPr>
        <w:spacing w:line="360" w:lineRule="auto"/>
        <w:jc w:val="both"/>
        <w:rPr>
          <w:rtl/>
        </w:rPr>
      </w:pPr>
    </w:p>
    <w:p w14:paraId="535EFC67" w14:textId="77777777" w:rsidR="00992365" w:rsidRDefault="00A35D00">
      <w:pPr>
        <w:spacing w:line="360" w:lineRule="auto"/>
        <w:jc w:val="both"/>
        <w:rPr>
          <w:rtl/>
        </w:rPr>
      </w:pPr>
      <w:r>
        <w:rPr>
          <w:rFonts w:hint="cs"/>
          <w:rtl/>
        </w:rPr>
        <w:t xml:space="preserve">לנאשמת שהינה ילידת 1975 עבר פלילי, ובין היתר ריצתה גם מאסר בפועל בגין עבירות של סרסרות וזנות. בנוסף הורשעה בעבירות אלימות. </w:t>
      </w:r>
    </w:p>
    <w:p w14:paraId="7E05D674" w14:textId="77777777" w:rsidR="00992365" w:rsidRDefault="00992365">
      <w:pPr>
        <w:spacing w:line="360" w:lineRule="auto"/>
        <w:jc w:val="both"/>
        <w:rPr>
          <w:rtl/>
        </w:rPr>
      </w:pPr>
    </w:p>
    <w:p w14:paraId="41011494" w14:textId="77777777" w:rsidR="00992365" w:rsidRDefault="00A35D00">
      <w:pPr>
        <w:spacing w:line="360" w:lineRule="auto"/>
        <w:jc w:val="both"/>
        <w:rPr>
          <w:rtl/>
        </w:rPr>
      </w:pPr>
      <w:r>
        <w:rPr>
          <w:rFonts w:hint="cs"/>
          <w:rtl/>
        </w:rPr>
        <w:t>לנוכח נימוקי המאשימה, שלקחה בחשבון את נסיבותיה האישיות של הנאשמת, והיותה אם לשלושה פעוטות, אני מכבדת את הסדר הטיעון וגוזרת את עונשה של הנאשמת על פיו כדלקמן:</w:t>
      </w:r>
    </w:p>
    <w:p w14:paraId="617F5618" w14:textId="77777777" w:rsidR="00992365" w:rsidRDefault="00992365">
      <w:pPr>
        <w:spacing w:line="360" w:lineRule="auto"/>
        <w:jc w:val="both"/>
        <w:rPr>
          <w:rtl/>
        </w:rPr>
      </w:pPr>
    </w:p>
    <w:p w14:paraId="6D16B8DF" w14:textId="77777777" w:rsidR="00992365" w:rsidRDefault="00A35D00">
      <w:pPr>
        <w:spacing w:line="360" w:lineRule="auto"/>
        <w:ind w:left="720" w:hanging="720"/>
        <w:jc w:val="both"/>
        <w:rPr>
          <w:rtl/>
        </w:rPr>
      </w:pPr>
      <w:r>
        <w:rPr>
          <w:rFonts w:hint="cs"/>
          <w:rtl/>
        </w:rPr>
        <w:lastRenderedPageBreak/>
        <w:t>א.</w:t>
      </w:r>
      <w:r>
        <w:rPr>
          <w:rFonts w:hint="cs"/>
          <w:rtl/>
        </w:rPr>
        <w:tab/>
        <w:t xml:space="preserve">מאסר בפועל לתקופה של חודשיים, אשר ירוצה בדרך של עבודות שרות. הנאשמת תרצה את המאסר החל מיום 8.9.16 במועצה הדתית צפת. </w:t>
      </w:r>
    </w:p>
    <w:p w14:paraId="1BBF4145" w14:textId="77777777" w:rsidR="00992365" w:rsidRDefault="00992365">
      <w:pPr>
        <w:pStyle w:val="2"/>
        <w:spacing w:line="360" w:lineRule="auto"/>
        <w:ind w:firstLine="720"/>
        <w:jc w:val="both"/>
        <w:rPr>
          <w:rtl/>
        </w:rPr>
      </w:pPr>
    </w:p>
    <w:p w14:paraId="1337AA18" w14:textId="77777777" w:rsidR="00992365" w:rsidRDefault="00A35D00">
      <w:pPr>
        <w:pStyle w:val="2"/>
        <w:spacing w:line="360" w:lineRule="auto"/>
        <w:ind w:left="720" w:hanging="720"/>
        <w:jc w:val="both"/>
        <w:rPr>
          <w:rtl/>
        </w:rPr>
      </w:pPr>
      <w:r>
        <w:rPr>
          <w:rFonts w:hint="cs"/>
          <w:rtl/>
        </w:rPr>
        <w:tab/>
        <w:t>הנאשמת מוזהרת, כי במהלך עבודות השירות תהיה הנאשמת נתונה במעקב של בדיקות שתן. סירוב לעריכת בדיקת שתן או בדיקה עם ממצאים חיוביים, שתיית אלכוהול או הגעה בגילופין, יהוו עילה להפסקה מנהלית וריצוי יתרת המאסר בפועל מאחורי סורג ובריח.</w:t>
      </w:r>
    </w:p>
    <w:p w14:paraId="59850CC5" w14:textId="77777777" w:rsidR="00992365" w:rsidRDefault="00A35D00">
      <w:pPr>
        <w:pStyle w:val="2"/>
        <w:spacing w:line="360" w:lineRule="auto"/>
        <w:ind w:left="720"/>
        <w:jc w:val="both"/>
        <w:rPr>
          <w:rtl/>
        </w:rPr>
      </w:pPr>
      <w:r>
        <w:rPr>
          <w:rFonts w:hint="cs"/>
          <w:rtl/>
        </w:rPr>
        <w:t>כמו כן הובהר לנאשמת, כי מדובר בתנאי העסקה קפדניים וכל חריגה מכללים אלו יש בה כדי להפסיק את עבודות השירות וריצוי יתרת העונש במאסר בפועל מאחורי סורג ובריח.</w:t>
      </w:r>
    </w:p>
    <w:p w14:paraId="6047C84B" w14:textId="77777777" w:rsidR="00992365" w:rsidRDefault="00A35D00">
      <w:pPr>
        <w:spacing w:line="360" w:lineRule="auto"/>
        <w:ind w:left="720" w:hanging="720"/>
        <w:jc w:val="both"/>
        <w:rPr>
          <w:rtl/>
        </w:rPr>
      </w:pPr>
      <w:r>
        <w:rPr>
          <w:rFonts w:ascii="Times New Roman-Bold-1255" w:hint="cs"/>
          <w:b/>
          <w:bCs/>
          <w:color w:val="008100"/>
          <w:sz w:val="22"/>
          <w:szCs w:val="22"/>
          <w:rtl/>
        </w:rPr>
        <w:t xml:space="preserve"> </w:t>
      </w:r>
      <w:r>
        <w:rPr>
          <w:rFonts w:hint="cs"/>
          <w:rtl/>
        </w:rPr>
        <w:t xml:space="preserve"> </w:t>
      </w:r>
    </w:p>
    <w:p w14:paraId="3CDBC036" w14:textId="77777777" w:rsidR="00992365" w:rsidRDefault="00A35D00">
      <w:pPr>
        <w:spacing w:line="360" w:lineRule="auto"/>
        <w:ind w:left="720" w:hanging="720"/>
        <w:jc w:val="both"/>
        <w:rPr>
          <w:rtl/>
        </w:rPr>
      </w:pPr>
      <w:r>
        <w:rPr>
          <w:rFonts w:hint="cs"/>
          <w:rtl/>
        </w:rPr>
        <w:t>ב.</w:t>
      </w:r>
      <w:r>
        <w:rPr>
          <w:rFonts w:hint="cs"/>
          <w:rtl/>
        </w:rPr>
        <w:tab/>
        <w:t xml:space="preserve">מאסר על תנאי לתקופה של 5 חודשים והתנאי הוא כי במשך 3 שנים החל מהיום,  לא תעבור כל עבירת סמים שעניינה איננו שימוש עצמי. </w:t>
      </w:r>
    </w:p>
    <w:p w14:paraId="55699EB9" w14:textId="77777777" w:rsidR="00992365" w:rsidRDefault="00992365">
      <w:pPr>
        <w:spacing w:line="360" w:lineRule="auto"/>
        <w:ind w:left="720" w:hanging="720"/>
        <w:jc w:val="both"/>
        <w:rPr>
          <w:rtl/>
        </w:rPr>
      </w:pPr>
    </w:p>
    <w:p w14:paraId="4FFB0782" w14:textId="77777777" w:rsidR="00992365" w:rsidRDefault="00A35D00">
      <w:pPr>
        <w:spacing w:line="360" w:lineRule="auto"/>
        <w:ind w:left="720" w:hanging="720"/>
        <w:jc w:val="both"/>
        <w:rPr>
          <w:rtl/>
        </w:rPr>
      </w:pPr>
      <w:r>
        <w:rPr>
          <w:rFonts w:hint="cs"/>
          <w:rtl/>
        </w:rPr>
        <w:t>ג.</w:t>
      </w:r>
      <w:r>
        <w:rPr>
          <w:rFonts w:hint="cs"/>
          <w:rtl/>
        </w:rPr>
        <w:tab/>
        <w:t xml:space="preserve">מאסר על תנאי לתקופה של  חודשיים והתנאי הוא, כי במשך  3 שנים החל מהיום, לא תעבור עבירת סמים שעניינה שימוש עצמי. </w:t>
      </w:r>
    </w:p>
    <w:p w14:paraId="6C5BDA12" w14:textId="77777777" w:rsidR="00992365" w:rsidRDefault="00992365">
      <w:pPr>
        <w:spacing w:line="360" w:lineRule="auto"/>
        <w:ind w:left="720" w:hanging="720"/>
        <w:jc w:val="both"/>
        <w:rPr>
          <w:rtl/>
        </w:rPr>
      </w:pPr>
    </w:p>
    <w:p w14:paraId="1AC9C832" w14:textId="77777777" w:rsidR="00992365" w:rsidRDefault="00A35D00">
      <w:pPr>
        <w:spacing w:line="360" w:lineRule="auto"/>
        <w:ind w:left="720" w:hanging="720"/>
        <w:jc w:val="both"/>
        <w:rPr>
          <w:rtl/>
        </w:rPr>
      </w:pPr>
      <w:r>
        <w:rPr>
          <w:rFonts w:hint="cs"/>
          <w:rtl/>
        </w:rPr>
        <w:t>ד.</w:t>
      </w:r>
      <w:r>
        <w:rPr>
          <w:rFonts w:hint="cs"/>
          <w:rtl/>
        </w:rPr>
        <w:tab/>
        <w:t xml:space="preserve">הנאשמת תחתום על התחייבות ע"ס 3,000 ₪ להימנע מלעבור כל עבירה עפ"י </w:t>
      </w:r>
      <w:hyperlink r:id="rId12" w:history="1">
        <w:r w:rsidRPr="00A35D00">
          <w:rPr>
            <w:color w:val="0000FF"/>
            <w:u w:val="single"/>
            <w:rtl/>
          </w:rPr>
          <w:t>פקודת הסמים המסוכנים</w:t>
        </w:r>
      </w:hyperlink>
      <w:r>
        <w:rPr>
          <w:rFonts w:hint="cs"/>
          <w:rtl/>
        </w:rPr>
        <w:t xml:space="preserve"> במשך 3 שנים החל מהיום. במידה ולא תחתום, תיאסר ליומיים. </w:t>
      </w:r>
    </w:p>
    <w:p w14:paraId="4A11F01E" w14:textId="77777777" w:rsidR="00992365" w:rsidRDefault="00992365">
      <w:pPr>
        <w:pStyle w:val="2"/>
        <w:spacing w:line="360" w:lineRule="auto"/>
        <w:jc w:val="both"/>
        <w:rPr>
          <w:b/>
          <w:bCs/>
          <w:u w:val="single"/>
          <w:rtl/>
        </w:rPr>
      </w:pPr>
    </w:p>
    <w:p w14:paraId="2D359374" w14:textId="77777777" w:rsidR="00992365" w:rsidRDefault="00A35D00">
      <w:pPr>
        <w:pStyle w:val="2"/>
        <w:spacing w:line="360" w:lineRule="auto"/>
        <w:jc w:val="both"/>
        <w:rPr>
          <w:u w:val="single"/>
          <w:rtl/>
        </w:rPr>
      </w:pPr>
      <w:r>
        <w:rPr>
          <w:rFonts w:hint="cs"/>
          <w:u w:val="single"/>
          <w:rtl/>
        </w:rPr>
        <w:t xml:space="preserve">המוצגים סמים וכלים </w:t>
      </w:r>
      <w:r>
        <w:rPr>
          <w:u w:val="single"/>
          <w:rtl/>
        </w:rPr>
        <w:t>–</w:t>
      </w:r>
      <w:r>
        <w:rPr>
          <w:rFonts w:hint="cs"/>
          <w:u w:val="single"/>
          <w:rtl/>
        </w:rPr>
        <w:t xml:space="preserve"> להשמדה</w:t>
      </w:r>
      <w:r>
        <w:rPr>
          <w:rFonts w:hint="cs"/>
          <w:rtl/>
        </w:rPr>
        <w:t>.</w:t>
      </w:r>
      <w:r>
        <w:rPr>
          <w:rFonts w:hint="cs"/>
          <w:u w:val="single"/>
          <w:rtl/>
        </w:rPr>
        <w:t xml:space="preserve"> </w:t>
      </w:r>
    </w:p>
    <w:p w14:paraId="7B6699D6" w14:textId="77777777" w:rsidR="00992365" w:rsidRDefault="00A35D00">
      <w:pPr>
        <w:pStyle w:val="2"/>
        <w:spacing w:line="360" w:lineRule="auto"/>
        <w:jc w:val="both"/>
        <w:rPr>
          <w:b/>
          <w:bCs/>
          <w:u w:val="single"/>
          <w:rtl/>
        </w:rPr>
      </w:pPr>
      <w:r>
        <w:rPr>
          <w:rFonts w:hint="cs"/>
          <w:b/>
          <w:bCs/>
          <w:u w:val="single"/>
          <w:rtl/>
        </w:rPr>
        <w:t>המזכירות תמציא העתק לממונה על עבודות שירות</w:t>
      </w:r>
      <w:r>
        <w:rPr>
          <w:rFonts w:hint="cs"/>
          <w:rtl/>
        </w:rPr>
        <w:t>.</w:t>
      </w:r>
    </w:p>
    <w:p w14:paraId="2A2898A3" w14:textId="77777777" w:rsidR="00992365" w:rsidRDefault="00992365">
      <w:pPr>
        <w:pStyle w:val="2"/>
        <w:spacing w:line="360" w:lineRule="auto"/>
        <w:jc w:val="both"/>
        <w:rPr>
          <w:b/>
          <w:bCs/>
          <w:u w:val="single"/>
          <w:rtl/>
        </w:rPr>
      </w:pPr>
    </w:p>
    <w:p w14:paraId="72745C49" w14:textId="77777777" w:rsidR="00992365" w:rsidRDefault="00A35D00">
      <w:pPr>
        <w:pStyle w:val="2"/>
        <w:spacing w:line="360" w:lineRule="auto"/>
        <w:jc w:val="both"/>
        <w:rPr>
          <w:b/>
          <w:bCs/>
          <w:rtl/>
        </w:rPr>
      </w:pPr>
      <w:r>
        <w:rPr>
          <w:rFonts w:hint="cs"/>
          <w:b/>
          <w:bCs/>
          <w:u w:val="single"/>
          <w:rtl/>
        </w:rPr>
        <w:t>זכות ערעור תוך 45 יום מהיום בבית משפט המחוזי בנצרת</w:t>
      </w:r>
      <w:r>
        <w:rPr>
          <w:rFonts w:hint="cs"/>
          <w:b/>
          <w:bCs/>
          <w:rtl/>
        </w:rPr>
        <w:t>.</w:t>
      </w:r>
    </w:p>
    <w:p w14:paraId="750549C3" w14:textId="77777777" w:rsidR="00992365" w:rsidRDefault="00A35D00">
      <w:pPr>
        <w:rPr>
          <w:sz w:val="6"/>
          <w:szCs w:val="6"/>
          <w:rtl/>
        </w:rPr>
      </w:pPr>
      <w:r>
        <w:rPr>
          <w:sz w:val="6"/>
          <w:szCs w:val="6"/>
          <w:rtl/>
        </w:rPr>
        <w:t>&lt;#4#&gt;</w:t>
      </w:r>
    </w:p>
    <w:p w14:paraId="66EBB7BF" w14:textId="77777777" w:rsidR="00992365" w:rsidRDefault="00992365">
      <w:pPr>
        <w:jc w:val="right"/>
        <w:rPr>
          <w:rtl/>
        </w:rPr>
      </w:pPr>
    </w:p>
    <w:p w14:paraId="7BF5089A" w14:textId="77777777" w:rsidR="00992365" w:rsidRDefault="00A35D00">
      <w:pPr>
        <w:jc w:val="center"/>
        <w:rPr>
          <w:rtl/>
        </w:rPr>
      </w:pPr>
      <w:r>
        <w:rPr>
          <w:b/>
          <w:bCs/>
          <w:rtl/>
        </w:rPr>
        <w:t xml:space="preserve">ניתן והודע היום ד' תמוז תשע"ו, 10/07/2016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2365" w14:paraId="25AC47A2" w14:textId="77777777">
        <w:trPr>
          <w:trHeight w:val="316"/>
          <w:jc w:val="right"/>
        </w:trPr>
        <w:tc>
          <w:tcPr>
            <w:tcW w:w="3936" w:type="dxa"/>
            <w:shd w:val="clear" w:color="auto" w:fill="auto"/>
          </w:tcPr>
          <w:p w14:paraId="02580392" w14:textId="77777777" w:rsidR="00992365" w:rsidRDefault="00992365">
            <w:pPr>
              <w:jc w:val="center"/>
              <w:rPr>
                <w:rFonts w:ascii="Times New Roman" w:eastAsia="Times New Roman" w:hAnsi="Times New Roman" w:cs="Times New Roman"/>
              </w:rPr>
            </w:pPr>
          </w:p>
          <w:p w14:paraId="058DA2D4" w14:textId="77777777" w:rsidR="00992365" w:rsidRDefault="00992365">
            <w:pPr>
              <w:jc w:val="center"/>
              <w:rPr>
                <w:rFonts w:ascii="Times New Roman" w:eastAsia="Times New Roman" w:hAnsi="Times New Roman" w:cs="Times New Roman"/>
                <w:rtl/>
              </w:rPr>
            </w:pPr>
          </w:p>
        </w:tc>
      </w:tr>
      <w:tr w:rsidR="00992365" w14:paraId="329A79FB" w14:textId="77777777">
        <w:trPr>
          <w:trHeight w:val="361"/>
          <w:jc w:val="right"/>
        </w:trPr>
        <w:tc>
          <w:tcPr>
            <w:tcW w:w="3936" w:type="dxa"/>
            <w:shd w:val="clear" w:color="auto" w:fill="auto"/>
          </w:tcPr>
          <w:p w14:paraId="5D44C731" w14:textId="77777777" w:rsidR="00992365" w:rsidRDefault="00A35D00">
            <w:pPr>
              <w:jc w:val="center"/>
              <w:rPr>
                <w:rFonts w:ascii="Times New Roman" w:eastAsia="Times New Roman" w:hAnsi="Times New Roman"/>
                <w:b/>
                <w:bCs/>
                <w:rtl/>
              </w:rPr>
            </w:pPr>
            <w:r>
              <w:rPr>
                <w:rFonts w:ascii="Times New Roman" w:eastAsia="Times New Roman" w:hAnsi="Times New Roman" w:hint="cs"/>
                <w:b/>
                <w:bCs/>
                <w:rtl/>
              </w:rPr>
              <w:t>רות שפילברג 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B4665CD" w14:textId="77777777" w:rsidR="00992365" w:rsidRDefault="00992365">
      <w:pPr>
        <w:jc w:val="right"/>
        <w:rPr>
          <w:rtl/>
        </w:rPr>
      </w:pPr>
    </w:p>
    <w:p w14:paraId="06BC5E97" w14:textId="77777777" w:rsidR="00992365" w:rsidRPr="00A35D00" w:rsidRDefault="00A35D00">
      <w:pPr>
        <w:jc w:val="center"/>
        <w:rPr>
          <w:color w:val="FFFFFF"/>
          <w:sz w:val="2"/>
          <w:szCs w:val="2"/>
          <w:rtl/>
        </w:rPr>
      </w:pPr>
      <w:r w:rsidRPr="00A35D00">
        <w:rPr>
          <w:color w:val="FFFFFF"/>
          <w:sz w:val="2"/>
          <w:szCs w:val="2"/>
          <w:rtl/>
        </w:rPr>
        <w:t>54678313</w:t>
      </w:r>
    </w:p>
    <w:p w14:paraId="038576BD" w14:textId="77777777" w:rsidR="00A35D00" w:rsidRPr="00A35D00" w:rsidRDefault="00A35D00" w:rsidP="00A35D00">
      <w:pPr>
        <w:keepNext/>
        <w:rPr>
          <w:color w:val="000000"/>
          <w:sz w:val="22"/>
          <w:szCs w:val="22"/>
          <w:rtl/>
        </w:rPr>
      </w:pPr>
    </w:p>
    <w:p w14:paraId="3228E6C2" w14:textId="77777777" w:rsidR="00A35D00" w:rsidRPr="00A35D00" w:rsidRDefault="00A35D00" w:rsidP="00A35D00">
      <w:pPr>
        <w:keepNext/>
        <w:rPr>
          <w:color w:val="000000"/>
          <w:sz w:val="22"/>
          <w:szCs w:val="22"/>
          <w:rtl/>
        </w:rPr>
      </w:pPr>
      <w:r w:rsidRPr="00A35D00">
        <w:rPr>
          <w:color w:val="000000"/>
          <w:sz w:val="22"/>
          <w:szCs w:val="22"/>
          <w:rtl/>
        </w:rPr>
        <w:t>רות שפילברג כהן 54678313</w:t>
      </w:r>
    </w:p>
    <w:p w14:paraId="66297FDC" w14:textId="77777777" w:rsidR="00A35D00" w:rsidRDefault="00A35D00" w:rsidP="00A35D00">
      <w:r w:rsidRPr="00A35D00">
        <w:rPr>
          <w:color w:val="000000"/>
          <w:rtl/>
        </w:rPr>
        <w:t>נוסח מסמך זה כפוף לשינויי ניסוח ועריכה</w:t>
      </w:r>
    </w:p>
    <w:p w14:paraId="611AFD87" w14:textId="77777777" w:rsidR="00A35D00" w:rsidRDefault="00A35D00" w:rsidP="00A35D00">
      <w:pPr>
        <w:rPr>
          <w:rtl/>
        </w:rPr>
      </w:pPr>
    </w:p>
    <w:p w14:paraId="637CFF61" w14:textId="77777777" w:rsidR="00A35D00" w:rsidRDefault="00A35D00" w:rsidP="00A35D00">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4D5E1630" w14:textId="77777777" w:rsidR="00992365" w:rsidRPr="00A35D00" w:rsidRDefault="00992365" w:rsidP="00A35D00">
      <w:pPr>
        <w:jc w:val="center"/>
        <w:rPr>
          <w:color w:val="0000FF"/>
          <w:u w:val="single"/>
        </w:rPr>
      </w:pPr>
    </w:p>
    <w:sectPr w:rsidR="00992365" w:rsidRPr="00A35D00" w:rsidSect="00A35D00">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34169" w14:textId="77777777" w:rsidR="00136260" w:rsidRDefault="00136260">
      <w:r>
        <w:separator/>
      </w:r>
    </w:p>
  </w:endnote>
  <w:endnote w:type="continuationSeparator" w:id="0">
    <w:p w14:paraId="6A467589" w14:textId="77777777" w:rsidR="00136260" w:rsidRDefault="0013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9F230" w14:textId="77777777" w:rsidR="00136260" w:rsidRDefault="00136260" w:rsidP="00A35D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59DCF247" w14:textId="77777777" w:rsidR="00136260" w:rsidRPr="00A35D00" w:rsidRDefault="00136260" w:rsidP="00A35D00">
    <w:pPr>
      <w:pStyle w:val="a5"/>
      <w:pBdr>
        <w:top w:val="single" w:sz="4" w:space="1" w:color="auto"/>
        <w:between w:val="single" w:sz="4" w:space="0" w:color="auto"/>
      </w:pBdr>
      <w:spacing w:after="60"/>
      <w:jc w:val="center"/>
      <w:rPr>
        <w:rFonts w:ascii="FrankRuehl" w:hAnsi="FrankRuehl" w:cs="FrankRuehl"/>
        <w:color w:val="000000"/>
      </w:rPr>
    </w:pPr>
    <w:r w:rsidRPr="00A35D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00FF" w14:textId="77777777" w:rsidR="00136260" w:rsidRDefault="00136260" w:rsidP="00A35D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22E2">
      <w:rPr>
        <w:rFonts w:ascii="FrankRuehl" w:hAnsi="FrankRuehl" w:cs="FrankRuehl"/>
        <w:noProof/>
        <w:rtl/>
      </w:rPr>
      <w:t>1</w:t>
    </w:r>
    <w:r>
      <w:rPr>
        <w:rFonts w:ascii="FrankRuehl" w:hAnsi="FrankRuehl" w:cs="FrankRuehl"/>
        <w:rtl/>
      </w:rPr>
      <w:fldChar w:fldCharType="end"/>
    </w:r>
  </w:p>
  <w:p w14:paraId="30B5F5E1" w14:textId="77777777" w:rsidR="00136260" w:rsidRPr="00A35D00" w:rsidRDefault="00136260" w:rsidP="00A35D00">
    <w:pPr>
      <w:pStyle w:val="a5"/>
      <w:pBdr>
        <w:top w:val="single" w:sz="4" w:space="1" w:color="auto"/>
        <w:between w:val="single" w:sz="4" w:space="0" w:color="auto"/>
      </w:pBdr>
      <w:spacing w:after="60"/>
      <w:jc w:val="center"/>
      <w:rPr>
        <w:rFonts w:ascii="FrankRuehl" w:hAnsi="FrankRuehl" w:cs="FrankRuehl"/>
        <w:color w:val="000000"/>
      </w:rPr>
    </w:pPr>
    <w:r w:rsidRPr="00A35D00">
      <w:rPr>
        <w:rFonts w:ascii="FrankRuehl" w:hAnsi="FrankRuehl" w:cs="FrankRuehl"/>
        <w:color w:val="000000"/>
      </w:rPr>
      <w:pict w14:anchorId="4055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30513" w14:textId="77777777" w:rsidR="00136260" w:rsidRDefault="00136260">
      <w:r>
        <w:separator/>
      </w:r>
    </w:p>
  </w:footnote>
  <w:footnote w:type="continuationSeparator" w:id="0">
    <w:p w14:paraId="5C1E315C" w14:textId="77777777" w:rsidR="00136260" w:rsidRDefault="00136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E451A" w14:textId="77777777" w:rsidR="00136260" w:rsidRPr="00A35D00" w:rsidRDefault="00136260" w:rsidP="00A35D00">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17342-06-15</w:t>
    </w:r>
    <w:r>
      <w:rPr>
        <w:color w:val="000000"/>
        <w:sz w:val="22"/>
        <w:szCs w:val="22"/>
        <w:rtl/>
      </w:rPr>
      <w:tab/>
      <w:t xml:space="preserve"> תביעות צפת נ' תומר ענטר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1401" w14:textId="77777777" w:rsidR="00136260" w:rsidRPr="00A35D00" w:rsidRDefault="00136260" w:rsidP="00A35D00">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17342-06-15</w:t>
    </w:r>
    <w:r>
      <w:rPr>
        <w:color w:val="000000"/>
        <w:sz w:val="22"/>
        <w:szCs w:val="22"/>
        <w:rtl/>
      </w:rPr>
      <w:tab/>
      <w:t xml:space="preserve"> תביעות צפת נ' תומר ענטר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2365"/>
    <w:rsid w:val="000E4919"/>
    <w:rsid w:val="00136260"/>
    <w:rsid w:val="002C6007"/>
    <w:rsid w:val="003550F3"/>
    <w:rsid w:val="007922E2"/>
    <w:rsid w:val="00992365"/>
    <w:rsid w:val="00A35D00"/>
    <w:rsid w:val="00F6583F"/>
    <w:rsid w:val="00FE5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200629"/>
  <w15:chartTrackingRefBased/>
  <w15:docId w15:val="{FD6A7271-4B86-4C61-94B3-60E45B87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36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92365"/>
  </w:style>
  <w:style w:type="paragraph" w:styleId="a4">
    <w:name w:val="header"/>
    <w:basedOn w:val="a"/>
    <w:rsid w:val="00992365"/>
    <w:pPr>
      <w:tabs>
        <w:tab w:val="center" w:pos="4153"/>
        <w:tab w:val="right" w:pos="8306"/>
      </w:tabs>
    </w:pPr>
  </w:style>
  <w:style w:type="paragraph" w:styleId="a5">
    <w:name w:val="footer"/>
    <w:basedOn w:val="a"/>
    <w:rsid w:val="00992365"/>
    <w:pPr>
      <w:tabs>
        <w:tab w:val="center" w:pos="4153"/>
        <w:tab w:val="right" w:pos="8306"/>
      </w:tabs>
    </w:pPr>
  </w:style>
  <w:style w:type="character" w:styleId="a6">
    <w:name w:val="page number"/>
    <w:basedOn w:val="a0"/>
    <w:rsid w:val="00992365"/>
  </w:style>
  <w:style w:type="character" w:customStyle="1" w:styleId="TimesNewRomanTimesNewRoman">
    <w:name w:val="סגנון (לטיני) Times New Roman (עברית ושפות אחרות) Times New Roman..."/>
    <w:rsid w:val="0099236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92365"/>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992365"/>
    <w:pPr>
      <w:spacing w:line="360" w:lineRule="auto"/>
      <w:jc w:val="both"/>
    </w:pPr>
    <w:rPr>
      <w:rFonts w:ascii="Times New Roman" w:eastAsia="Times New Roman" w:hAnsi="Times New Roman"/>
    </w:rPr>
  </w:style>
  <w:style w:type="paragraph" w:styleId="2">
    <w:name w:val="Body Text 2"/>
    <w:basedOn w:val="a"/>
    <w:link w:val="20"/>
    <w:rsid w:val="00992365"/>
    <w:pPr>
      <w:spacing w:after="120" w:line="480" w:lineRule="auto"/>
    </w:pPr>
  </w:style>
  <w:style w:type="character" w:customStyle="1" w:styleId="20">
    <w:name w:val="גוף טקסט 2 תו"/>
    <w:link w:val="2"/>
    <w:rsid w:val="00992365"/>
    <w:rPr>
      <w:rFonts w:ascii="David" w:eastAsia="David" w:hAnsi="David" w:cs="David"/>
      <w:sz w:val="24"/>
      <w:szCs w:val="24"/>
      <w:lang w:val="en-US" w:eastAsia="en-US" w:bidi="he-IL"/>
    </w:rPr>
  </w:style>
  <w:style w:type="character" w:styleId="Hyperlink">
    <w:name w:val="Hyperlink"/>
    <w:basedOn w:val="a0"/>
    <w:rsid w:val="00A35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0"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http://www.nevo.co.il/law/4216/10</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17342</vt:lpwstr>
  </property>
  <property fmtid="{D5CDD505-2E9C-101B-9397-08002B2CF9AE}" pid="6" name="NEWPARTB">
    <vt:lpwstr>06</vt:lpwstr>
  </property>
  <property fmtid="{D5CDD505-2E9C-101B-9397-08002B2CF9AE}" pid="7" name="NEWPARTC">
    <vt:lpwstr>15</vt:lpwstr>
  </property>
  <property fmtid="{D5CDD505-2E9C-101B-9397-08002B2CF9AE}" pid="8" name="APPELLANT">
    <vt:lpwstr>תביעות צפת</vt:lpwstr>
  </property>
  <property fmtid="{D5CDD505-2E9C-101B-9397-08002B2CF9AE}" pid="9" name="APPELLEE">
    <vt:lpwstr>תומר ענטר</vt:lpwstr>
  </property>
  <property fmtid="{D5CDD505-2E9C-101B-9397-08002B2CF9AE}" pid="10" name="LAWYER">
    <vt:lpwstr>מאור מזרחי;ו ירון שומרון</vt:lpwstr>
  </property>
  <property fmtid="{D5CDD505-2E9C-101B-9397-08002B2CF9AE}" pid="11" name="JUDGE">
    <vt:lpwstr>רות שפילברג כהן</vt:lpwstr>
  </property>
  <property fmtid="{D5CDD505-2E9C-101B-9397-08002B2CF9AE}" pid="12" name="CITY">
    <vt:lpwstr>ק"ש</vt:lpwstr>
  </property>
  <property fmtid="{D5CDD505-2E9C-101B-9397-08002B2CF9AE}" pid="13" name="DATE">
    <vt:lpwstr>20160710</vt:lpwstr>
  </property>
  <property fmtid="{D5CDD505-2E9C-101B-9397-08002B2CF9AE}" pid="14" name="TYPE_N_DATE">
    <vt:lpwstr>38020160710</vt:lpwstr>
  </property>
  <property fmtid="{D5CDD505-2E9C-101B-9397-08002B2CF9AE}" pid="15" name="WORDNUMPAGES">
    <vt:lpwstr>2</vt:lpwstr>
  </property>
  <property fmtid="{D5CDD505-2E9C-101B-9397-08002B2CF9AE}" pid="16" name="TYPE_ABS_DATE">
    <vt:lpwstr>380020160710</vt:lpwstr>
  </property>
  <property fmtid="{D5CDD505-2E9C-101B-9397-08002B2CF9AE}" pid="17" name="ISABSTRACT">
    <vt:lpwstr>Y</vt:lpwstr>
  </property>
  <property fmtid="{D5CDD505-2E9C-101B-9397-08002B2CF9AE}" pid="18" name="LAWLISTTMP1">
    <vt:lpwstr>4216/006;010</vt:lpwstr>
  </property>
</Properties>
</file>