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A524C" w:rsidRPr="00AC6335" w14:paraId="36F630F3" w14:textId="77777777">
        <w:trPr>
          <w:trHeight w:hRule="exact" w:val="418"/>
          <w:jc w:val="center"/>
        </w:trPr>
        <w:tc>
          <w:tcPr>
            <w:tcW w:w="8721" w:type="dxa"/>
            <w:gridSpan w:val="2"/>
          </w:tcPr>
          <w:p w14:paraId="5554F2DF" w14:textId="77777777" w:rsidR="000A524C" w:rsidRPr="00AC6335" w:rsidRDefault="000A524C" w:rsidP="00AC6335">
            <w:pPr>
              <w:pStyle w:val="a3"/>
              <w:jc w:val="center"/>
              <w:rPr>
                <w:rFonts w:ascii="Tahoma" w:hAnsi="Tahoma" w:cs="Tahoma"/>
                <w:color w:val="000080"/>
                <w:rtl/>
              </w:rPr>
            </w:pPr>
            <w:bookmarkStart w:id="0" w:name="LastJudge"/>
            <w:r w:rsidRPr="00AC6335">
              <w:rPr>
                <w:rFonts w:ascii="Tahoma" w:hAnsi="Tahoma" w:cs="Tahoma"/>
                <w:b/>
                <w:bCs/>
                <w:color w:val="000080"/>
                <w:rtl/>
              </w:rPr>
              <w:t>בית משפט השלום בכפר סבא</w:t>
            </w:r>
          </w:p>
        </w:tc>
      </w:tr>
      <w:tr w:rsidR="000A524C" w:rsidRPr="00AC6335" w14:paraId="7E01D301" w14:textId="77777777">
        <w:trPr>
          <w:trHeight w:val="337"/>
          <w:jc w:val="center"/>
        </w:trPr>
        <w:tc>
          <w:tcPr>
            <w:tcW w:w="5054" w:type="dxa"/>
          </w:tcPr>
          <w:p w14:paraId="1DC0AF40" w14:textId="77777777" w:rsidR="000A524C" w:rsidRPr="009E2B4B" w:rsidRDefault="000A524C" w:rsidP="00AC6335">
            <w:pPr>
              <w:rPr>
                <w:rFonts w:ascii="Arial" w:hAnsi="Arial"/>
                <w:b/>
                <w:bCs/>
                <w:sz w:val="26"/>
                <w:szCs w:val="26"/>
                <w:rtl/>
              </w:rPr>
            </w:pPr>
            <w:r w:rsidRPr="009E2B4B">
              <w:rPr>
                <w:rFonts w:ascii="Arial" w:hAnsi="Arial"/>
                <w:b/>
                <w:bCs/>
                <w:sz w:val="26"/>
                <w:szCs w:val="26"/>
                <w:rtl/>
              </w:rPr>
              <w:t>ת"פ</w:t>
            </w:r>
            <w:r w:rsidRPr="009E2B4B">
              <w:rPr>
                <w:rFonts w:ascii="Arial" w:hAnsi="Arial" w:hint="cs"/>
                <w:b/>
                <w:bCs/>
                <w:sz w:val="26"/>
                <w:szCs w:val="26"/>
                <w:rtl/>
              </w:rPr>
              <w:t xml:space="preserve"> </w:t>
            </w:r>
            <w:r w:rsidRPr="009E2B4B">
              <w:rPr>
                <w:rFonts w:ascii="Arial" w:hAnsi="Arial"/>
                <w:b/>
                <w:bCs/>
                <w:sz w:val="26"/>
                <w:szCs w:val="26"/>
                <w:rtl/>
              </w:rPr>
              <w:t>19827-06-15</w:t>
            </w:r>
            <w:r w:rsidRPr="009E2B4B">
              <w:rPr>
                <w:rFonts w:ascii="Arial" w:hAnsi="Arial" w:hint="cs"/>
                <w:b/>
                <w:bCs/>
                <w:sz w:val="26"/>
                <w:szCs w:val="26"/>
                <w:rtl/>
              </w:rPr>
              <w:t xml:space="preserve"> </w:t>
            </w:r>
            <w:r w:rsidRPr="009E2B4B">
              <w:rPr>
                <w:rFonts w:ascii="Arial" w:hAnsi="Arial"/>
                <w:b/>
                <w:bCs/>
                <w:sz w:val="26"/>
                <w:szCs w:val="26"/>
                <w:rtl/>
              </w:rPr>
              <w:t>מדינת ישראל נ' הלמר</w:t>
            </w:r>
          </w:p>
          <w:p w14:paraId="040FDCFB" w14:textId="77777777" w:rsidR="000A524C" w:rsidRPr="009E2B4B" w:rsidRDefault="000A524C" w:rsidP="00AC6335">
            <w:pPr>
              <w:pStyle w:val="a3"/>
              <w:rPr>
                <w:rFonts w:ascii="Arial" w:hAnsi="Arial"/>
                <w:b/>
                <w:bCs/>
                <w:sz w:val="26"/>
                <w:szCs w:val="26"/>
                <w:rtl/>
              </w:rPr>
            </w:pPr>
          </w:p>
        </w:tc>
        <w:tc>
          <w:tcPr>
            <w:tcW w:w="3667" w:type="dxa"/>
          </w:tcPr>
          <w:p w14:paraId="6F9D3B88" w14:textId="77777777" w:rsidR="000A524C" w:rsidRPr="00AC6335" w:rsidRDefault="000A524C" w:rsidP="00AC6335">
            <w:pPr>
              <w:pStyle w:val="a3"/>
              <w:jc w:val="right"/>
              <w:rPr>
                <w:rFonts w:cs="FrankRuehl"/>
                <w:sz w:val="28"/>
                <w:szCs w:val="28"/>
                <w:rtl/>
              </w:rPr>
            </w:pPr>
          </w:p>
        </w:tc>
      </w:tr>
    </w:tbl>
    <w:p w14:paraId="2708BE48" w14:textId="77777777" w:rsidR="000A524C" w:rsidRPr="00AC6335" w:rsidRDefault="000A524C" w:rsidP="000A524C">
      <w:pPr>
        <w:pStyle w:val="a3"/>
        <w:rPr>
          <w:rtl/>
        </w:rPr>
      </w:pPr>
      <w:r w:rsidRPr="00AC633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A524C" w:rsidRPr="00AC6335" w14:paraId="01EC07F6" w14:textId="77777777">
        <w:trPr>
          <w:trHeight w:val="295"/>
          <w:jc w:val="center"/>
        </w:trPr>
        <w:tc>
          <w:tcPr>
            <w:tcW w:w="923" w:type="dxa"/>
            <w:tcBorders>
              <w:top w:val="nil"/>
              <w:left w:val="nil"/>
              <w:bottom w:val="nil"/>
              <w:right w:val="nil"/>
            </w:tcBorders>
            <w:shd w:val="clear" w:color="auto" w:fill="auto"/>
          </w:tcPr>
          <w:p w14:paraId="15789FCF" w14:textId="77777777" w:rsidR="000A524C" w:rsidRPr="00AC6335" w:rsidRDefault="000A524C" w:rsidP="009E2B4B">
            <w:pPr>
              <w:spacing w:before="120" w:after="120"/>
              <w:jc w:val="both"/>
              <w:rPr>
                <w:rFonts w:ascii="Arial" w:hAnsi="Arial"/>
                <w:b/>
                <w:bCs/>
                <w:sz w:val="26"/>
                <w:szCs w:val="26"/>
              </w:rPr>
            </w:pPr>
            <w:r w:rsidRPr="00AC6335">
              <w:rPr>
                <w:rFonts w:ascii="Arial" w:hAnsi="Arial"/>
                <w:b/>
                <w:bCs/>
                <w:sz w:val="26"/>
                <w:szCs w:val="26"/>
                <w:rtl/>
              </w:rPr>
              <w:t xml:space="preserve">בפני </w:t>
            </w:r>
          </w:p>
        </w:tc>
        <w:tc>
          <w:tcPr>
            <w:tcW w:w="7897" w:type="dxa"/>
            <w:gridSpan w:val="2"/>
            <w:tcBorders>
              <w:top w:val="nil"/>
              <w:left w:val="nil"/>
              <w:bottom w:val="nil"/>
              <w:right w:val="nil"/>
            </w:tcBorders>
            <w:shd w:val="clear" w:color="auto" w:fill="auto"/>
          </w:tcPr>
          <w:p w14:paraId="4F977EE5" w14:textId="77777777" w:rsidR="000A524C" w:rsidRPr="00AC6335" w:rsidRDefault="000A524C" w:rsidP="009E2B4B">
            <w:pPr>
              <w:spacing w:before="120" w:after="120"/>
              <w:jc w:val="both"/>
              <w:rPr>
                <w:rFonts w:ascii="Arial" w:hAnsi="Arial"/>
                <w:b/>
                <w:bCs/>
                <w:sz w:val="26"/>
                <w:szCs w:val="26"/>
              </w:rPr>
            </w:pPr>
            <w:r w:rsidRPr="00AC6335">
              <w:rPr>
                <w:rFonts w:ascii="Arial" w:hAnsi="Arial"/>
                <w:b/>
                <w:bCs/>
                <w:sz w:val="26"/>
                <w:szCs w:val="26"/>
                <w:rtl/>
              </w:rPr>
              <w:t>כבוד ה</w:t>
            </w:r>
            <w:r w:rsidRPr="00AC6335">
              <w:rPr>
                <w:rFonts w:ascii="Arial" w:hAnsi="Arial" w:hint="cs"/>
                <w:b/>
                <w:bCs/>
                <w:sz w:val="26"/>
                <w:szCs w:val="26"/>
                <w:rtl/>
              </w:rPr>
              <w:t>שופטת</w:t>
            </w:r>
            <w:r w:rsidRPr="00AC6335">
              <w:rPr>
                <w:rFonts w:ascii="Arial" w:hAnsi="Arial"/>
                <w:b/>
                <w:bCs/>
                <w:sz w:val="26"/>
                <w:szCs w:val="26"/>
                <w:rtl/>
              </w:rPr>
              <w:t xml:space="preserve">  </w:t>
            </w:r>
            <w:r w:rsidRPr="00AC6335">
              <w:rPr>
                <w:rFonts w:ascii="Arial" w:hAnsi="Arial" w:hint="cs"/>
                <w:b/>
                <w:bCs/>
                <w:sz w:val="26"/>
                <w:szCs w:val="26"/>
                <w:rtl/>
              </w:rPr>
              <w:t>מרב גרינברג</w:t>
            </w:r>
          </w:p>
        </w:tc>
      </w:tr>
      <w:tr w:rsidR="000A524C" w:rsidRPr="00AC6335" w14:paraId="74A23570" w14:textId="77777777">
        <w:trPr>
          <w:trHeight w:val="355"/>
          <w:jc w:val="center"/>
        </w:trPr>
        <w:tc>
          <w:tcPr>
            <w:tcW w:w="923" w:type="dxa"/>
            <w:tcBorders>
              <w:top w:val="nil"/>
              <w:left w:val="nil"/>
              <w:bottom w:val="nil"/>
              <w:right w:val="nil"/>
            </w:tcBorders>
            <w:shd w:val="clear" w:color="auto" w:fill="auto"/>
          </w:tcPr>
          <w:p w14:paraId="56FA2A01" w14:textId="77777777" w:rsidR="000A524C" w:rsidRPr="00AC6335" w:rsidRDefault="000A524C" w:rsidP="009E2B4B">
            <w:pPr>
              <w:spacing w:before="120" w:after="120"/>
              <w:jc w:val="both"/>
              <w:rPr>
                <w:rFonts w:ascii="Arial" w:hAnsi="Arial"/>
                <w:b/>
                <w:bCs/>
                <w:sz w:val="26"/>
                <w:szCs w:val="26"/>
              </w:rPr>
            </w:pPr>
            <w:bookmarkStart w:id="1" w:name="FirstAppellant"/>
            <w:r w:rsidRPr="00AC6335">
              <w:rPr>
                <w:rFonts w:ascii="Arial" w:hAnsi="Arial"/>
                <w:b/>
                <w:bCs/>
                <w:sz w:val="26"/>
                <w:szCs w:val="26"/>
                <w:rtl/>
              </w:rPr>
              <w:t>בעניין:</w:t>
            </w:r>
          </w:p>
        </w:tc>
        <w:tc>
          <w:tcPr>
            <w:tcW w:w="4126" w:type="dxa"/>
            <w:tcBorders>
              <w:top w:val="nil"/>
              <w:left w:val="nil"/>
              <w:bottom w:val="nil"/>
              <w:right w:val="nil"/>
            </w:tcBorders>
            <w:shd w:val="clear" w:color="auto" w:fill="auto"/>
          </w:tcPr>
          <w:p w14:paraId="562A46B3" w14:textId="77777777" w:rsidR="000A524C" w:rsidRPr="00AC6335" w:rsidRDefault="000A524C" w:rsidP="009E2B4B">
            <w:pPr>
              <w:spacing w:before="120" w:after="120"/>
              <w:rPr>
                <w:rFonts w:ascii="Arial" w:hAnsi="Arial"/>
                <w:b/>
                <w:bCs/>
                <w:sz w:val="26"/>
                <w:szCs w:val="26"/>
              </w:rPr>
            </w:pPr>
            <w:r w:rsidRPr="00AC6335">
              <w:rPr>
                <w:rFonts w:ascii="Arial" w:hAnsi="Arial" w:hint="cs"/>
                <w:b/>
                <w:bCs/>
                <w:sz w:val="26"/>
                <w:szCs w:val="26"/>
                <w:rtl/>
              </w:rPr>
              <w:t>מדינת ישראל</w:t>
            </w:r>
          </w:p>
        </w:tc>
        <w:tc>
          <w:tcPr>
            <w:tcW w:w="3771" w:type="dxa"/>
            <w:tcBorders>
              <w:top w:val="nil"/>
              <w:left w:val="nil"/>
              <w:bottom w:val="nil"/>
              <w:right w:val="nil"/>
            </w:tcBorders>
            <w:shd w:val="clear" w:color="auto" w:fill="auto"/>
          </w:tcPr>
          <w:p w14:paraId="2EE725CF" w14:textId="77777777" w:rsidR="000A524C" w:rsidRPr="00AC6335" w:rsidRDefault="000A524C" w:rsidP="009E2B4B">
            <w:pPr>
              <w:spacing w:before="120" w:after="120"/>
              <w:jc w:val="both"/>
              <w:rPr>
                <w:rFonts w:ascii="Arial" w:hAnsi="Arial"/>
                <w:b/>
                <w:bCs/>
                <w:sz w:val="26"/>
                <w:szCs w:val="26"/>
              </w:rPr>
            </w:pPr>
          </w:p>
        </w:tc>
      </w:tr>
      <w:tr w:rsidR="000A524C" w:rsidRPr="00AC6335" w14:paraId="5A876EC2" w14:textId="77777777">
        <w:trPr>
          <w:trHeight w:val="355"/>
          <w:jc w:val="center"/>
        </w:trPr>
        <w:tc>
          <w:tcPr>
            <w:tcW w:w="923" w:type="dxa"/>
            <w:tcBorders>
              <w:top w:val="nil"/>
              <w:left w:val="nil"/>
              <w:bottom w:val="nil"/>
              <w:right w:val="nil"/>
            </w:tcBorders>
            <w:shd w:val="clear" w:color="auto" w:fill="auto"/>
          </w:tcPr>
          <w:p w14:paraId="0DE8EF38" w14:textId="77777777" w:rsidR="000A524C" w:rsidRPr="00AC6335" w:rsidRDefault="000A524C" w:rsidP="009E2B4B">
            <w:pPr>
              <w:spacing w:before="120" w:after="120"/>
              <w:jc w:val="both"/>
              <w:rPr>
                <w:rFonts w:ascii="Arial" w:hAnsi="Arial"/>
                <w:b/>
                <w:bCs/>
                <w:sz w:val="26"/>
                <w:szCs w:val="26"/>
                <w:rtl/>
              </w:rPr>
            </w:pPr>
            <w:bookmarkStart w:id="2" w:name="FirstLawyer"/>
            <w:bookmarkEnd w:id="1"/>
          </w:p>
        </w:tc>
        <w:tc>
          <w:tcPr>
            <w:tcW w:w="4126" w:type="dxa"/>
            <w:tcBorders>
              <w:top w:val="nil"/>
              <w:left w:val="nil"/>
              <w:bottom w:val="nil"/>
              <w:right w:val="nil"/>
            </w:tcBorders>
            <w:shd w:val="clear" w:color="auto" w:fill="auto"/>
          </w:tcPr>
          <w:p w14:paraId="3C2DEF9E" w14:textId="77777777" w:rsidR="000A524C" w:rsidRPr="00AC6335" w:rsidRDefault="000A524C" w:rsidP="009E2B4B">
            <w:pPr>
              <w:spacing w:before="120" w:after="120"/>
              <w:jc w:val="both"/>
              <w:rPr>
                <w:rFonts w:ascii="Arial" w:hAnsi="Arial"/>
                <w:b/>
                <w:bCs/>
                <w:sz w:val="26"/>
                <w:szCs w:val="26"/>
                <w:rtl/>
              </w:rPr>
            </w:pPr>
            <w:r w:rsidRPr="00AC6335">
              <w:rPr>
                <w:rFonts w:ascii="Arial" w:hAnsi="Arial"/>
                <w:b/>
                <w:bCs/>
                <w:sz w:val="26"/>
                <w:szCs w:val="26"/>
                <w:rtl/>
              </w:rPr>
              <w:t xml:space="preserve">ע"י ב"כ עו"ד מוטי חבה </w:t>
            </w:r>
          </w:p>
        </w:tc>
        <w:tc>
          <w:tcPr>
            <w:tcW w:w="3771" w:type="dxa"/>
            <w:tcBorders>
              <w:top w:val="nil"/>
              <w:left w:val="nil"/>
              <w:bottom w:val="nil"/>
              <w:right w:val="nil"/>
            </w:tcBorders>
            <w:shd w:val="clear" w:color="auto" w:fill="auto"/>
          </w:tcPr>
          <w:p w14:paraId="494E43AF" w14:textId="77777777" w:rsidR="000A524C" w:rsidRPr="00AC6335" w:rsidRDefault="000A524C" w:rsidP="009E2B4B">
            <w:pPr>
              <w:spacing w:before="120" w:after="120"/>
              <w:jc w:val="right"/>
              <w:rPr>
                <w:rFonts w:ascii="Arial" w:hAnsi="Arial"/>
                <w:b/>
                <w:bCs/>
                <w:sz w:val="26"/>
                <w:szCs w:val="26"/>
                <w:rtl/>
              </w:rPr>
            </w:pPr>
            <w:r w:rsidRPr="00AC6335">
              <w:rPr>
                <w:rFonts w:ascii="Arial" w:hAnsi="Arial"/>
                <w:b/>
                <w:bCs/>
                <w:sz w:val="26"/>
                <w:szCs w:val="26"/>
                <w:rtl/>
              </w:rPr>
              <w:t>ה</w:t>
            </w:r>
            <w:r w:rsidRPr="00AC6335">
              <w:rPr>
                <w:rFonts w:ascii="Arial" w:hAnsi="Arial" w:hint="cs"/>
                <w:b/>
                <w:bCs/>
                <w:sz w:val="26"/>
                <w:szCs w:val="26"/>
                <w:rtl/>
              </w:rPr>
              <w:t>מאשימה</w:t>
            </w:r>
          </w:p>
        </w:tc>
      </w:tr>
      <w:bookmarkEnd w:id="2"/>
      <w:tr w:rsidR="000A524C" w:rsidRPr="00AC6335" w14:paraId="441679B6" w14:textId="77777777">
        <w:trPr>
          <w:trHeight w:val="355"/>
          <w:jc w:val="center"/>
        </w:trPr>
        <w:tc>
          <w:tcPr>
            <w:tcW w:w="923" w:type="dxa"/>
            <w:tcBorders>
              <w:top w:val="nil"/>
              <w:left w:val="nil"/>
              <w:bottom w:val="nil"/>
              <w:right w:val="nil"/>
            </w:tcBorders>
            <w:shd w:val="clear" w:color="auto" w:fill="auto"/>
          </w:tcPr>
          <w:p w14:paraId="18B0EEAE" w14:textId="77777777" w:rsidR="000A524C" w:rsidRPr="00AC6335" w:rsidRDefault="000A524C" w:rsidP="00AC6335">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56C159C2" w14:textId="77777777" w:rsidR="000A524C" w:rsidRPr="00AC6335" w:rsidRDefault="000A524C" w:rsidP="00AC6335">
            <w:pPr>
              <w:jc w:val="center"/>
              <w:rPr>
                <w:rFonts w:ascii="Arial" w:hAnsi="Arial"/>
                <w:b/>
                <w:bCs/>
                <w:sz w:val="26"/>
                <w:szCs w:val="26"/>
                <w:rtl/>
              </w:rPr>
            </w:pPr>
          </w:p>
          <w:p w14:paraId="529D4B6E" w14:textId="77777777" w:rsidR="000A524C" w:rsidRPr="00AC6335" w:rsidRDefault="000A524C" w:rsidP="00AC6335">
            <w:pPr>
              <w:jc w:val="center"/>
              <w:rPr>
                <w:rFonts w:ascii="Arial" w:hAnsi="Arial"/>
                <w:b/>
                <w:bCs/>
                <w:sz w:val="26"/>
                <w:szCs w:val="26"/>
                <w:rtl/>
              </w:rPr>
            </w:pPr>
            <w:r w:rsidRPr="00AC6335">
              <w:rPr>
                <w:rFonts w:ascii="Arial" w:hAnsi="Arial"/>
                <w:b/>
                <w:bCs/>
                <w:sz w:val="26"/>
                <w:szCs w:val="26"/>
                <w:rtl/>
              </w:rPr>
              <w:t>נ  ג  ד</w:t>
            </w:r>
          </w:p>
          <w:p w14:paraId="7763A0A3" w14:textId="77777777" w:rsidR="000A524C" w:rsidRPr="00AC6335" w:rsidRDefault="000A524C" w:rsidP="00AC6335">
            <w:pPr>
              <w:jc w:val="both"/>
              <w:rPr>
                <w:rFonts w:ascii="Arial" w:hAnsi="Arial"/>
                <w:b/>
                <w:bCs/>
                <w:sz w:val="26"/>
                <w:szCs w:val="26"/>
              </w:rPr>
            </w:pPr>
          </w:p>
        </w:tc>
      </w:tr>
      <w:tr w:rsidR="000A524C" w:rsidRPr="00AC6335" w14:paraId="65468E01" w14:textId="77777777">
        <w:trPr>
          <w:trHeight w:val="355"/>
          <w:jc w:val="center"/>
        </w:trPr>
        <w:tc>
          <w:tcPr>
            <w:tcW w:w="923" w:type="dxa"/>
            <w:tcBorders>
              <w:top w:val="nil"/>
              <w:left w:val="nil"/>
              <w:bottom w:val="nil"/>
              <w:right w:val="nil"/>
            </w:tcBorders>
            <w:shd w:val="clear" w:color="auto" w:fill="auto"/>
          </w:tcPr>
          <w:p w14:paraId="2D48158F" w14:textId="77777777" w:rsidR="000A524C" w:rsidRPr="00AC6335" w:rsidRDefault="000A524C" w:rsidP="009E2B4B">
            <w:pPr>
              <w:spacing w:before="120" w:after="120"/>
              <w:rPr>
                <w:rFonts w:ascii="Arial" w:hAnsi="Arial"/>
                <w:b/>
                <w:bCs/>
                <w:sz w:val="26"/>
                <w:szCs w:val="26"/>
                <w:rtl/>
              </w:rPr>
            </w:pPr>
          </w:p>
        </w:tc>
        <w:tc>
          <w:tcPr>
            <w:tcW w:w="4126" w:type="dxa"/>
            <w:tcBorders>
              <w:top w:val="nil"/>
              <w:left w:val="nil"/>
              <w:bottom w:val="nil"/>
              <w:right w:val="nil"/>
            </w:tcBorders>
            <w:shd w:val="clear" w:color="auto" w:fill="auto"/>
          </w:tcPr>
          <w:p w14:paraId="416FCBA4" w14:textId="77777777" w:rsidR="000A524C" w:rsidRPr="00AC6335" w:rsidRDefault="000A524C" w:rsidP="009E2B4B">
            <w:pPr>
              <w:spacing w:before="120" w:after="120"/>
              <w:rPr>
                <w:rFonts w:ascii="Arial" w:hAnsi="Arial"/>
                <w:b/>
                <w:bCs/>
                <w:sz w:val="26"/>
                <w:szCs w:val="26"/>
                <w:rtl/>
              </w:rPr>
            </w:pPr>
            <w:r w:rsidRPr="00AC6335">
              <w:rPr>
                <w:rFonts w:ascii="Arial" w:hAnsi="Arial" w:hint="cs"/>
                <w:b/>
                <w:bCs/>
                <w:sz w:val="26"/>
                <w:szCs w:val="26"/>
                <w:rtl/>
              </w:rPr>
              <w:t>עמית הלמר</w:t>
            </w:r>
          </w:p>
        </w:tc>
        <w:tc>
          <w:tcPr>
            <w:tcW w:w="3771" w:type="dxa"/>
            <w:tcBorders>
              <w:top w:val="nil"/>
              <w:left w:val="nil"/>
              <w:bottom w:val="nil"/>
              <w:right w:val="nil"/>
            </w:tcBorders>
            <w:shd w:val="clear" w:color="auto" w:fill="auto"/>
          </w:tcPr>
          <w:p w14:paraId="78E4315C" w14:textId="77777777" w:rsidR="000A524C" w:rsidRPr="00AC6335" w:rsidRDefault="000A524C" w:rsidP="009E2B4B">
            <w:pPr>
              <w:spacing w:before="120" w:after="120"/>
              <w:jc w:val="right"/>
              <w:rPr>
                <w:rFonts w:ascii="Arial" w:hAnsi="Arial"/>
                <w:b/>
                <w:bCs/>
                <w:sz w:val="26"/>
                <w:szCs w:val="26"/>
              </w:rPr>
            </w:pPr>
          </w:p>
        </w:tc>
      </w:tr>
      <w:tr w:rsidR="000A524C" w:rsidRPr="00AC6335" w14:paraId="5F4EE7F6" w14:textId="77777777">
        <w:trPr>
          <w:trHeight w:val="355"/>
          <w:jc w:val="center"/>
        </w:trPr>
        <w:tc>
          <w:tcPr>
            <w:tcW w:w="923" w:type="dxa"/>
            <w:tcBorders>
              <w:top w:val="nil"/>
              <w:left w:val="nil"/>
              <w:bottom w:val="nil"/>
              <w:right w:val="nil"/>
            </w:tcBorders>
            <w:shd w:val="clear" w:color="auto" w:fill="auto"/>
          </w:tcPr>
          <w:p w14:paraId="5EC2B8AB" w14:textId="77777777" w:rsidR="000A524C" w:rsidRPr="00AC6335" w:rsidRDefault="000A524C" w:rsidP="009E2B4B">
            <w:pPr>
              <w:spacing w:before="120" w:after="120"/>
              <w:jc w:val="both"/>
              <w:rPr>
                <w:rFonts w:ascii="Arial" w:hAnsi="Arial"/>
                <w:b/>
                <w:bCs/>
                <w:sz w:val="26"/>
                <w:szCs w:val="26"/>
                <w:rtl/>
              </w:rPr>
            </w:pPr>
          </w:p>
        </w:tc>
        <w:tc>
          <w:tcPr>
            <w:tcW w:w="4126" w:type="dxa"/>
            <w:tcBorders>
              <w:top w:val="nil"/>
              <w:left w:val="nil"/>
              <w:bottom w:val="nil"/>
              <w:right w:val="nil"/>
            </w:tcBorders>
            <w:shd w:val="clear" w:color="auto" w:fill="auto"/>
          </w:tcPr>
          <w:p w14:paraId="6F335F12" w14:textId="77777777" w:rsidR="000A524C" w:rsidRPr="00AC6335" w:rsidRDefault="000A524C" w:rsidP="009E2B4B">
            <w:pPr>
              <w:spacing w:before="120" w:after="120"/>
              <w:jc w:val="both"/>
              <w:rPr>
                <w:rFonts w:ascii="Arial" w:hAnsi="Arial"/>
                <w:b/>
                <w:bCs/>
                <w:sz w:val="26"/>
                <w:szCs w:val="26"/>
                <w:rtl/>
              </w:rPr>
            </w:pPr>
            <w:r w:rsidRPr="00AC6335">
              <w:rPr>
                <w:rFonts w:ascii="Arial" w:hAnsi="Arial"/>
                <w:b/>
                <w:bCs/>
                <w:sz w:val="26"/>
                <w:szCs w:val="26"/>
                <w:rtl/>
              </w:rPr>
              <w:t xml:space="preserve">ע"י ב"כ עו"ד משה סוחמי </w:t>
            </w:r>
          </w:p>
        </w:tc>
        <w:tc>
          <w:tcPr>
            <w:tcW w:w="3771" w:type="dxa"/>
            <w:tcBorders>
              <w:top w:val="nil"/>
              <w:left w:val="nil"/>
              <w:bottom w:val="nil"/>
              <w:right w:val="nil"/>
            </w:tcBorders>
            <w:shd w:val="clear" w:color="auto" w:fill="auto"/>
          </w:tcPr>
          <w:p w14:paraId="20D32569" w14:textId="77777777" w:rsidR="000A524C" w:rsidRPr="00AC6335" w:rsidRDefault="000A524C" w:rsidP="009E2B4B">
            <w:pPr>
              <w:spacing w:before="120" w:after="120"/>
              <w:jc w:val="right"/>
              <w:rPr>
                <w:rFonts w:ascii="Arial" w:hAnsi="Arial"/>
                <w:b/>
                <w:bCs/>
                <w:sz w:val="26"/>
                <w:szCs w:val="26"/>
              </w:rPr>
            </w:pPr>
            <w:r w:rsidRPr="00AC6335">
              <w:rPr>
                <w:rFonts w:ascii="Arial" w:hAnsi="Arial"/>
                <w:b/>
                <w:bCs/>
                <w:sz w:val="26"/>
                <w:szCs w:val="26"/>
                <w:rtl/>
              </w:rPr>
              <w:t>ה</w:t>
            </w:r>
            <w:r w:rsidRPr="00AC6335">
              <w:rPr>
                <w:rFonts w:ascii="Arial" w:hAnsi="Arial" w:hint="cs"/>
                <w:b/>
                <w:bCs/>
                <w:sz w:val="26"/>
                <w:szCs w:val="26"/>
                <w:rtl/>
              </w:rPr>
              <w:t>נאשם</w:t>
            </w:r>
          </w:p>
        </w:tc>
      </w:tr>
    </w:tbl>
    <w:p w14:paraId="7125B8C2" w14:textId="77777777" w:rsidR="009E2B4B" w:rsidRDefault="009E2B4B" w:rsidP="000133DD">
      <w:pPr>
        <w:spacing w:after="120" w:line="240" w:lineRule="exact"/>
        <w:ind w:left="283" w:hanging="283"/>
        <w:jc w:val="both"/>
        <w:rPr>
          <w:rFonts w:ascii="FrankRuehl" w:hAnsi="FrankRuehl" w:cs="FrankRuehl"/>
          <w:rtl/>
        </w:rPr>
      </w:pPr>
      <w:bookmarkStart w:id="3" w:name="LawTable"/>
      <w:bookmarkEnd w:id="3"/>
    </w:p>
    <w:p w14:paraId="4F2DD600" w14:textId="77777777" w:rsidR="009E2B4B" w:rsidRPr="009E2B4B" w:rsidRDefault="009E2B4B" w:rsidP="009E2B4B">
      <w:pPr>
        <w:spacing w:after="120" w:line="240" w:lineRule="exact"/>
        <w:ind w:left="283" w:hanging="283"/>
        <w:jc w:val="both"/>
        <w:rPr>
          <w:rFonts w:ascii="FrankRuehl" w:hAnsi="FrankRuehl" w:cs="FrankRuehl"/>
          <w:rtl/>
        </w:rPr>
      </w:pPr>
      <w:r w:rsidRPr="009E2B4B">
        <w:rPr>
          <w:rFonts w:ascii="FrankRuehl" w:hAnsi="FrankRuehl" w:cs="FrankRuehl"/>
          <w:rtl/>
        </w:rPr>
        <w:t xml:space="preserve">חקיקה שאוזכרה: </w:t>
      </w:r>
    </w:p>
    <w:p w14:paraId="2C778AA7" w14:textId="77777777" w:rsidR="009E2B4B" w:rsidRPr="009E2B4B" w:rsidRDefault="009E2B4B" w:rsidP="009E2B4B">
      <w:pPr>
        <w:spacing w:after="120" w:line="240" w:lineRule="exact"/>
        <w:ind w:left="283" w:hanging="283"/>
        <w:jc w:val="both"/>
        <w:rPr>
          <w:rFonts w:ascii="FrankRuehl" w:hAnsi="FrankRuehl" w:cs="FrankRuehl"/>
          <w:rtl/>
        </w:rPr>
      </w:pPr>
      <w:hyperlink r:id="rId7" w:history="1">
        <w:r w:rsidRPr="009E2B4B">
          <w:rPr>
            <w:rFonts w:ascii="FrankRuehl" w:hAnsi="FrankRuehl" w:cs="FrankRuehl"/>
            <w:color w:val="0000FF"/>
            <w:u w:val="single"/>
            <w:rtl/>
          </w:rPr>
          <w:t>פקודת הסמים המסוכנים [נוסח חדש], תשל"ג-1973</w:t>
        </w:r>
      </w:hyperlink>
      <w:r w:rsidRPr="009E2B4B">
        <w:rPr>
          <w:rFonts w:ascii="FrankRuehl" w:hAnsi="FrankRuehl" w:cs="FrankRuehl"/>
          <w:rtl/>
        </w:rPr>
        <w:t xml:space="preserve">: סע'  </w:t>
      </w:r>
      <w:hyperlink r:id="rId8" w:history="1">
        <w:r w:rsidRPr="009E2B4B">
          <w:rPr>
            <w:rFonts w:ascii="FrankRuehl" w:hAnsi="FrankRuehl" w:cs="FrankRuehl"/>
            <w:color w:val="0000FF"/>
            <w:u w:val="single"/>
            <w:rtl/>
          </w:rPr>
          <w:t>6</w:t>
        </w:r>
      </w:hyperlink>
      <w:r w:rsidRPr="009E2B4B">
        <w:rPr>
          <w:rFonts w:ascii="FrankRuehl" w:hAnsi="FrankRuehl" w:cs="FrankRuehl"/>
          <w:rtl/>
        </w:rPr>
        <w:t xml:space="preserve">, </w:t>
      </w:r>
      <w:hyperlink r:id="rId9" w:history="1">
        <w:r w:rsidRPr="009E2B4B">
          <w:rPr>
            <w:rFonts w:ascii="FrankRuehl" w:hAnsi="FrankRuehl" w:cs="FrankRuehl"/>
            <w:color w:val="0000FF"/>
            <w:u w:val="single"/>
            <w:rtl/>
          </w:rPr>
          <w:t>7.א.</w:t>
        </w:r>
      </w:hyperlink>
      <w:r w:rsidRPr="009E2B4B">
        <w:rPr>
          <w:rFonts w:ascii="FrankRuehl" w:hAnsi="FrankRuehl" w:cs="FrankRuehl"/>
          <w:rtl/>
        </w:rPr>
        <w:t xml:space="preserve">, </w:t>
      </w:r>
      <w:hyperlink r:id="rId10" w:history="1">
        <w:r w:rsidRPr="009E2B4B">
          <w:rPr>
            <w:rFonts w:ascii="FrankRuehl" w:hAnsi="FrankRuehl" w:cs="FrankRuehl"/>
            <w:color w:val="0000FF"/>
            <w:u w:val="single"/>
            <w:rtl/>
          </w:rPr>
          <w:t>7.ג</w:t>
        </w:r>
      </w:hyperlink>
      <w:r w:rsidRPr="009E2B4B">
        <w:rPr>
          <w:rFonts w:ascii="FrankRuehl" w:hAnsi="FrankRuehl" w:cs="FrankRuehl"/>
          <w:rtl/>
        </w:rPr>
        <w:t xml:space="preserve">, </w:t>
      </w:r>
      <w:hyperlink r:id="rId11" w:history="1">
        <w:r w:rsidRPr="009E2B4B">
          <w:rPr>
            <w:rFonts w:ascii="FrankRuehl" w:hAnsi="FrankRuehl" w:cs="FrankRuehl"/>
            <w:color w:val="0000FF"/>
            <w:u w:val="single"/>
            <w:rtl/>
          </w:rPr>
          <w:t>10</w:t>
        </w:r>
      </w:hyperlink>
    </w:p>
    <w:p w14:paraId="010EFB8B" w14:textId="77777777" w:rsidR="009E2B4B" w:rsidRPr="009E2B4B" w:rsidRDefault="009E2B4B" w:rsidP="009E2B4B">
      <w:pPr>
        <w:spacing w:after="120" w:line="240" w:lineRule="exact"/>
        <w:ind w:left="283" w:hanging="283"/>
        <w:jc w:val="both"/>
        <w:rPr>
          <w:rFonts w:ascii="FrankRuehl" w:hAnsi="FrankRuehl" w:cs="FrankRuehl"/>
          <w:rtl/>
        </w:rPr>
      </w:pPr>
      <w:hyperlink r:id="rId12" w:history="1">
        <w:r w:rsidRPr="009E2B4B">
          <w:rPr>
            <w:rFonts w:ascii="FrankRuehl" w:hAnsi="FrankRuehl" w:cs="FrankRuehl"/>
            <w:color w:val="0000FF"/>
            <w:u w:val="single"/>
            <w:rtl/>
          </w:rPr>
          <w:t>חוק העונשין, תשל"ז-1977</w:t>
        </w:r>
      </w:hyperlink>
      <w:r w:rsidRPr="009E2B4B">
        <w:rPr>
          <w:rFonts w:ascii="FrankRuehl" w:hAnsi="FrankRuehl" w:cs="FrankRuehl"/>
          <w:rtl/>
        </w:rPr>
        <w:t xml:space="preserve">: סע'  </w:t>
      </w:r>
      <w:hyperlink r:id="rId13" w:history="1">
        <w:r w:rsidRPr="009E2B4B">
          <w:rPr>
            <w:rFonts w:ascii="FrankRuehl" w:hAnsi="FrankRuehl" w:cs="FrankRuehl"/>
            <w:color w:val="0000FF"/>
            <w:u w:val="single"/>
            <w:rtl/>
          </w:rPr>
          <w:t>40ג(א)</w:t>
        </w:r>
      </w:hyperlink>
      <w:r w:rsidRPr="009E2B4B">
        <w:rPr>
          <w:rFonts w:ascii="FrankRuehl" w:hAnsi="FrankRuehl" w:cs="FrankRuehl"/>
          <w:rtl/>
        </w:rPr>
        <w:t xml:space="preserve">, </w:t>
      </w:r>
      <w:hyperlink r:id="rId14" w:history="1">
        <w:r w:rsidRPr="009E2B4B">
          <w:rPr>
            <w:rFonts w:ascii="FrankRuehl" w:hAnsi="FrankRuehl" w:cs="FrankRuehl"/>
            <w:color w:val="0000FF"/>
            <w:u w:val="single"/>
            <w:rtl/>
          </w:rPr>
          <w:t>40ט'</w:t>
        </w:r>
      </w:hyperlink>
      <w:r w:rsidRPr="009E2B4B">
        <w:rPr>
          <w:rFonts w:ascii="FrankRuehl" w:hAnsi="FrankRuehl" w:cs="FrankRuehl"/>
          <w:rtl/>
        </w:rPr>
        <w:t xml:space="preserve">, </w:t>
      </w:r>
      <w:hyperlink r:id="rId15" w:history="1">
        <w:r w:rsidRPr="009E2B4B">
          <w:rPr>
            <w:rFonts w:ascii="FrankRuehl" w:hAnsi="FrankRuehl" w:cs="FrankRuehl"/>
            <w:color w:val="0000FF"/>
            <w:u w:val="single"/>
            <w:rtl/>
          </w:rPr>
          <w:t>40יא</w:t>
        </w:r>
      </w:hyperlink>
    </w:p>
    <w:p w14:paraId="36D4B2ED" w14:textId="77777777" w:rsidR="009E2B4B" w:rsidRPr="009E2B4B" w:rsidRDefault="009E2B4B" w:rsidP="009E2B4B">
      <w:pPr>
        <w:spacing w:after="120" w:line="240" w:lineRule="exact"/>
        <w:ind w:left="283" w:hanging="283"/>
        <w:jc w:val="both"/>
        <w:rPr>
          <w:rFonts w:ascii="FrankRuehl" w:hAnsi="FrankRuehl" w:cs="FrankRuehl"/>
          <w:rtl/>
        </w:rPr>
      </w:pPr>
    </w:p>
    <w:p w14:paraId="18E1071E" w14:textId="77777777" w:rsidR="009E2B4B" w:rsidRDefault="009E2B4B" w:rsidP="009E2B4B">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0BDAC0C0" w14:textId="77777777" w:rsidR="009E2B4B" w:rsidRPr="009E2B4B" w:rsidRDefault="009E2B4B" w:rsidP="009E2B4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E2B4B">
        <w:rPr>
          <w:rFonts w:cs="FrankRuehl"/>
          <w:szCs w:val="26"/>
          <w:rtl/>
        </w:rPr>
        <w:t>בית המשפט גזר על הנאשם שהורשע על יסוד הודאתו בביצוע עבירות סמים עונש שכולל 8 חודשי מאסר בפועל. נפסק, כי נוכח נסיבותיו של הנאשם, יש למקם את עונשו בתחתית מתחם הענישה</w:t>
      </w:r>
    </w:p>
    <w:p w14:paraId="622137BA" w14:textId="77777777" w:rsidR="000E716F" w:rsidRDefault="009E2B4B" w:rsidP="009E2B4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2F63BA54" w14:textId="77777777" w:rsidR="009E2B4B" w:rsidRDefault="009E2B4B" w:rsidP="009E2B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FF0079A" w14:textId="77777777" w:rsidR="000E716F" w:rsidRPr="009E2B4B" w:rsidRDefault="000E716F" w:rsidP="009E2B4B">
      <w:pPr>
        <w:pBdr>
          <w:top w:val="single" w:sz="4" w:space="1" w:color="auto"/>
          <w:bottom w:val="single" w:sz="4" w:space="1" w:color="auto"/>
        </w:pBdr>
        <w:spacing w:after="120" w:line="320" w:lineRule="exact"/>
        <w:jc w:val="both"/>
        <w:rPr>
          <w:rFonts w:cs="FrankRuehl"/>
          <w:szCs w:val="26"/>
          <w:rtl/>
        </w:rPr>
      </w:pPr>
      <w:r w:rsidRPr="009E2B4B">
        <w:rPr>
          <w:rFonts w:cs="FrankRuehl"/>
          <w:szCs w:val="26"/>
          <w:rtl/>
        </w:rPr>
        <w:t>בית המשפט נדרש לגזור את דינו של הנאשם שהורשע על יסוד הודאתו בעובדות כתב אישום מתוקן, המייחס לו עבירות של גידול יצור והכנת סמים מסוכנים, החזקת סם שלא לצריכה עצמית, והחזקת כלים להכנת סם שלא לצריכה עצמית.</w:t>
      </w:r>
    </w:p>
    <w:p w14:paraId="566065AD" w14:textId="77777777" w:rsidR="000E716F" w:rsidRPr="009E2B4B" w:rsidRDefault="009E2B4B" w:rsidP="009E2B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B2989AB" w14:textId="77777777" w:rsidR="000E716F" w:rsidRPr="009E2B4B" w:rsidRDefault="000E716F" w:rsidP="009E2B4B">
      <w:pPr>
        <w:pBdr>
          <w:top w:val="single" w:sz="4" w:space="1" w:color="auto"/>
          <w:bottom w:val="single" w:sz="4" w:space="1" w:color="auto"/>
        </w:pBdr>
        <w:spacing w:after="120" w:line="320" w:lineRule="exact"/>
        <w:jc w:val="both"/>
        <w:rPr>
          <w:rFonts w:cs="FrankRuehl"/>
          <w:szCs w:val="26"/>
          <w:rtl/>
        </w:rPr>
      </w:pPr>
      <w:r w:rsidRPr="009E2B4B">
        <w:rPr>
          <w:rFonts w:cs="FrankRuehl"/>
          <w:szCs w:val="26"/>
          <w:rtl/>
        </w:rPr>
        <w:t xml:space="preserve">בית המשפט פסק כלהלן:  </w:t>
      </w:r>
    </w:p>
    <w:p w14:paraId="13934D93" w14:textId="77777777" w:rsidR="000E716F" w:rsidRPr="009E2B4B" w:rsidRDefault="000E716F" w:rsidP="009E2B4B">
      <w:pPr>
        <w:pBdr>
          <w:top w:val="single" w:sz="4" w:space="1" w:color="auto"/>
          <w:bottom w:val="single" w:sz="4" w:space="1" w:color="auto"/>
        </w:pBdr>
        <w:overflowPunct w:val="0"/>
        <w:autoSpaceDE w:val="0"/>
        <w:autoSpaceDN w:val="0"/>
        <w:spacing w:after="120" w:line="320" w:lineRule="exact"/>
        <w:jc w:val="both"/>
        <w:rPr>
          <w:rFonts w:cs="FrankRuehl"/>
          <w:szCs w:val="26"/>
          <w:rtl/>
          <w:lang w:eastAsia="he-IL"/>
        </w:rPr>
      </w:pPr>
      <w:r w:rsidRPr="009E2B4B">
        <w:rPr>
          <w:rFonts w:cs="FrankRuehl"/>
          <w:szCs w:val="26"/>
          <w:rtl/>
          <w:lang w:eastAsia="he-IL"/>
        </w:rPr>
        <w:t xml:space="preserve">בתי המשפט שבו ועמדו על חשיבות המאבק בעבירות הסמים. כמו כן הודגש הפסול שבעבירות השימוש בסמים והשלכותיו הקשות על גופו ונפשו של המשתמש, ולפיכך נקבע כי הענישה אמורה לשקף את הצורך במיגור תופעה זו. יש להילחם מלחמת חורמה קשה וארוכה, בעברייני הסמים המחזיקים, הסוחרים והמפיצים. </w:t>
      </w:r>
    </w:p>
    <w:p w14:paraId="1513BBD3" w14:textId="77777777" w:rsidR="000E716F" w:rsidRPr="009E2B4B" w:rsidRDefault="000E716F" w:rsidP="009E2B4B">
      <w:pPr>
        <w:pBdr>
          <w:top w:val="single" w:sz="4" w:space="1" w:color="auto"/>
          <w:bottom w:val="single" w:sz="4" w:space="1" w:color="auto"/>
        </w:pBdr>
        <w:overflowPunct w:val="0"/>
        <w:autoSpaceDE w:val="0"/>
        <w:autoSpaceDN w:val="0"/>
        <w:spacing w:after="120" w:line="320" w:lineRule="exact"/>
        <w:jc w:val="both"/>
        <w:rPr>
          <w:rFonts w:cs="FrankRuehl"/>
          <w:szCs w:val="26"/>
          <w:lang w:eastAsia="he-IL"/>
        </w:rPr>
      </w:pPr>
      <w:r w:rsidRPr="009E2B4B">
        <w:rPr>
          <w:rFonts w:cs="FrankRuehl"/>
          <w:szCs w:val="26"/>
          <w:rtl/>
        </w:rPr>
        <w:t xml:space="preserve">מדיניות הענישה הראויה בעבירות ממין דא מחייבת הטלת עונשים מרתיעים, על מנת לבטא את הצורך במאבק בנגע הסמים ובהשפעותיו השליליות על החברה. העונשים, כמובן משתנים בהתאם לנסיבות כל </w:t>
      </w:r>
      <w:r w:rsidRPr="009E2B4B">
        <w:rPr>
          <w:rFonts w:cs="FrankRuehl"/>
          <w:szCs w:val="26"/>
          <w:rtl/>
        </w:rPr>
        <w:lastRenderedPageBreak/>
        <w:t xml:space="preserve">מקרה, וביחס לכמות הסם שנתפסה וסוגו. מתווה הענישה בעבירות של גידול סם והחזקתו בנסיבותיו של הנאשם נעה בין 7-18 חודשי מאסר לצד ענישה נלווית. כל סטייה לקולא, גם לריצוי מאסר בדרך של עבודות שירות, מחייבת, נסיבות חריגות או שילוב בהליך שיקומי ארוך טווח ונושא פירות. </w:t>
      </w:r>
    </w:p>
    <w:p w14:paraId="311942B4" w14:textId="77777777" w:rsidR="000E716F" w:rsidRPr="000E716F" w:rsidRDefault="000E716F" w:rsidP="000133DD">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524C" w14:paraId="5023BC7D" w14:textId="77777777">
        <w:trPr>
          <w:trHeight w:val="355"/>
          <w:jc w:val="center"/>
        </w:trPr>
        <w:tc>
          <w:tcPr>
            <w:tcW w:w="8820" w:type="dxa"/>
            <w:tcBorders>
              <w:top w:val="nil"/>
              <w:left w:val="nil"/>
              <w:bottom w:val="nil"/>
              <w:right w:val="nil"/>
            </w:tcBorders>
            <w:shd w:val="clear" w:color="auto" w:fill="auto"/>
          </w:tcPr>
          <w:p w14:paraId="3120BDF2" w14:textId="77777777" w:rsidR="000A524C" w:rsidRPr="00AC6335" w:rsidRDefault="00AC6335" w:rsidP="00AC6335">
            <w:pPr>
              <w:jc w:val="center"/>
              <w:rPr>
                <w:rFonts w:ascii="Arial" w:hAnsi="Arial" w:cs="FrankRuehl"/>
                <w:bCs/>
                <w:sz w:val="32"/>
                <w:szCs w:val="32"/>
                <w:u w:val="single"/>
                <w:rtl/>
              </w:rPr>
            </w:pPr>
            <w:bookmarkStart w:id="7" w:name="PsakDin" w:colFirst="0" w:colLast="0"/>
            <w:bookmarkEnd w:id="0"/>
            <w:r w:rsidRPr="00AC6335">
              <w:rPr>
                <w:rFonts w:ascii="Arial" w:hAnsi="Arial" w:cs="FrankRuehl"/>
                <w:b/>
                <w:bCs/>
                <w:sz w:val="32"/>
                <w:szCs w:val="32"/>
                <w:u w:val="single"/>
                <w:rtl/>
              </w:rPr>
              <w:t>גזר דין</w:t>
            </w:r>
          </w:p>
        </w:tc>
      </w:tr>
      <w:bookmarkEnd w:id="7"/>
    </w:tbl>
    <w:p w14:paraId="0602DD82" w14:textId="77777777" w:rsidR="000A524C" w:rsidRPr="00B05847" w:rsidRDefault="000A524C" w:rsidP="000A524C">
      <w:pPr>
        <w:rPr>
          <w:rFonts w:ascii="Arial" w:hAnsi="Arial"/>
          <w:rtl/>
        </w:rPr>
      </w:pPr>
    </w:p>
    <w:p w14:paraId="36F86C64" w14:textId="77777777" w:rsidR="000A524C" w:rsidRDefault="000A524C" w:rsidP="000A524C">
      <w:pPr>
        <w:spacing w:line="360" w:lineRule="auto"/>
        <w:rPr>
          <w:rFonts w:ascii="Calibri" w:hAnsi="Calibri" w:cs="Calibri"/>
          <w:b/>
          <w:bCs/>
          <w:u w:val="single"/>
        </w:rPr>
      </w:pPr>
      <w:r>
        <w:rPr>
          <w:rFonts w:ascii="Calibri" w:hAnsi="Calibri" w:hint="cs"/>
          <w:b/>
          <w:bCs/>
          <w:u w:val="single"/>
          <w:rtl/>
        </w:rPr>
        <w:t>רקע כללי</w:t>
      </w:r>
    </w:p>
    <w:p w14:paraId="7362F996" w14:textId="77777777" w:rsidR="000A524C" w:rsidRDefault="000A524C" w:rsidP="000A524C">
      <w:pPr>
        <w:spacing w:line="360" w:lineRule="auto"/>
        <w:ind w:left="720"/>
        <w:contextualSpacing/>
        <w:rPr>
          <w:rFonts w:ascii="Arial" w:hAnsi="Arial" w:cs="Arial"/>
          <w:b/>
          <w:bCs/>
          <w:u w:val="single"/>
        </w:rPr>
      </w:pPr>
    </w:p>
    <w:p w14:paraId="370DF7B6" w14:textId="77777777" w:rsidR="000A524C" w:rsidRDefault="000A524C" w:rsidP="000A524C">
      <w:pPr>
        <w:numPr>
          <w:ilvl w:val="0"/>
          <w:numId w:val="1"/>
        </w:numPr>
        <w:spacing w:after="160" w:line="360" w:lineRule="auto"/>
        <w:contextualSpacing/>
        <w:jc w:val="both"/>
        <w:rPr>
          <w:rFonts w:ascii="Calibri" w:hAnsi="Calibri"/>
        </w:rPr>
      </w:pPr>
      <w:r>
        <w:rPr>
          <w:rFonts w:ascii="Calibri" w:hAnsi="Calibri" w:hint="cs"/>
          <w:rtl/>
        </w:rPr>
        <w:t xml:space="preserve">הנאשם הורשע על יסוד הודאתו בעובדות כתב אישום מתוקן, המייחס לו עבירות של </w:t>
      </w:r>
      <w:r>
        <w:rPr>
          <w:rFonts w:ascii="Calibri" w:hAnsi="Calibri" w:hint="cs"/>
          <w:b/>
          <w:bCs/>
          <w:rtl/>
        </w:rPr>
        <w:t>גידול יצור והכנת סמים מסוכנים</w:t>
      </w:r>
      <w:r>
        <w:rPr>
          <w:rFonts w:ascii="Calibri" w:hAnsi="Calibri" w:hint="cs"/>
          <w:rtl/>
        </w:rPr>
        <w:t xml:space="preserve"> - לפי </w:t>
      </w:r>
      <w:hyperlink r:id="rId16" w:history="1">
        <w:r w:rsidR="000133DD" w:rsidRPr="000133DD">
          <w:rPr>
            <w:rFonts w:ascii="Calibri" w:hAnsi="Calibri" w:hint="eastAsia"/>
            <w:color w:val="0000FF"/>
            <w:u w:val="single"/>
            <w:rtl/>
          </w:rPr>
          <w:t>סעיף</w:t>
        </w:r>
        <w:r w:rsidR="000133DD" w:rsidRPr="000133DD">
          <w:rPr>
            <w:rFonts w:ascii="Calibri" w:hAnsi="Calibri"/>
            <w:color w:val="0000FF"/>
            <w:u w:val="single"/>
            <w:rtl/>
          </w:rPr>
          <w:t xml:space="preserve"> 6</w:t>
        </w:r>
      </w:hyperlink>
      <w:r>
        <w:rPr>
          <w:rFonts w:ascii="Calibri" w:hAnsi="Calibri" w:hint="cs"/>
          <w:u w:val="single"/>
          <w:rtl/>
        </w:rPr>
        <w:t xml:space="preserve"> ל</w:t>
      </w:r>
      <w:hyperlink r:id="rId17" w:history="1">
        <w:r w:rsidR="00AC6335" w:rsidRPr="00AC6335">
          <w:rPr>
            <w:rFonts w:ascii="Calibri" w:hAnsi="Calibri" w:hint="eastAsia"/>
            <w:color w:val="0000FF"/>
            <w:u w:val="single"/>
            <w:rtl/>
          </w:rPr>
          <w:t>פקודת</w:t>
        </w:r>
        <w:r w:rsidR="00AC6335" w:rsidRPr="00AC6335">
          <w:rPr>
            <w:rFonts w:ascii="Calibri" w:hAnsi="Calibri"/>
            <w:color w:val="0000FF"/>
            <w:u w:val="single"/>
            <w:rtl/>
          </w:rPr>
          <w:t xml:space="preserve"> </w:t>
        </w:r>
        <w:r w:rsidR="00AC6335" w:rsidRPr="00AC6335">
          <w:rPr>
            <w:rFonts w:ascii="Calibri" w:hAnsi="Calibri" w:hint="eastAsia"/>
            <w:color w:val="0000FF"/>
            <w:u w:val="single"/>
            <w:rtl/>
          </w:rPr>
          <w:t>הסמים</w:t>
        </w:r>
        <w:r w:rsidR="00AC6335" w:rsidRPr="00AC6335">
          <w:rPr>
            <w:rFonts w:ascii="Calibri" w:hAnsi="Calibri"/>
            <w:color w:val="0000FF"/>
            <w:u w:val="single"/>
            <w:rtl/>
          </w:rPr>
          <w:t xml:space="preserve"> </w:t>
        </w:r>
        <w:r w:rsidR="00AC6335" w:rsidRPr="00AC6335">
          <w:rPr>
            <w:rFonts w:ascii="Calibri" w:hAnsi="Calibri" w:hint="eastAsia"/>
            <w:color w:val="0000FF"/>
            <w:u w:val="single"/>
            <w:rtl/>
          </w:rPr>
          <w:t>המסוכנים</w:t>
        </w:r>
      </w:hyperlink>
      <w:r>
        <w:rPr>
          <w:rFonts w:ascii="Calibri" w:hAnsi="Calibri" w:hint="cs"/>
          <w:u w:val="single"/>
          <w:rtl/>
        </w:rPr>
        <w:t xml:space="preserve"> [נוסח חדש], התשל"ג –  1973</w:t>
      </w:r>
      <w:r>
        <w:rPr>
          <w:rFonts w:ascii="Calibri" w:hAnsi="Calibri" w:hint="cs"/>
          <w:rtl/>
        </w:rPr>
        <w:t xml:space="preserve"> (שתי עבירות) (להלן: "פקודת הסמים"), </w:t>
      </w:r>
      <w:r>
        <w:rPr>
          <w:rFonts w:ascii="Calibri" w:hAnsi="Calibri" w:hint="cs"/>
          <w:b/>
          <w:bCs/>
          <w:rtl/>
        </w:rPr>
        <w:t xml:space="preserve">החזקת סם שלא לצריכה עצמית- </w:t>
      </w:r>
      <w:r>
        <w:rPr>
          <w:rFonts w:ascii="Calibri" w:hAnsi="Calibri" w:hint="cs"/>
          <w:rtl/>
        </w:rPr>
        <w:t xml:space="preserve">עבירה לפי </w:t>
      </w:r>
      <w:hyperlink r:id="rId18" w:history="1">
        <w:r w:rsidR="000133DD" w:rsidRPr="000133DD">
          <w:rPr>
            <w:rFonts w:ascii="Calibri" w:hAnsi="Calibri" w:hint="eastAsia"/>
            <w:color w:val="0000FF"/>
            <w:u w:val="single"/>
            <w:rtl/>
          </w:rPr>
          <w:t>סעיף</w:t>
        </w:r>
        <w:r w:rsidR="000133DD" w:rsidRPr="000133DD">
          <w:rPr>
            <w:rFonts w:ascii="Calibri" w:hAnsi="Calibri"/>
            <w:color w:val="0000FF"/>
            <w:u w:val="single"/>
            <w:rtl/>
          </w:rPr>
          <w:t xml:space="preserve"> 7(</w:t>
        </w:r>
        <w:r w:rsidR="000133DD" w:rsidRPr="000133DD">
          <w:rPr>
            <w:rFonts w:ascii="Calibri" w:hAnsi="Calibri" w:hint="eastAsia"/>
            <w:color w:val="0000FF"/>
            <w:u w:val="single"/>
            <w:rtl/>
          </w:rPr>
          <w:t>א</w:t>
        </w:r>
        <w:r w:rsidR="000133DD" w:rsidRPr="000133DD">
          <w:rPr>
            <w:rFonts w:ascii="Calibri" w:hAnsi="Calibri"/>
            <w:color w:val="0000FF"/>
            <w:u w:val="single"/>
            <w:rtl/>
          </w:rPr>
          <w:t>)+(</w:t>
        </w:r>
        <w:r w:rsidR="000133DD" w:rsidRPr="000133DD">
          <w:rPr>
            <w:rFonts w:ascii="Calibri" w:hAnsi="Calibri" w:hint="eastAsia"/>
            <w:color w:val="0000FF"/>
            <w:u w:val="single"/>
            <w:rtl/>
          </w:rPr>
          <w:t>ג</w:t>
        </w:r>
        <w:r w:rsidR="000133DD" w:rsidRPr="000133DD">
          <w:rPr>
            <w:rFonts w:ascii="Calibri" w:hAnsi="Calibri"/>
            <w:color w:val="0000FF"/>
            <w:u w:val="single"/>
            <w:rtl/>
          </w:rPr>
          <w:t>)</w:t>
        </w:r>
      </w:hyperlink>
      <w:r>
        <w:rPr>
          <w:rFonts w:ascii="Calibri" w:hAnsi="Calibri" w:hint="cs"/>
          <w:rtl/>
        </w:rPr>
        <w:t xml:space="preserve"> רישא לפקודת הסמים (שתי עבירות),</w:t>
      </w:r>
      <w:r>
        <w:rPr>
          <w:rFonts w:ascii="Calibri" w:hAnsi="Calibri" w:hint="cs"/>
          <w:b/>
          <w:bCs/>
          <w:rtl/>
        </w:rPr>
        <w:t xml:space="preserve"> והחזקת כלים להכנת סם שלא לצריכה עצמית - </w:t>
      </w:r>
      <w:r>
        <w:rPr>
          <w:rFonts w:ascii="Calibri" w:hAnsi="Calibri" w:hint="cs"/>
          <w:rtl/>
        </w:rPr>
        <w:t xml:space="preserve">לפי </w:t>
      </w:r>
      <w:hyperlink r:id="rId19" w:history="1">
        <w:r w:rsidR="000133DD" w:rsidRPr="000133DD">
          <w:rPr>
            <w:rFonts w:ascii="Calibri" w:hAnsi="Calibri" w:hint="eastAsia"/>
            <w:color w:val="0000FF"/>
            <w:u w:val="single"/>
            <w:rtl/>
          </w:rPr>
          <w:t>סעיף</w:t>
        </w:r>
        <w:r w:rsidR="000133DD" w:rsidRPr="000133DD">
          <w:rPr>
            <w:rFonts w:ascii="Calibri" w:hAnsi="Calibri"/>
            <w:color w:val="0000FF"/>
            <w:u w:val="single"/>
            <w:rtl/>
          </w:rPr>
          <w:t xml:space="preserve"> 10</w:t>
        </w:r>
      </w:hyperlink>
      <w:r>
        <w:rPr>
          <w:rFonts w:ascii="Calibri" w:hAnsi="Calibri" w:hint="cs"/>
          <w:b/>
          <w:bCs/>
          <w:u w:val="single"/>
          <w:rtl/>
        </w:rPr>
        <w:t xml:space="preserve"> </w:t>
      </w:r>
      <w:r>
        <w:rPr>
          <w:rFonts w:ascii="Calibri" w:hAnsi="Calibri" w:hint="cs"/>
          <w:u w:val="single"/>
          <w:rtl/>
        </w:rPr>
        <w:t>רישא לפקודת הסמים</w:t>
      </w:r>
      <w:r>
        <w:rPr>
          <w:rFonts w:ascii="Calibri" w:hAnsi="Calibri" w:hint="cs"/>
          <w:rtl/>
        </w:rPr>
        <w:t xml:space="preserve"> (שתי עבירות).  </w:t>
      </w:r>
    </w:p>
    <w:p w14:paraId="2DE4E3A6" w14:textId="77777777" w:rsidR="000A524C" w:rsidRDefault="000A524C" w:rsidP="000A524C">
      <w:pPr>
        <w:spacing w:line="360" w:lineRule="auto"/>
        <w:jc w:val="both"/>
        <w:rPr>
          <w:rFonts w:ascii="Calibri" w:hAnsi="Calibri" w:cs="Calibri"/>
          <w:rtl/>
        </w:rPr>
      </w:pPr>
    </w:p>
    <w:p w14:paraId="40FE2BAD" w14:textId="77777777" w:rsidR="000A524C" w:rsidRDefault="000A524C" w:rsidP="000A524C">
      <w:pPr>
        <w:numPr>
          <w:ilvl w:val="0"/>
          <w:numId w:val="1"/>
        </w:numPr>
        <w:spacing w:after="160" w:line="360" w:lineRule="auto"/>
        <w:contextualSpacing/>
        <w:jc w:val="both"/>
        <w:rPr>
          <w:rFonts w:ascii="Calibri" w:hAnsi="Calibri" w:cs="Calibri"/>
        </w:rPr>
      </w:pPr>
      <w:r>
        <w:rPr>
          <w:rFonts w:ascii="Calibri" w:hAnsi="Calibri" w:hint="cs"/>
          <w:rtl/>
        </w:rPr>
        <w:t xml:space="preserve">מעובדות כתב האישום המתוקן עולה, כי שלושה חודשים עובר ליום 28.5.15 ועד למועד זה, גידל הנאשם בדירה ברחוב ישורון בהוד השרון ("דירה מס' 1"), 99 שתילים של סם מסוג קאנביס במשקל של 131 גר' נטו. לצורך גידולו, החזיק בציוד רב הכולל מנורות, בקבוקי דשן וכיו"ב. כמו כן החזיק בדירה כ-90 גר' סם. </w:t>
      </w:r>
    </w:p>
    <w:p w14:paraId="71DE538D" w14:textId="77777777" w:rsidR="000A524C" w:rsidRDefault="000A524C" w:rsidP="000A524C">
      <w:pPr>
        <w:pStyle w:val="ListParagraph"/>
        <w:rPr>
          <w:rFonts w:cs="David"/>
          <w:sz w:val="24"/>
          <w:szCs w:val="24"/>
        </w:rPr>
      </w:pPr>
    </w:p>
    <w:p w14:paraId="793841E7" w14:textId="77777777" w:rsidR="000A524C" w:rsidRDefault="000A524C" w:rsidP="000A524C">
      <w:pPr>
        <w:numPr>
          <w:ilvl w:val="0"/>
          <w:numId w:val="1"/>
        </w:numPr>
        <w:spacing w:after="160" w:line="360" w:lineRule="auto"/>
        <w:contextualSpacing/>
        <w:jc w:val="both"/>
        <w:rPr>
          <w:rFonts w:ascii="Calibri" w:hAnsi="Calibri" w:cs="Calibri"/>
          <w:rtl/>
        </w:rPr>
      </w:pPr>
      <w:r>
        <w:rPr>
          <w:rFonts w:ascii="Calibri" w:hAnsi="Calibri" w:hint="cs"/>
          <w:rtl/>
        </w:rPr>
        <w:t xml:space="preserve">במקביל, באותם מועדים, גידל הנאשם בדירה ברחוב הרצל בפ"ת ("דירה מס' 2") 103 שתילים מסוג קאנביס במשקל 2.874 ק"ג, תוך שימוש בציוד רב ויקר ערך, כמפורט בסעיף 7 לעובדות, ובכך החזיק בסם ובכלים להכנתו שלא לצריכה עצמית. </w:t>
      </w:r>
    </w:p>
    <w:p w14:paraId="7E453A84" w14:textId="77777777" w:rsidR="000A524C" w:rsidRDefault="000A524C" w:rsidP="000A524C">
      <w:pPr>
        <w:pStyle w:val="ListParagraph"/>
        <w:rPr>
          <w:rFonts w:cs="David"/>
          <w:sz w:val="24"/>
          <w:szCs w:val="24"/>
        </w:rPr>
      </w:pPr>
    </w:p>
    <w:p w14:paraId="40E2E70B" w14:textId="77777777" w:rsidR="000A524C" w:rsidRDefault="000A524C" w:rsidP="000A524C">
      <w:pPr>
        <w:numPr>
          <w:ilvl w:val="0"/>
          <w:numId w:val="1"/>
        </w:numPr>
        <w:spacing w:after="160" w:line="360" w:lineRule="auto"/>
        <w:contextualSpacing/>
        <w:jc w:val="both"/>
        <w:rPr>
          <w:rFonts w:ascii="Calibri" w:hAnsi="Calibri" w:cs="Calibri"/>
          <w:rtl/>
        </w:rPr>
      </w:pPr>
      <w:r>
        <w:rPr>
          <w:rFonts w:ascii="Calibri" w:hAnsi="Calibri" w:hint="cs"/>
          <w:rtl/>
        </w:rPr>
        <w:t xml:space="preserve">ביום 5.5.16 הגיעו הצדדים להסדר טיעון דיוני לפיו, הנאשם הודה בעובדות כתב אישום מתוקן והורשע בעבירות שיוחסו לו. הנאשם הופנה לשירות המבחן. </w:t>
      </w:r>
    </w:p>
    <w:p w14:paraId="5BC66C08" w14:textId="77777777" w:rsidR="000A524C" w:rsidRDefault="000A524C" w:rsidP="000A524C">
      <w:pPr>
        <w:spacing w:line="360" w:lineRule="auto"/>
        <w:ind w:left="1069"/>
        <w:contextualSpacing/>
        <w:jc w:val="both"/>
        <w:rPr>
          <w:rFonts w:ascii="Calibri" w:hAnsi="Calibri"/>
          <w:b/>
          <w:bCs/>
          <w:u w:val="single"/>
        </w:rPr>
      </w:pPr>
      <w:r>
        <w:rPr>
          <w:rFonts w:ascii="Calibri" w:hAnsi="Calibri" w:hint="cs"/>
          <w:rtl/>
        </w:rPr>
        <w:t xml:space="preserve"> </w:t>
      </w:r>
      <w:r>
        <w:rPr>
          <w:rFonts w:ascii="Calibri" w:hAnsi="Calibri" w:hint="cs"/>
          <w:b/>
          <w:bCs/>
          <w:u w:val="single"/>
          <w:rtl/>
        </w:rPr>
        <w:t xml:space="preserve"> </w:t>
      </w:r>
    </w:p>
    <w:p w14:paraId="662B6358" w14:textId="77777777" w:rsidR="000A524C" w:rsidRDefault="000A524C" w:rsidP="000A524C">
      <w:pPr>
        <w:spacing w:line="360" w:lineRule="auto"/>
        <w:jc w:val="both"/>
        <w:rPr>
          <w:rFonts w:ascii="Calibri" w:hAnsi="Calibri"/>
          <w:b/>
          <w:bCs/>
          <w:u w:val="single"/>
          <w:rtl/>
        </w:rPr>
      </w:pPr>
      <w:r>
        <w:rPr>
          <w:rFonts w:ascii="Calibri" w:hAnsi="Calibri" w:hint="cs"/>
          <w:b/>
          <w:bCs/>
          <w:u w:val="single"/>
          <w:rtl/>
        </w:rPr>
        <w:t>תסקיר שירות המבחן</w:t>
      </w:r>
    </w:p>
    <w:p w14:paraId="298F0B26" w14:textId="77777777" w:rsidR="000A524C" w:rsidRDefault="000A524C" w:rsidP="000A524C">
      <w:pPr>
        <w:numPr>
          <w:ilvl w:val="0"/>
          <w:numId w:val="1"/>
        </w:numPr>
        <w:spacing w:after="600" w:line="360" w:lineRule="auto"/>
        <w:contextualSpacing/>
        <w:jc w:val="both"/>
        <w:rPr>
          <w:rFonts w:ascii="Calibri" w:hAnsi="Calibri" w:cs="Calibri"/>
          <w:b/>
          <w:bCs/>
          <w:u w:val="single"/>
        </w:rPr>
      </w:pPr>
      <w:r>
        <w:rPr>
          <w:rFonts w:ascii="Calibri" w:hAnsi="Calibri" w:hint="cs"/>
          <w:rtl/>
        </w:rPr>
        <w:t xml:space="preserve">מתסקיר שירות המבחן עולה כי, הנאשם בן 54, גרוש ואב לשלושה ילדים. שותף ומנהל בחברה ליצוא וייבוא. הנאשם נעדר עבר פלילי, התגורר שנים רבות עם משפחתו בארה"ב. ב-1985 היה מעורב שם בתאונת דרכים קשה ועד היום סובל מכאבים בגבו. על רקע כאבים אלו, החל להשתמש בסם ולדבריו קיבל בארה"ב אישור לשימוש בו. עם שובו ארצה, ב-2006, פנה למשרד הבריאות בבקשה דומה אך נענה בשלילה. </w:t>
      </w:r>
    </w:p>
    <w:p w14:paraId="6FAB8506" w14:textId="77777777" w:rsidR="000A524C" w:rsidRDefault="000A524C" w:rsidP="000A524C">
      <w:pPr>
        <w:spacing w:after="600" w:line="360" w:lineRule="auto"/>
        <w:ind w:left="785"/>
        <w:contextualSpacing/>
        <w:jc w:val="both"/>
        <w:rPr>
          <w:rFonts w:ascii="Calibri" w:hAnsi="Calibri" w:cs="Calibri"/>
          <w:b/>
          <w:bCs/>
          <w:u w:val="single"/>
        </w:rPr>
      </w:pPr>
    </w:p>
    <w:p w14:paraId="221B1751" w14:textId="77777777" w:rsidR="000A524C" w:rsidRDefault="000A524C" w:rsidP="000A524C">
      <w:pPr>
        <w:numPr>
          <w:ilvl w:val="0"/>
          <w:numId w:val="1"/>
        </w:numPr>
        <w:spacing w:after="600" w:line="360" w:lineRule="auto"/>
        <w:contextualSpacing/>
        <w:jc w:val="both"/>
        <w:rPr>
          <w:rFonts w:ascii="Calibri" w:hAnsi="Calibri"/>
        </w:rPr>
      </w:pPr>
      <w:r>
        <w:rPr>
          <w:rFonts w:ascii="Calibri" w:hAnsi="Calibri" w:hint="cs"/>
          <w:rtl/>
        </w:rPr>
        <w:lastRenderedPageBreak/>
        <w:t xml:space="preserve">הנאשם נוטל אחריות מלאה, מסביר כי גידל הסם לשימושו העצמי בשל התלות שפיתח בו. עוד מסר שלאחר שנעצר בתיק זה, הפסיק השימוש בסם ומקבל טיפול תרופתי. הנאשם מסר בדיקת שתן נקיה ושלל נזקקות טיפולית. שירות המבחן התרשם כי הרקע לביצוע העבירות נובע ממצבו הרפואי, עם זאת נוכח תכנון העבירות קיים סיכון להישנותן. בשל גורמי סיכוי ונסיבותיו האישיות, הומלץ על ענישה בדרך של עבודות שירות. </w:t>
      </w:r>
    </w:p>
    <w:p w14:paraId="045A33B4" w14:textId="77777777" w:rsidR="000A524C" w:rsidRDefault="000A524C" w:rsidP="000A524C">
      <w:pPr>
        <w:pStyle w:val="ListParagraph"/>
        <w:rPr>
          <w:rFonts w:cs="David"/>
          <w:sz w:val="24"/>
          <w:szCs w:val="24"/>
        </w:rPr>
      </w:pPr>
    </w:p>
    <w:p w14:paraId="137E397D" w14:textId="77777777" w:rsidR="000A524C" w:rsidRDefault="000A524C" w:rsidP="000A524C">
      <w:pPr>
        <w:numPr>
          <w:ilvl w:val="0"/>
          <w:numId w:val="1"/>
        </w:numPr>
        <w:spacing w:after="600" w:line="360" w:lineRule="auto"/>
        <w:contextualSpacing/>
        <w:jc w:val="both"/>
        <w:rPr>
          <w:rtl/>
        </w:rPr>
      </w:pPr>
      <w:r>
        <w:rPr>
          <w:rFonts w:ascii="Calibri" w:hAnsi="Calibri" w:hint="cs"/>
          <w:rtl/>
        </w:rPr>
        <w:t xml:space="preserve">עוד יצוין שנוכח עתירת ההגנה לענישה בדרך של עבודות שירות, הופנה הנאשם לחוות דעת ממונה מטעם עבודות השירות. מחוות הדעת עולה שהנאשם לא כשיר לרצות עבודות שירות בשל מצבו הרפואי. </w:t>
      </w:r>
    </w:p>
    <w:p w14:paraId="6C70339E" w14:textId="77777777" w:rsidR="000A524C" w:rsidRDefault="000A524C" w:rsidP="000A524C">
      <w:pPr>
        <w:spacing w:after="600" w:line="360" w:lineRule="auto"/>
        <w:ind w:left="785"/>
        <w:contextualSpacing/>
        <w:jc w:val="both"/>
        <w:rPr>
          <w:rFonts w:ascii="Calibri" w:hAnsi="Calibri"/>
          <w:rtl/>
        </w:rPr>
      </w:pPr>
    </w:p>
    <w:p w14:paraId="277931FB" w14:textId="77777777" w:rsidR="000A524C" w:rsidRPr="00E56505" w:rsidRDefault="000A524C" w:rsidP="000A524C">
      <w:pPr>
        <w:spacing w:line="360" w:lineRule="auto"/>
        <w:jc w:val="both"/>
        <w:rPr>
          <w:rFonts w:ascii="Calibri" w:hAnsi="Calibri" w:cs="Calibri"/>
          <w:b/>
          <w:bCs/>
          <w:u w:val="single"/>
        </w:rPr>
      </w:pPr>
      <w:r>
        <w:rPr>
          <w:rFonts w:hint="cs"/>
          <w:b/>
          <w:bCs/>
          <w:u w:val="single"/>
          <w:rtl/>
        </w:rPr>
        <w:t>תמצית טיעוני הצדדים</w:t>
      </w:r>
    </w:p>
    <w:p w14:paraId="6F7F2E24" w14:textId="77777777" w:rsidR="000A524C" w:rsidRDefault="000A524C" w:rsidP="000A524C">
      <w:pPr>
        <w:spacing w:line="360" w:lineRule="auto"/>
        <w:jc w:val="both"/>
        <w:rPr>
          <w:rFonts w:cs="Calibri"/>
          <w:b/>
          <w:bCs/>
          <w:u w:val="single"/>
          <w:rtl/>
        </w:rPr>
      </w:pPr>
    </w:p>
    <w:p w14:paraId="7D1A119C" w14:textId="77777777" w:rsidR="000A524C" w:rsidRDefault="000A524C" w:rsidP="000A524C">
      <w:pPr>
        <w:numPr>
          <w:ilvl w:val="0"/>
          <w:numId w:val="1"/>
        </w:numPr>
        <w:spacing w:after="600" w:line="360" w:lineRule="auto"/>
        <w:contextualSpacing/>
        <w:jc w:val="both"/>
        <w:rPr>
          <w:rFonts w:ascii="Calibri" w:hAnsi="Calibri"/>
          <w:rtl/>
        </w:rPr>
      </w:pPr>
      <w:r>
        <w:rPr>
          <w:rFonts w:ascii="Calibri" w:hAnsi="Calibri" w:hint="cs"/>
          <w:rtl/>
        </w:rPr>
        <w:t xml:space="preserve">ב"כ המאשימה, עו"ד שפיר, הדגישה את חומרת העבירות בהן הורשע הנאשם והפגיעה בערכים מוגנים של הגנה על שלום הציבור ובטחונו. ב"כ המאשימה לא התעלמה מנסיבותיו האישיות, אך סבורה שגידול הסם חרג משימוש עצמי, תוכנן בקפידה והושקעו בו משאבים רבים (הוגשו צילומי המעבדות והדו"חות הרלוונטיים- ע/1 ו-ע/1א'). עוד סבורה שלא ניתן ללמוד מהמסמכים הרפואיים העדכניים שהוגשו, כי מצבו הרפואי עדיין קשה. לשיטתה, הנאשם החליט לעשות דין לעצמו , טוען שאינו זקוק לטיפול, ועל כן יש להטיל עליו ענישה מחמירה. עוד הפנתה לאסמכתאות פסיקה שונות המצביעות, לשיטתה, על כך שדינו של הנאשם למאסר בפועל לתקופה של כשנת מאסר וענישה נלווית הכוללת פסילת רישיונו. המאשימה חזרה בה מבקשתה לחילוט דירת הנאשם. </w:t>
      </w:r>
    </w:p>
    <w:p w14:paraId="6C229BA9" w14:textId="77777777" w:rsidR="000A524C" w:rsidRDefault="000A524C" w:rsidP="000A524C">
      <w:pPr>
        <w:spacing w:after="600" w:line="360" w:lineRule="auto"/>
        <w:ind w:left="785"/>
        <w:contextualSpacing/>
        <w:jc w:val="both"/>
        <w:rPr>
          <w:rFonts w:ascii="Calibri" w:hAnsi="Calibri"/>
        </w:rPr>
      </w:pPr>
    </w:p>
    <w:p w14:paraId="06BA8454" w14:textId="77777777" w:rsidR="000A524C" w:rsidRPr="00E56505" w:rsidRDefault="000A524C" w:rsidP="000A524C">
      <w:pPr>
        <w:numPr>
          <w:ilvl w:val="0"/>
          <w:numId w:val="1"/>
        </w:numPr>
        <w:spacing w:after="600" w:line="360" w:lineRule="auto"/>
        <w:contextualSpacing/>
        <w:jc w:val="both"/>
        <w:rPr>
          <w:rFonts w:ascii="Calibri" w:eastAsia="Calibri" w:hAnsi="Calibri"/>
        </w:rPr>
      </w:pPr>
      <w:r>
        <w:rPr>
          <w:rFonts w:ascii="Calibri" w:hAnsi="Calibri" w:hint="cs"/>
          <w:rtl/>
        </w:rPr>
        <w:t>ב"כ הנאשם, עו"ד סוחמי, מיקד טיעוניו בנסיבותיו האישיות החיוביות של הנאשם ומצבו הרפואי שאילצו להמשיך להשתמש בסם להפגת מכאוביו. ביחס לדירה מס' 1, הבהיר שמדובר בדירה בה התגורר הנאשם עם משפחתו ונותרה ריקה מספר חודשים, כשעברו להתגורר בדירה אחרת. הדירה השנייה הינה בבעלות הוריו, ובכוונת הנאשם היה להעתיק את פעילותו בדירה הראשונה לדירה השנייה. עוד הפנה לכך שהשתילים שגודלו בדירה הראשונה היו צעירים ונועדו להעברה, ועל כן אין מדובר בהפעלת שתי מעבדות גידול במקביל. ב"כ הנאשם הפנה לעדויות עדי ההגנה, גרושתו של הנאשם וחברו הטוב, באשר למצבו הרפואי הקשה לאחר פציעתו. עוד עמד על הקושי הרב בקבלת אישור לשימוש בסם על אף מצבו הרפואי הקשה של הנאשם. לשיטתו, מתחמי הענישה שהציגה המאשימה מחמירים ואינם נוגעים לנאשם שהינו נורמטיבי ואינו מכור לסם. ב"כ הנאשם עתר לחריגה מסוימת ממתחם הענישה לקולא ולהטלת מאסר בדרך של עבודות שירות. הוצגו מסמכים רפואיים רבים (נ/1).</w:t>
      </w:r>
    </w:p>
    <w:p w14:paraId="3C734D94" w14:textId="77777777" w:rsidR="000A524C" w:rsidRDefault="000A524C" w:rsidP="000A524C">
      <w:pPr>
        <w:spacing w:after="600" w:line="360" w:lineRule="auto"/>
        <w:ind w:left="785"/>
        <w:contextualSpacing/>
        <w:jc w:val="both"/>
        <w:rPr>
          <w:rtl/>
        </w:rPr>
      </w:pPr>
    </w:p>
    <w:p w14:paraId="2E73F00C" w14:textId="77777777" w:rsidR="000A524C" w:rsidRDefault="000A524C" w:rsidP="000A524C">
      <w:pPr>
        <w:numPr>
          <w:ilvl w:val="0"/>
          <w:numId w:val="1"/>
        </w:numPr>
        <w:spacing w:after="600" w:line="360" w:lineRule="auto"/>
        <w:contextualSpacing/>
        <w:jc w:val="both"/>
        <w:rPr>
          <w:rFonts w:ascii="Calibri" w:hAnsi="Calibri"/>
          <w:rtl/>
        </w:rPr>
      </w:pPr>
      <w:r>
        <w:rPr>
          <w:rFonts w:ascii="Calibri" w:hAnsi="Calibri" w:hint="cs"/>
          <w:rtl/>
        </w:rPr>
        <w:t xml:space="preserve">עוד העידו מטעם הנאשם (בדיון מיום 5.5.16), חברו הטוב, מר אלי קוזיקרו, המתגורר דרך קבע בארה"ב והגיע במיוחד להעיד בהליך זה. העד סיפר על התקופה הקשה שחוו הנאשם ומשפחתו, לאחר מעורבתו בתאונת הדרכים ב-1985 והליך השיקום המייסר (הוצג מוט ברזל שהוצא מגבו של הנאשם). עוד הסביר כי באותה תקופה ידע שמשתמש בסם קאנביס בשל מצבו הרפואי.  גרושתו של הנאשם, הגב' שרי הלמר, הצטרפה לדבריו, והוסיפה שעם השנים הפכה צריכת הסם אצל הנאשם להרגל שלא השפיע על התנהלותו הנורמטיבית. עוד סיפרה שבשנת 2012, סייעה לו לקדם קבלת היתר שימוש בסם ע"י פנייה למרפאות כאב שונות. </w:t>
      </w:r>
    </w:p>
    <w:p w14:paraId="30CCC890" w14:textId="77777777" w:rsidR="000A524C" w:rsidRDefault="000A524C" w:rsidP="000A524C">
      <w:pPr>
        <w:spacing w:line="360" w:lineRule="auto"/>
        <w:ind w:left="785"/>
        <w:contextualSpacing/>
        <w:jc w:val="both"/>
        <w:rPr>
          <w:rFonts w:ascii="Calibri" w:hAnsi="Calibri"/>
        </w:rPr>
      </w:pPr>
    </w:p>
    <w:p w14:paraId="3B370BBD" w14:textId="77777777" w:rsidR="000A524C" w:rsidRDefault="000A524C" w:rsidP="000A524C">
      <w:pPr>
        <w:numPr>
          <w:ilvl w:val="0"/>
          <w:numId w:val="1"/>
        </w:numPr>
        <w:spacing w:line="360" w:lineRule="auto"/>
        <w:contextualSpacing/>
        <w:jc w:val="both"/>
        <w:rPr>
          <w:rFonts w:ascii="Calibri" w:hAnsi="Calibri"/>
          <w:b/>
          <w:bCs/>
          <w:u w:val="single"/>
          <w:rtl/>
        </w:rPr>
      </w:pPr>
      <w:r>
        <w:rPr>
          <w:rFonts w:ascii="Calibri" w:hAnsi="Calibri" w:hint="cs"/>
          <w:rtl/>
        </w:rPr>
        <w:t>הנאשם בדברו האחרון הביע חרטה מלאה על מעשיו, והודה כי החלטתו לגדל הסם הייתה טיפשית ושגויה. הנאשם הסביר כי פעל רבות מול משרד הבריאות להשגת אישור אך ללא הצלחה, אם כי מאמין שבקשתו תאושר בעתיד הקרוב.</w:t>
      </w:r>
    </w:p>
    <w:p w14:paraId="49CA19D1" w14:textId="77777777" w:rsidR="000A524C" w:rsidRDefault="000A524C" w:rsidP="000A524C">
      <w:pPr>
        <w:spacing w:line="360" w:lineRule="auto"/>
        <w:ind w:left="785"/>
        <w:contextualSpacing/>
        <w:jc w:val="both"/>
        <w:rPr>
          <w:rFonts w:ascii="Calibri" w:hAnsi="Calibri"/>
          <w:b/>
          <w:bCs/>
          <w:u w:val="single"/>
        </w:rPr>
      </w:pPr>
    </w:p>
    <w:p w14:paraId="694D3DB1" w14:textId="77777777" w:rsidR="000A524C" w:rsidRDefault="000A524C" w:rsidP="000A524C">
      <w:pPr>
        <w:numPr>
          <w:ilvl w:val="0"/>
          <w:numId w:val="1"/>
        </w:numPr>
        <w:spacing w:line="360" w:lineRule="auto"/>
        <w:contextualSpacing/>
        <w:jc w:val="both"/>
        <w:rPr>
          <w:rFonts w:ascii="Calibri" w:hAnsi="Calibri"/>
        </w:rPr>
      </w:pPr>
      <w:r>
        <w:rPr>
          <w:rFonts w:ascii="Calibri" w:hAnsi="Calibri" w:hint="cs"/>
          <w:rtl/>
        </w:rPr>
        <w:t xml:space="preserve">להשלמת התמונה יצוין, כי בין לבין קיבל הנאשם אישור שימוש בסם. </w:t>
      </w:r>
    </w:p>
    <w:p w14:paraId="5344962D" w14:textId="77777777" w:rsidR="000A524C" w:rsidRDefault="000A524C" w:rsidP="000A524C">
      <w:pPr>
        <w:spacing w:line="360" w:lineRule="auto"/>
        <w:ind w:left="785"/>
        <w:contextualSpacing/>
        <w:jc w:val="both"/>
        <w:rPr>
          <w:rFonts w:ascii="Calibri" w:hAnsi="Calibri"/>
          <w:b/>
          <w:bCs/>
          <w:u w:val="single"/>
        </w:rPr>
      </w:pPr>
    </w:p>
    <w:p w14:paraId="09422540" w14:textId="77777777" w:rsidR="000A524C" w:rsidRDefault="000A524C" w:rsidP="000A524C">
      <w:pPr>
        <w:spacing w:line="360" w:lineRule="auto"/>
        <w:rPr>
          <w:rFonts w:ascii="Calibri" w:hAnsi="Calibri" w:cs="Calibri"/>
          <w:rtl/>
        </w:rPr>
      </w:pPr>
      <w:r>
        <w:rPr>
          <w:rFonts w:ascii="Calibri" w:hAnsi="Calibri" w:hint="cs"/>
          <w:b/>
          <w:bCs/>
          <w:u w:val="single"/>
          <w:rtl/>
        </w:rPr>
        <w:t>דיון והכרעה</w:t>
      </w:r>
    </w:p>
    <w:p w14:paraId="499BC71D" w14:textId="77777777" w:rsidR="000A524C" w:rsidRDefault="000A524C" w:rsidP="000A524C">
      <w:pPr>
        <w:spacing w:line="360" w:lineRule="auto"/>
        <w:rPr>
          <w:rFonts w:ascii="Calibri" w:hAnsi="Calibri"/>
          <w:b/>
          <w:bCs/>
          <w:u w:val="single"/>
        </w:rPr>
      </w:pPr>
      <w:r>
        <w:rPr>
          <w:rFonts w:ascii="Calibri" w:hAnsi="Calibri" w:hint="cs"/>
          <w:b/>
          <w:bCs/>
          <w:u w:val="single"/>
          <w:rtl/>
        </w:rPr>
        <w:t>קביעת מתחם העונש ההולם</w:t>
      </w:r>
    </w:p>
    <w:p w14:paraId="78328C95" w14:textId="77777777" w:rsidR="000A524C" w:rsidRDefault="000A524C" w:rsidP="000A524C">
      <w:pPr>
        <w:spacing w:line="360" w:lineRule="auto"/>
        <w:ind w:left="720"/>
        <w:contextualSpacing/>
        <w:rPr>
          <w:rFonts w:ascii="Calibri" w:hAnsi="Calibri"/>
          <w:b/>
          <w:bCs/>
          <w:u w:val="single"/>
        </w:rPr>
      </w:pPr>
    </w:p>
    <w:p w14:paraId="4648234B" w14:textId="77777777" w:rsidR="000A524C" w:rsidRDefault="000A524C" w:rsidP="000A524C">
      <w:pPr>
        <w:numPr>
          <w:ilvl w:val="0"/>
          <w:numId w:val="1"/>
        </w:numPr>
        <w:spacing w:after="160" w:line="360" w:lineRule="auto"/>
        <w:contextualSpacing/>
        <w:jc w:val="both"/>
        <w:rPr>
          <w:rFonts w:ascii="Arial" w:hAnsi="Arial" w:cs="Arial"/>
          <w:rtl/>
        </w:rPr>
      </w:pPr>
      <w:r>
        <w:rPr>
          <w:rFonts w:ascii="Calibri" w:hAnsi="Calibri" w:hint="cs"/>
          <w:rtl/>
        </w:rPr>
        <w:t xml:space="preserve">תיקון 113 קובע כי על בית המשפט לגזור את הדין בהתאם לעקרון ההלימה, שהוא העיקרון העומד בראש קביעת מתחם העונש, </w:t>
      </w:r>
      <w:r>
        <w:rPr>
          <w:rFonts w:ascii="Calibri" w:hAnsi="Calibri" w:hint="cs"/>
          <w:u w:val="single"/>
          <w:rtl/>
        </w:rPr>
        <w:t>(</w:t>
      </w:r>
      <w:hyperlink r:id="rId20" w:history="1">
        <w:r w:rsidR="000133DD" w:rsidRPr="000133DD">
          <w:rPr>
            <w:rFonts w:ascii="Calibri" w:hAnsi="Calibri" w:hint="eastAsia"/>
            <w:color w:val="0000FF"/>
            <w:u w:val="single"/>
            <w:rtl/>
          </w:rPr>
          <w:t>סעיף</w:t>
        </w:r>
        <w:r w:rsidR="000133DD" w:rsidRPr="000133DD">
          <w:rPr>
            <w:rFonts w:ascii="Calibri" w:hAnsi="Calibri"/>
            <w:color w:val="0000FF"/>
            <w:u w:val="single"/>
            <w:rtl/>
          </w:rPr>
          <w:t xml:space="preserve"> 40</w:t>
        </w:r>
        <w:r w:rsidR="000133DD" w:rsidRPr="000133DD">
          <w:rPr>
            <w:rFonts w:ascii="Calibri" w:hAnsi="Calibri" w:hint="eastAsia"/>
            <w:color w:val="0000FF"/>
            <w:u w:val="single"/>
            <w:rtl/>
          </w:rPr>
          <w:t>ג</w:t>
        </w:r>
        <w:r w:rsidR="000133DD" w:rsidRPr="000133DD">
          <w:rPr>
            <w:rFonts w:ascii="Calibri" w:hAnsi="Calibri"/>
            <w:color w:val="0000FF"/>
            <w:u w:val="single"/>
            <w:rtl/>
          </w:rPr>
          <w:t>(</w:t>
        </w:r>
        <w:r w:rsidR="000133DD" w:rsidRPr="000133DD">
          <w:rPr>
            <w:rFonts w:ascii="Calibri" w:hAnsi="Calibri" w:hint="eastAsia"/>
            <w:color w:val="0000FF"/>
            <w:u w:val="single"/>
            <w:rtl/>
          </w:rPr>
          <w:t>א</w:t>
        </w:r>
        <w:r w:rsidR="000133DD" w:rsidRPr="000133DD">
          <w:rPr>
            <w:rFonts w:ascii="Calibri" w:hAnsi="Calibri"/>
            <w:color w:val="0000FF"/>
            <w:u w:val="single"/>
            <w:rtl/>
          </w:rPr>
          <w:t>)</w:t>
        </w:r>
      </w:hyperlink>
      <w:r>
        <w:rPr>
          <w:rFonts w:ascii="Calibri" w:hAnsi="Calibri" w:hint="cs"/>
          <w:u w:val="single"/>
          <w:rtl/>
        </w:rPr>
        <w:t xml:space="preserve"> ל</w:t>
      </w:r>
      <w:hyperlink r:id="rId21" w:history="1">
        <w:r w:rsidR="00AC6335" w:rsidRPr="00AC6335">
          <w:rPr>
            <w:rFonts w:ascii="Calibri" w:hAnsi="Calibri" w:hint="eastAsia"/>
            <w:color w:val="0000FF"/>
            <w:u w:val="single"/>
            <w:rtl/>
          </w:rPr>
          <w:t>חוק</w:t>
        </w:r>
        <w:r w:rsidR="00AC6335" w:rsidRPr="00AC6335">
          <w:rPr>
            <w:rFonts w:ascii="Calibri" w:hAnsi="Calibri"/>
            <w:color w:val="0000FF"/>
            <w:u w:val="single"/>
            <w:rtl/>
          </w:rPr>
          <w:t xml:space="preserve"> </w:t>
        </w:r>
        <w:r w:rsidR="00AC6335" w:rsidRPr="00AC6335">
          <w:rPr>
            <w:rFonts w:ascii="Calibri" w:hAnsi="Calibri" w:hint="eastAsia"/>
            <w:color w:val="0000FF"/>
            <w:u w:val="single"/>
            <w:rtl/>
          </w:rPr>
          <w:t>העונשין</w:t>
        </w:r>
      </w:hyperlink>
      <w:r>
        <w:rPr>
          <w:rFonts w:ascii="Calibri" w:hAnsi="Calibri" w:hint="cs"/>
          <w:u w:val="single"/>
          <w:rtl/>
        </w:rPr>
        <w:t>, התשל"ז – 1977</w:t>
      </w:r>
      <w:r>
        <w:rPr>
          <w:rFonts w:ascii="Calibri" w:hAnsi="Calibri" w:hint="cs"/>
          <w:rtl/>
        </w:rPr>
        <w:t xml:space="preserve">. (להלן:"החוק")), לפיו בעת גזירת עונשו של נאשם על בית המשפט לקבוע, את מתחם העונש ההולם את המעשים בגינם הורשע הנאשם, להתחשב </w:t>
      </w:r>
      <w:r>
        <w:rPr>
          <w:rFonts w:ascii="Calibri" w:hAnsi="Calibri" w:cs="Miriam" w:hint="cs"/>
          <w:rtl/>
        </w:rPr>
        <w:t>בערך החברתי</w:t>
      </w:r>
      <w:r>
        <w:rPr>
          <w:rFonts w:ascii="Calibri" w:hAnsi="Calibri" w:hint="cs"/>
          <w:rtl/>
        </w:rPr>
        <w:t xml:space="preserve"> שנפגע מביצוע העבירה </w:t>
      </w:r>
      <w:r>
        <w:rPr>
          <w:rFonts w:ascii="Calibri" w:hAnsi="Calibri" w:cs="Miriam" w:hint="cs"/>
          <w:rtl/>
        </w:rPr>
        <w:t>ובמידת הפגיעה בו, במדיניות הענישה הנוהגת ובנסיבות הקשורות בביצוע העבירה</w:t>
      </w:r>
      <w:r>
        <w:rPr>
          <w:rFonts w:ascii="Calibri" w:hAnsi="Calibri" w:hint="cs"/>
          <w:rtl/>
        </w:rPr>
        <w:t>. בתוך מתחם העונש ההולם יגזור בית המשפט את העונש המתאים לנאשם, בהתחשב בנסיבות המקרה הספציפי.</w:t>
      </w:r>
    </w:p>
    <w:p w14:paraId="587ED521" w14:textId="77777777" w:rsidR="000A524C" w:rsidRDefault="000A524C" w:rsidP="000A524C">
      <w:pPr>
        <w:spacing w:line="360" w:lineRule="auto"/>
        <w:jc w:val="both"/>
        <w:rPr>
          <w:rFonts w:ascii="Arial" w:hAnsi="Arial" w:cs="Arial"/>
        </w:rPr>
      </w:pPr>
      <w:r>
        <w:rPr>
          <w:rFonts w:ascii="Arial" w:hAnsi="Arial" w:cs="Arial"/>
        </w:rPr>
        <w:t xml:space="preserve"> </w:t>
      </w:r>
    </w:p>
    <w:p w14:paraId="14C32783" w14:textId="77777777" w:rsidR="000A524C" w:rsidRDefault="000A524C" w:rsidP="000A524C">
      <w:pPr>
        <w:numPr>
          <w:ilvl w:val="0"/>
          <w:numId w:val="1"/>
        </w:numPr>
        <w:spacing w:line="360" w:lineRule="auto"/>
        <w:jc w:val="both"/>
        <w:rPr>
          <w:rFonts w:cs="Times New Roman"/>
          <w:lang w:eastAsia="he-IL"/>
        </w:rPr>
      </w:pPr>
      <w:r>
        <w:rPr>
          <w:rFonts w:hint="cs"/>
          <w:rtl/>
          <w:lang w:eastAsia="he-IL"/>
        </w:rPr>
        <w:t xml:space="preserve">הערך החברתי המוגן העומד בבסיס העבירות המיוחסות לנאשם, ואשר נפגע כתוצאה מביצוען, הינו בראש ובראשונה בריאות הגוף והנפש של הציבור ובכלל זה של הנאשם עצמו. זאת לצד ההגנה על שלום הציבור והסיכון מפני ביצוע עבירות פליליות, ומפני הנזקים החברתיים הישירים והעקיפים, אשר נגרמים כתוצאה מעבירות המתבצעות על רקע של שימוש בסמים מסוכנים.  </w:t>
      </w:r>
    </w:p>
    <w:p w14:paraId="1DCF7BDF" w14:textId="77777777" w:rsidR="000A524C" w:rsidRDefault="000A524C" w:rsidP="000A524C">
      <w:pPr>
        <w:ind w:left="720"/>
        <w:contextualSpacing/>
        <w:rPr>
          <w:rFonts w:cs="Times New Roman"/>
          <w:lang w:eastAsia="he-IL"/>
        </w:rPr>
      </w:pPr>
    </w:p>
    <w:p w14:paraId="3BCFE517" w14:textId="77777777" w:rsidR="000A524C" w:rsidRDefault="000A524C" w:rsidP="000A524C">
      <w:pPr>
        <w:numPr>
          <w:ilvl w:val="0"/>
          <w:numId w:val="1"/>
        </w:numPr>
        <w:spacing w:line="360" w:lineRule="auto"/>
        <w:contextualSpacing/>
        <w:jc w:val="both"/>
        <w:rPr>
          <w:rFonts w:ascii="Arial" w:hAnsi="Arial" w:cs="Arial"/>
          <w:rtl/>
        </w:rPr>
      </w:pPr>
      <w:r>
        <w:rPr>
          <w:rFonts w:ascii="Calibri" w:hAnsi="Calibri" w:hint="cs"/>
          <w:rtl/>
        </w:rPr>
        <w:t>מידת הפגיעה בערך החברתי המוגן המונח בבסיס עבירת גידול סמים בתנאי מעבדה והכנתם, קשה. במקרה שלפנינו המדובר בנאשם שעל רקע שימוש בסמים, הפעיל במקביל שתי מעבדות, בדירות שונות, תוך שימוש בציוד רב ויקר ערך. אכן, אין מדובר בדירות שנשכרו במיוחד לצורך הפעלת המעבדה, ולא הוצגו אינדיקציות על כוונת הנאשם לסחור בסם שגידל, אלא שעולות תהיות וספקות רבים באשר לטענתו כי גידל הסם והפעיל המעבדות לשימושו העצמי בלבד. לא בכדי הודה הנאשם בהחזקת סם בכמות מסחרית.</w:t>
      </w:r>
    </w:p>
    <w:p w14:paraId="31947D58" w14:textId="77777777" w:rsidR="000A524C" w:rsidRDefault="000A524C" w:rsidP="000A524C">
      <w:pPr>
        <w:pStyle w:val="ListParagraph"/>
        <w:rPr>
          <w:rFonts w:cs="David"/>
          <w:sz w:val="24"/>
          <w:szCs w:val="24"/>
        </w:rPr>
      </w:pPr>
    </w:p>
    <w:p w14:paraId="28997894" w14:textId="77777777" w:rsidR="000A524C" w:rsidRDefault="000A524C" w:rsidP="000A524C">
      <w:pPr>
        <w:numPr>
          <w:ilvl w:val="0"/>
          <w:numId w:val="1"/>
        </w:numPr>
        <w:spacing w:line="360" w:lineRule="auto"/>
        <w:contextualSpacing/>
        <w:jc w:val="both"/>
        <w:rPr>
          <w:rFonts w:ascii="Arial" w:hAnsi="Arial" w:cs="Arial"/>
          <w:rtl/>
        </w:rPr>
      </w:pPr>
      <w:r>
        <w:rPr>
          <w:rFonts w:ascii="Calibri" w:hAnsi="Calibri" w:hint="cs"/>
          <w:rtl/>
        </w:rPr>
        <w:t>הנאשם הסביר כי הרקע לגידול הסם הוא מצבו הרפואי הכרוני. גם אם אכן כך הם פני הדברים, לא ניתן מענה בדברי הנאשם, כמו גם בטיעוני ההגנה, לשאלה מדוע בחר הנאשם לגדל את הסם בעצמו, תוך השקעת זמן ומשאבים רבים. אף אם נניח לטובתו שפעל תקופה ארוכה להשגת אישור שימוש בסם וסורב, אין הדבר מסביר הפעלת שתי מעבדות לגידול הסם. יכול שהיה בכך צידוק מסוים להחזקת סם בכמות המתאימה לשימוש עצמי אך לא ליותר מכך.</w:t>
      </w:r>
    </w:p>
    <w:p w14:paraId="22B396EA" w14:textId="77777777" w:rsidR="000A524C" w:rsidRDefault="000A524C" w:rsidP="000A524C">
      <w:pPr>
        <w:pStyle w:val="ListParagraph"/>
        <w:rPr>
          <w:rFonts w:cs="David"/>
          <w:sz w:val="24"/>
          <w:szCs w:val="24"/>
        </w:rPr>
      </w:pPr>
    </w:p>
    <w:p w14:paraId="5EB15DFB" w14:textId="77777777" w:rsidR="000A524C" w:rsidRDefault="000A524C" w:rsidP="000A524C">
      <w:pPr>
        <w:numPr>
          <w:ilvl w:val="0"/>
          <w:numId w:val="1"/>
        </w:numPr>
        <w:spacing w:line="360" w:lineRule="auto"/>
        <w:contextualSpacing/>
        <w:jc w:val="both"/>
        <w:rPr>
          <w:rFonts w:ascii="Arial" w:hAnsi="Arial" w:cs="Arial"/>
          <w:rtl/>
        </w:rPr>
      </w:pPr>
      <w:r>
        <w:rPr>
          <w:rFonts w:ascii="Calibri" w:hAnsi="Calibri" w:hint="cs"/>
          <w:rtl/>
        </w:rPr>
        <w:t xml:space="preserve">לכאורה, עסקינן בנאשם נורמטיבי, עובד ומתפקד, אך מנגד עומדת לו לרועץ בחירתו לבצע עבירות חמורות , בדגש על גידול הסם, ויעידו על כך תמונות המעבדות, שהוצגו במסגרת טיעוני המאשימה (ע/1 וע/1א'). ניתן לשער שגידול הסם וטפול בו גזלו מהנאשם זמן וכסף רב, הנאשם הקדיש עתותיו לתחזוק המעבדות תוך תכנון להעביר המעבדה שפעלה בדירה הראשונה לדירתו האחרת. ראוי להזכיר כי מדובר בשתי דירות באזור מגורים, הראשונה, בה המשיך הנאשם להחזיק גם לאחר שמשפחתו יצאה ממנה, והשנייה, השייכת להוריו, הפכו למעבדת גידול ולעסק שוטף של ייצור סמים. </w:t>
      </w:r>
    </w:p>
    <w:p w14:paraId="556F5141" w14:textId="77777777" w:rsidR="000A524C" w:rsidRDefault="000A524C" w:rsidP="000A524C">
      <w:pPr>
        <w:pStyle w:val="ListParagraph"/>
        <w:rPr>
          <w:rFonts w:cs="David"/>
          <w:sz w:val="24"/>
          <w:szCs w:val="24"/>
        </w:rPr>
      </w:pPr>
    </w:p>
    <w:p w14:paraId="2A8D1A1C" w14:textId="77777777" w:rsidR="000A524C" w:rsidRDefault="000A524C" w:rsidP="000A524C">
      <w:pPr>
        <w:pStyle w:val="ListParagraph"/>
        <w:rPr>
          <w:rFonts w:ascii="Times New Roman" w:hAnsi="Times New Roman" w:cs="David"/>
          <w:spacing w:val="10"/>
          <w:sz w:val="24"/>
          <w:szCs w:val="24"/>
          <w:rtl/>
          <w:lang w:eastAsia="he-IL"/>
        </w:rPr>
      </w:pPr>
    </w:p>
    <w:p w14:paraId="022F6271" w14:textId="77777777" w:rsidR="000A524C" w:rsidRDefault="000A524C" w:rsidP="000A524C">
      <w:pPr>
        <w:numPr>
          <w:ilvl w:val="0"/>
          <w:numId w:val="1"/>
        </w:numPr>
        <w:overflowPunct w:val="0"/>
        <w:autoSpaceDE w:val="0"/>
        <w:autoSpaceDN w:val="0"/>
        <w:spacing w:line="360" w:lineRule="auto"/>
        <w:jc w:val="both"/>
        <w:rPr>
          <w:rFonts w:ascii="Arial TUR" w:hAnsi="Arial TUR"/>
          <w:spacing w:val="10"/>
          <w:rtl/>
          <w:lang w:eastAsia="he-IL"/>
        </w:rPr>
      </w:pPr>
      <w:r>
        <w:rPr>
          <w:rFonts w:ascii="Arial TUR" w:hAnsi="Arial TUR" w:hint="cs"/>
          <w:spacing w:val="10"/>
          <w:rtl/>
          <w:lang w:eastAsia="he-IL"/>
        </w:rPr>
        <w:t>אכן, אין עסקינן בסוחר סמים, אך כידוע בין מגדלי הסמים נמנים אנשים נורמטיביים העושים זאת לצורך הפקת רווחים כלכליים או אישיים. גם אין מדובר בנאשם המעורב מעורבות עמוקה בעולם הסמים, התנהלותו בתיק דנא, הפעלת המעבדות, השימוש בציוד וגידול הסם מעידים על ידע, בקיאות וכוונה להחזיק במעבדות אלו לטווח ארוך. יפים לעניינו דברי בית המשפט ב</w:t>
      </w:r>
      <w:hyperlink r:id="rId22" w:history="1">
        <w:r w:rsidR="00AC6335" w:rsidRPr="00AC6335">
          <w:rPr>
            <w:rFonts w:ascii="Arial TUR" w:hAnsi="Arial TUR" w:hint="eastAsia"/>
            <w:color w:val="0000FF"/>
            <w:spacing w:val="10"/>
            <w:u w:val="single"/>
            <w:rtl/>
            <w:lang w:eastAsia="he-IL"/>
          </w:rPr>
          <w:t>עפ</w:t>
        </w:r>
        <w:r w:rsidR="00AC6335" w:rsidRPr="00AC6335">
          <w:rPr>
            <w:rFonts w:ascii="Arial TUR" w:hAnsi="Arial TUR"/>
            <w:color w:val="0000FF"/>
            <w:spacing w:val="10"/>
            <w:u w:val="single"/>
            <w:rtl/>
            <w:lang w:eastAsia="he-IL"/>
          </w:rPr>
          <w:t>"</w:t>
        </w:r>
        <w:r w:rsidR="00AC6335" w:rsidRPr="00AC6335">
          <w:rPr>
            <w:rFonts w:ascii="Arial TUR" w:hAnsi="Arial TUR" w:hint="eastAsia"/>
            <w:color w:val="0000FF"/>
            <w:spacing w:val="10"/>
            <w:u w:val="single"/>
            <w:rtl/>
            <w:lang w:eastAsia="he-IL"/>
          </w:rPr>
          <w:t>ג</w:t>
        </w:r>
        <w:r w:rsidR="00AC6335" w:rsidRPr="00AC6335">
          <w:rPr>
            <w:rFonts w:ascii="Arial TUR" w:hAnsi="Arial TUR"/>
            <w:color w:val="0000FF"/>
            <w:spacing w:val="10"/>
            <w:u w:val="single"/>
            <w:rtl/>
            <w:lang w:eastAsia="he-IL"/>
          </w:rPr>
          <w:t xml:space="preserve"> 42358-10-14</w:t>
        </w:r>
      </w:hyperlink>
      <w:r>
        <w:rPr>
          <w:rFonts w:ascii="Arial TUR" w:hAnsi="Arial TUR" w:hint="cs"/>
          <w:spacing w:val="10"/>
          <w:rtl/>
          <w:lang w:eastAsia="he-IL"/>
        </w:rPr>
        <w:t xml:space="preserve">  (מח-ת"א) </w:t>
      </w:r>
      <w:r>
        <w:rPr>
          <w:rFonts w:ascii="Arial TUR" w:hAnsi="Arial TUR" w:hint="cs"/>
          <w:b/>
          <w:bCs/>
          <w:spacing w:val="10"/>
          <w:rtl/>
          <w:lang w:eastAsia="he-IL"/>
        </w:rPr>
        <w:t>אדי עמר נ' מדינת ישראל</w:t>
      </w:r>
      <w:r>
        <w:rPr>
          <w:rFonts w:ascii="Arial TUR" w:hAnsi="Arial TUR" w:hint="cs"/>
          <w:spacing w:val="10"/>
          <w:rtl/>
          <w:lang w:eastAsia="he-IL"/>
        </w:rPr>
        <w:t xml:space="preserve">, </w:t>
      </w:r>
      <w:r w:rsidR="009E2B4B" w:rsidRPr="009E2B4B">
        <w:rPr>
          <w:sz w:val="22"/>
          <w:rtl/>
          <w:lang w:eastAsia="he-IL"/>
        </w:rPr>
        <w:t>[</w:t>
      </w:r>
      <w:r w:rsidR="009E2B4B" w:rsidRPr="009E2B4B">
        <w:rPr>
          <w:rFonts w:hint="eastAsia"/>
          <w:sz w:val="22"/>
          <w:rtl/>
          <w:lang w:eastAsia="he-IL"/>
        </w:rPr>
        <w:t>פורסם</w:t>
      </w:r>
      <w:r w:rsidR="009E2B4B" w:rsidRPr="009E2B4B">
        <w:rPr>
          <w:sz w:val="22"/>
          <w:rtl/>
          <w:lang w:eastAsia="he-IL"/>
        </w:rPr>
        <w:t xml:space="preserve"> </w:t>
      </w:r>
      <w:r w:rsidR="009E2B4B" w:rsidRPr="009E2B4B">
        <w:rPr>
          <w:rFonts w:hint="eastAsia"/>
          <w:sz w:val="22"/>
          <w:rtl/>
          <w:lang w:eastAsia="he-IL"/>
        </w:rPr>
        <w:t>בנבו</w:t>
      </w:r>
      <w:r w:rsidR="009E2B4B" w:rsidRPr="009E2B4B">
        <w:rPr>
          <w:sz w:val="22"/>
          <w:rtl/>
          <w:lang w:eastAsia="he-IL"/>
        </w:rPr>
        <w:t xml:space="preserve">] </w:t>
      </w:r>
      <w:r>
        <w:rPr>
          <w:rFonts w:ascii="Arial TUR" w:hAnsi="Arial TUR" w:hint="cs"/>
          <w:spacing w:val="10"/>
          <w:rtl/>
          <w:lang w:eastAsia="he-IL"/>
        </w:rPr>
        <w:t>בעניינו של מגדל סם שעבר הליך שיקומי, ובית המשפט לא נעתר להמלצת שירות המבחן וגזר עליו מאסר בפועל ממש- "</w:t>
      </w:r>
      <w:r>
        <w:rPr>
          <w:rFonts w:ascii="Arial TUR" w:hAnsi="Arial TUR" w:hint="cs"/>
          <w:b/>
          <w:bCs/>
          <w:spacing w:val="10"/>
          <w:rtl/>
          <w:lang w:eastAsia="he-IL"/>
        </w:rPr>
        <w:t>עבירה זו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 המבקש שבפנינו פעל כמקצוען.. אין מדובר בעיסוק מקרי ואקראי, אלא בעיסוק שיטתי ומתמשך שהמבקש השקיע בו זמן רב</w:t>
      </w:r>
      <w:r>
        <w:rPr>
          <w:rFonts w:ascii="Arial TUR" w:hAnsi="Arial TUR" w:hint="cs"/>
          <w:spacing w:val="10"/>
          <w:rtl/>
          <w:lang w:eastAsia="he-IL"/>
        </w:rPr>
        <w:t xml:space="preserve">". </w:t>
      </w:r>
    </w:p>
    <w:p w14:paraId="6EE03A5A" w14:textId="77777777" w:rsidR="000A524C" w:rsidRDefault="000A524C" w:rsidP="000A524C">
      <w:pPr>
        <w:overflowPunct w:val="0"/>
        <w:autoSpaceDE w:val="0"/>
        <w:autoSpaceDN w:val="0"/>
        <w:spacing w:line="360" w:lineRule="auto"/>
        <w:ind w:left="785"/>
        <w:jc w:val="both"/>
        <w:rPr>
          <w:rFonts w:ascii="Arial TUR" w:hAnsi="Arial TUR"/>
          <w:b/>
          <w:bCs/>
          <w:spacing w:val="10"/>
          <w:lang w:eastAsia="he-IL"/>
        </w:rPr>
      </w:pPr>
    </w:p>
    <w:p w14:paraId="2B2B7C78" w14:textId="77777777" w:rsidR="000A524C" w:rsidRDefault="000A524C" w:rsidP="000A524C">
      <w:pPr>
        <w:numPr>
          <w:ilvl w:val="0"/>
          <w:numId w:val="1"/>
        </w:numPr>
        <w:overflowPunct w:val="0"/>
        <w:autoSpaceDE w:val="0"/>
        <w:autoSpaceDN w:val="0"/>
        <w:spacing w:line="360" w:lineRule="auto"/>
        <w:jc w:val="both"/>
        <w:rPr>
          <w:rFonts w:ascii="Arial TUR" w:hAnsi="Arial TUR"/>
          <w:b/>
          <w:bCs/>
          <w:spacing w:val="10"/>
          <w:lang w:eastAsia="he-IL"/>
        </w:rPr>
      </w:pPr>
      <w:r>
        <w:rPr>
          <w:rFonts w:hint="cs"/>
          <w:spacing w:val="10"/>
          <w:rtl/>
          <w:lang w:eastAsia="he-IL"/>
        </w:rPr>
        <w:t xml:space="preserve">בתי המשפט שבו ועמדו על חשיבות המאבק בעבירות הסמים. כמו כן הודגש הפסול שבעבירות השימוש בסמים והשלכותיו הקשות על גופו ונפשו של המשתמש, ולפיכך נקבע כי הענישה אמורה לשקף את הצורך במיגור תופעה זו. ראו </w:t>
      </w:r>
      <w:hyperlink r:id="rId23" w:history="1">
        <w:r w:rsidR="00AC6335" w:rsidRPr="00AC6335">
          <w:rPr>
            <w:color w:val="0000FF"/>
            <w:spacing w:val="10"/>
            <w:u w:val="single"/>
            <w:rtl/>
            <w:lang w:eastAsia="he-IL"/>
          </w:rPr>
          <w:t>ע"פ 6029/03</w:t>
        </w:r>
      </w:hyperlink>
      <w:r>
        <w:rPr>
          <w:rFonts w:hint="cs"/>
          <w:b/>
          <w:bCs/>
          <w:spacing w:val="10"/>
          <w:rtl/>
          <w:lang w:eastAsia="he-IL"/>
        </w:rPr>
        <w:t xml:space="preserve"> מדינת ישראל נ' שמאי </w:t>
      </w:r>
      <w:r w:rsidR="009E2B4B" w:rsidRPr="009E2B4B">
        <w:rPr>
          <w:sz w:val="22"/>
          <w:rtl/>
          <w:lang w:eastAsia="he-IL"/>
        </w:rPr>
        <w:t xml:space="preserve">[פורסם בנבו] </w:t>
      </w:r>
      <w:r>
        <w:rPr>
          <w:rFonts w:hint="cs"/>
          <w:spacing w:val="10"/>
          <w:rtl/>
          <w:lang w:eastAsia="he-IL"/>
        </w:rPr>
        <w:t>(9.2.2004)</w:t>
      </w:r>
      <w:r>
        <w:rPr>
          <w:rFonts w:hint="cs"/>
          <w:b/>
          <w:bCs/>
          <w:spacing w:val="10"/>
          <w:rtl/>
          <w:lang w:eastAsia="he-IL"/>
        </w:rPr>
        <w:t>, מפי כב' השופט מ' חשין</w:t>
      </w:r>
      <w:r>
        <w:rPr>
          <w:rFonts w:hint="cs"/>
          <w:spacing w:val="10"/>
          <w:rtl/>
          <w:lang w:eastAsia="he-IL"/>
        </w:rPr>
        <w:t>, שם הודגש כי יש להילחם מלחמת חורמה קשה וארוכה, בעברייני הסמים המחזיקים, הסוחרים והמפיצים</w:t>
      </w:r>
      <w:r>
        <w:rPr>
          <w:rFonts w:hint="cs"/>
          <w:b/>
          <w:bCs/>
          <w:spacing w:val="10"/>
          <w:rtl/>
          <w:lang w:eastAsia="he-IL"/>
        </w:rPr>
        <w:t xml:space="preserve">. </w:t>
      </w:r>
    </w:p>
    <w:p w14:paraId="3E52D60B" w14:textId="77777777" w:rsidR="000A524C" w:rsidRDefault="000A524C" w:rsidP="000A524C">
      <w:pPr>
        <w:overflowPunct w:val="0"/>
        <w:autoSpaceDE w:val="0"/>
        <w:autoSpaceDN w:val="0"/>
        <w:spacing w:line="360" w:lineRule="auto"/>
        <w:ind w:left="785"/>
        <w:jc w:val="both"/>
        <w:rPr>
          <w:rFonts w:ascii="Arial TUR" w:hAnsi="Arial TUR"/>
          <w:b/>
          <w:bCs/>
          <w:spacing w:val="10"/>
          <w:lang w:eastAsia="he-IL"/>
        </w:rPr>
      </w:pPr>
    </w:p>
    <w:p w14:paraId="0AEA44A8" w14:textId="77777777" w:rsidR="000A524C" w:rsidRDefault="000A524C" w:rsidP="000A524C">
      <w:pPr>
        <w:numPr>
          <w:ilvl w:val="0"/>
          <w:numId w:val="1"/>
        </w:numPr>
        <w:spacing w:line="360" w:lineRule="auto"/>
        <w:contextualSpacing/>
        <w:jc w:val="both"/>
        <w:rPr>
          <w:rFonts w:ascii="Calibri" w:hAnsi="Calibri"/>
        </w:rPr>
      </w:pPr>
      <w:r>
        <w:rPr>
          <w:rFonts w:ascii="Calibri" w:hAnsi="Calibri" w:hint="cs"/>
          <w:rtl/>
        </w:rPr>
        <w:t xml:space="preserve">כמות הסם שנמצאה בדירה הראשונה אינה גדולה, אך עדיין מדובר בגידול של 100 שתילים ובנוסף כמות הסם הלא מבוטלת שנמצאה במעבדה השנייה. זהו המקום לציין כי העובדה שנתפסה כמות מסוימת של צמחים המשמשים לייצור סם היא מקרית בלבד, שכן המעבדה מיועדת לגידול צמחי סם שהכמויות בה דינמיות ומשתנות מעת לעת. עוד יש להדגיש את ההסכמה בין הצדדים, כי מדובר בארוע אחד ולא בשני מעשי גידול סם נפרדים. </w:t>
      </w:r>
    </w:p>
    <w:p w14:paraId="5858A0A5" w14:textId="77777777" w:rsidR="000A524C" w:rsidRDefault="000A524C" w:rsidP="000A524C">
      <w:pPr>
        <w:pStyle w:val="ListParagraph"/>
        <w:rPr>
          <w:rFonts w:cs="David"/>
          <w:sz w:val="24"/>
          <w:szCs w:val="24"/>
        </w:rPr>
      </w:pPr>
    </w:p>
    <w:p w14:paraId="5B17BBF2" w14:textId="77777777" w:rsidR="000A524C" w:rsidRDefault="000A524C" w:rsidP="000A524C">
      <w:pPr>
        <w:numPr>
          <w:ilvl w:val="0"/>
          <w:numId w:val="1"/>
        </w:numPr>
        <w:spacing w:line="360" w:lineRule="auto"/>
        <w:contextualSpacing/>
        <w:jc w:val="both"/>
        <w:rPr>
          <w:rFonts w:ascii="Calibri" w:hAnsi="Calibri"/>
          <w:rtl/>
        </w:rPr>
      </w:pPr>
      <w:r>
        <w:rPr>
          <w:rFonts w:ascii="Calibri" w:hAnsi="Calibri" w:hint="cs"/>
          <w:rtl/>
        </w:rPr>
        <w:t xml:space="preserve">במסגרת </w:t>
      </w:r>
      <w:r>
        <w:rPr>
          <w:rFonts w:ascii="Calibri" w:hAnsi="Calibri" w:hint="cs"/>
          <w:b/>
          <w:bCs/>
          <w:rtl/>
        </w:rPr>
        <w:t>הנסיבות הקשורות בביצוע העבירה</w:t>
      </w:r>
      <w:r>
        <w:rPr>
          <w:rFonts w:ascii="Calibri" w:hAnsi="Calibri" w:hint="cs"/>
          <w:rtl/>
        </w:rPr>
        <w:t xml:space="preserve"> (</w:t>
      </w:r>
      <w:hyperlink r:id="rId24" w:history="1">
        <w:r w:rsidR="000133DD" w:rsidRPr="000133DD">
          <w:rPr>
            <w:rFonts w:ascii="Calibri" w:hAnsi="Calibri" w:hint="eastAsia"/>
            <w:color w:val="0000FF"/>
            <w:u w:val="single"/>
            <w:rtl/>
          </w:rPr>
          <w:t>סעיף</w:t>
        </w:r>
        <w:r w:rsidR="000133DD" w:rsidRPr="000133DD">
          <w:rPr>
            <w:rFonts w:ascii="Calibri" w:hAnsi="Calibri"/>
            <w:color w:val="0000FF"/>
            <w:u w:val="single"/>
            <w:rtl/>
          </w:rPr>
          <w:t xml:space="preserve"> 40</w:t>
        </w:r>
        <w:r w:rsidR="000133DD" w:rsidRPr="000133DD">
          <w:rPr>
            <w:rFonts w:ascii="Calibri" w:hAnsi="Calibri" w:hint="eastAsia"/>
            <w:color w:val="0000FF"/>
            <w:u w:val="single"/>
            <w:rtl/>
          </w:rPr>
          <w:t>ט</w:t>
        </w:r>
        <w:r w:rsidR="000133DD" w:rsidRPr="000133DD">
          <w:rPr>
            <w:rFonts w:ascii="Calibri" w:hAnsi="Calibri"/>
            <w:color w:val="0000FF"/>
            <w:u w:val="single"/>
            <w:rtl/>
          </w:rPr>
          <w:t>'</w:t>
        </w:r>
      </w:hyperlink>
      <w:r>
        <w:rPr>
          <w:rFonts w:ascii="Calibri" w:hAnsi="Calibri" w:hint="cs"/>
          <w:rtl/>
        </w:rPr>
        <w:t xml:space="preserve"> לחוק) שקלתי לחומרא התכנון הקדם לביצוע העבירות, לצד פוטנציאל הנזק שצפוי להיגרם מביצוען ומאידך הרקע לביצוע העבירות, הנובע, בין היתר, משימוש הנאשם בסם לצרכים רפואיים.  </w:t>
      </w:r>
    </w:p>
    <w:p w14:paraId="3892233B" w14:textId="77777777" w:rsidR="000A524C" w:rsidRDefault="000A524C" w:rsidP="000A524C">
      <w:pPr>
        <w:pStyle w:val="ListParagraph"/>
        <w:rPr>
          <w:rFonts w:cs="David"/>
          <w:sz w:val="24"/>
          <w:szCs w:val="24"/>
        </w:rPr>
      </w:pPr>
    </w:p>
    <w:p w14:paraId="595E72FC" w14:textId="77777777" w:rsidR="000A524C" w:rsidRDefault="000A524C" w:rsidP="000A524C">
      <w:pPr>
        <w:numPr>
          <w:ilvl w:val="0"/>
          <w:numId w:val="1"/>
        </w:numPr>
        <w:spacing w:line="360" w:lineRule="auto"/>
        <w:contextualSpacing/>
        <w:jc w:val="both"/>
        <w:rPr>
          <w:rFonts w:ascii="Calibri" w:hAnsi="Calibri"/>
          <w:rtl/>
        </w:rPr>
      </w:pPr>
      <w:r>
        <w:rPr>
          <w:rFonts w:ascii="Calibri" w:hAnsi="Calibri" w:hint="cs"/>
          <w:rtl/>
        </w:rPr>
        <w:t xml:space="preserve"> הפסיקה בעבירות אלו מגוונת ורבה. אציין מספר דוגמאות המלמדות על מתחם ענישה מחמיר שקבע בית המשפט העליון וכולל ענישה של מאסר בפועל שננקטה כנגד מגדלי סם:</w:t>
      </w:r>
    </w:p>
    <w:p w14:paraId="176E249C" w14:textId="77777777" w:rsidR="000A524C" w:rsidRDefault="000A524C" w:rsidP="000A524C">
      <w:pPr>
        <w:pStyle w:val="ListParagraph"/>
        <w:numPr>
          <w:ilvl w:val="0"/>
          <w:numId w:val="2"/>
        </w:numPr>
        <w:spacing w:line="360" w:lineRule="auto"/>
        <w:jc w:val="both"/>
        <w:rPr>
          <w:rFonts w:cs="David"/>
          <w:sz w:val="24"/>
          <w:szCs w:val="24"/>
        </w:rPr>
      </w:pPr>
      <w:r>
        <w:rPr>
          <w:rFonts w:cs="David" w:hint="cs"/>
          <w:sz w:val="24"/>
          <w:szCs w:val="24"/>
          <w:rtl/>
        </w:rPr>
        <w:t>ב</w:t>
      </w:r>
      <w:hyperlink r:id="rId25" w:history="1">
        <w:r w:rsidR="00AC6335" w:rsidRPr="00AC6335">
          <w:rPr>
            <w:rFonts w:cs="David" w:hint="eastAsia"/>
            <w:color w:val="0000FF"/>
            <w:sz w:val="24"/>
            <w:szCs w:val="24"/>
            <w:u w:val="single"/>
            <w:rtl/>
          </w:rPr>
          <w:t>רע</w:t>
        </w:r>
        <w:r w:rsidR="00AC6335" w:rsidRPr="00AC6335">
          <w:rPr>
            <w:rFonts w:cs="David"/>
            <w:color w:val="0000FF"/>
            <w:sz w:val="24"/>
            <w:szCs w:val="24"/>
            <w:u w:val="single"/>
            <w:rtl/>
          </w:rPr>
          <w:t>"</w:t>
        </w:r>
        <w:r w:rsidR="00AC6335" w:rsidRPr="00AC6335">
          <w:rPr>
            <w:rFonts w:cs="David" w:hint="eastAsia"/>
            <w:color w:val="0000FF"/>
            <w:sz w:val="24"/>
            <w:szCs w:val="24"/>
            <w:u w:val="single"/>
            <w:rtl/>
          </w:rPr>
          <w:t>פ</w:t>
        </w:r>
        <w:r w:rsidR="00AC6335" w:rsidRPr="00AC6335">
          <w:rPr>
            <w:rFonts w:cs="David"/>
            <w:color w:val="0000FF"/>
            <w:sz w:val="24"/>
            <w:szCs w:val="24"/>
            <w:u w:val="single"/>
            <w:rtl/>
          </w:rPr>
          <w:t xml:space="preserve"> 314/16</w:t>
        </w:r>
      </w:hyperlink>
      <w:r>
        <w:rPr>
          <w:rFonts w:cs="David" w:hint="cs"/>
          <w:sz w:val="24"/>
          <w:szCs w:val="24"/>
          <w:rtl/>
        </w:rPr>
        <w:t xml:space="preserve"> </w:t>
      </w:r>
      <w:r>
        <w:rPr>
          <w:rFonts w:cs="David" w:hint="cs"/>
          <w:b/>
          <w:bCs/>
          <w:sz w:val="24"/>
          <w:szCs w:val="24"/>
          <w:rtl/>
        </w:rPr>
        <w:t>בן צבי נ' מדינת ישראל</w:t>
      </w:r>
      <w:r>
        <w:rPr>
          <w:rFonts w:cs="David" w:hint="cs"/>
          <w:sz w:val="24"/>
          <w:szCs w:val="24"/>
          <w:rtl/>
        </w:rPr>
        <w:t xml:space="preserve"> </w:t>
      </w:r>
      <w:r w:rsidR="009E2B4B" w:rsidRPr="009E2B4B">
        <w:rPr>
          <w:rFonts w:ascii="Times New Roman" w:hAnsi="Times New Roman" w:cs="David"/>
          <w:szCs w:val="24"/>
          <w:rtl/>
        </w:rPr>
        <w:t>[</w:t>
      </w:r>
      <w:r w:rsidR="009E2B4B" w:rsidRPr="009E2B4B">
        <w:rPr>
          <w:rFonts w:ascii="Times New Roman" w:hAnsi="Times New Roman" w:cs="David" w:hint="eastAsia"/>
          <w:szCs w:val="24"/>
          <w:rtl/>
        </w:rPr>
        <w:t>פורסם</w:t>
      </w:r>
      <w:r w:rsidR="009E2B4B" w:rsidRPr="009E2B4B">
        <w:rPr>
          <w:rFonts w:ascii="Times New Roman" w:hAnsi="Times New Roman" w:cs="David"/>
          <w:szCs w:val="24"/>
          <w:rtl/>
        </w:rPr>
        <w:t xml:space="preserve"> </w:t>
      </w:r>
      <w:r w:rsidR="009E2B4B" w:rsidRPr="009E2B4B">
        <w:rPr>
          <w:rFonts w:ascii="Times New Roman" w:hAnsi="Times New Roman" w:cs="David" w:hint="eastAsia"/>
          <w:szCs w:val="24"/>
          <w:rtl/>
        </w:rPr>
        <w:t>בנבו</w:t>
      </w:r>
      <w:r w:rsidR="009E2B4B" w:rsidRPr="009E2B4B">
        <w:rPr>
          <w:rFonts w:ascii="Times New Roman" w:hAnsi="Times New Roman" w:cs="David"/>
          <w:szCs w:val="24"/>
          <w:rtl/>
        </w:rPr>
        <w:t xml:space="preserve">] </w:t>
      </w:r>
      <w:r>
        <w:rPr>
          <w:rFonts w:cs="David" w:hint="cs"/>
          <w:sz w:val="24"/>
          <w:szCs w:val="24"/>
          <w:rtl/>
        </w:rPr>
        <w:t xml:space="preserve">(22.2.2016), הורשע המבקש בגידול סם בכמות של 2.5 ק"ג במעבדה. על הנאשם נגזרו ששה חודשי עבודות שירות בשל הליך שיקומי שעבר. עונשו הוחמר במסגרת ערעור ל-10 חודשי מאסר בפועל, בית משפט העליון דחה רשות ערעור בעניינו; </w:t>
      </w:r>
    </w:p>
    <w:p w14:paraId="777F4032" w14:textId="77777777" w:rsidR="000A524C" w:rsidRDefault="00AC6335" w:rsidP="000A524C">
      <w:pPr>
        <w:pStyle w:val="ListParagraph"/>
        <w:numPr>
          <w:ilvl w:val="0"/>
          <w:numId w:val="2"/>
        </w:numPr>
        <w:spacing w:line="360" w:lineRule="auto"/>
        <w:jc w:val="both"/>
        <w:rPr>
          <w:rFonts w:cs="David"/>
          <w:sz w:val="24"/>
          <w:szCs w:val="24"/>
        </w:rPr>
      </w:pPr>
      <w:hyperlink r:id="rId26" w:history="1">
        <w:r w:rsidRPr="00AC6335">
          <w:rPr>
            <w:rFonts w:cs="David" w:hint="eastAsia"/>
            <w:color w:val="0000FF"/>
            <w:sz w:val="24"/>
            <w:szCs w:val="24"/>
            <w:u w:val="single"/>
            <w:rtl/>
          </w:rPr>
          <w:t>רע</w:t>
        </w:r>
        <w:r w:rsidRPr="00AC6335">
          <w:rPr>
            <w:rFonts w:cs="David"/>
            <w:color w:val="0000FF"/>
            <w:sz w:val="24"/>
            <w:szCs w:val="24"/>
            <w:u w:val="single"/>
            <w:rtl/>
          </w:rPr>
          <w:t>"</w:t>
        </w:r>
        <w:r w:rsidRPr="00AC6335">
          <w:rPr>
            <w:rFonts w:cs="David" w:hint="eastAsia"/>
            <w:color w:val="0000FF"/>
            <w:sz w:val="24"/>
            <w:szCs w:val="24"/>
            <w:u w:val="single"/>
            <w:rtl/>
          </w:rPr>
          <w:t>פ</w:t>
        </w:r>
        <w:r w:rsidRPr="00AC6335">
          <w:rPr>
            <w:rFonts w:cs="David"/>
            <w:color w:val="0000FF"/>
            <w:sz w:val="24"/>
            <w:szCs w:val="24"/>
            <w:u w:val="single"/>
            <w:rtl/>
          </w:rPr>
          <w:t xml:space="preserve"> 7005/14</w:t>
        </w:r>
      </w:hyperlink>
      <w:r w:rsidR="000A524C">
        <w:rPr>
          <w:rFonts w:cs="David" w:hint="cs"/>
          <w:sz w:val="24"/>
          <w:szCs w:val="24"/>
          <w:rtl/>
        </w:rPr>
        <w:t xml:space="preserve"> </w:t>
      </w:r>
      <w:r w:rsidR="000A524C">
        <w:rPr>
          <w:rFonts w:cs="David" w:hint="cs"/>
          <w:b/>
          <w:bCs/>
          <w:sz w:val="24"/>
          <w:szCs w:val="24"/>
          <w:rtl/>
        </w:rPr>
        <w:t xml:space="preserve">דגן נ' מדינת ישראל </w:t>
      </w:r>
      <w:r w:rsidR="009E2B4B" w:rsidRPr="009E2B4B">
        <w:rPr>
          <w:rFonts w:ascii="Times New Roman" w:hAnsi="Times New Roman" w:cs="David"/>
          <w:szCs w:val="24"/>
          <w:rtl/>
        </w:rPr>
        <w:t>[</w:t>
      </w:r>
      <w:r w:rsidR="009E2B4B" w:rsidRPr="009E2B4B">
        <w:rPr>
          <w:rFonts w:ascii="Times New Roman" w:hAnsi="Times New Roman" w:cs="David" w:hint="eastAsia"/>
          <w:szCs w:val="24"/>
          <w:rtl/>
        </w:rPr>
        <w:t>פורסם</w:t>
      </w:r>
      <w:r w:rsidR="009E2B4B" w:rsidRPr="009E2B4B">
        <w:rPr>
          <w:rFonts w:ascii="Times New Roman" w:hAnsi="Times New Roman" w:cs="David"/>
          <w:szCs w:val="24"/>
          <w:rtl/>
        </w:rPr>
        <w:t xml:space="preserve"> </w:t>
      </w:r>
      <w:r w:rsidR="009E2B4B" w:rsidRPr="009E2B4B">
        <w:rPr>
          <w:rFonts w:ascii="Times New Roman" w:hAnsi="Times New Roman" w:cs="David" w:hint="eastAsia"/>
          <w:szCs w:val="24"/>
          <w:rtl/>
        </w:rPr>
        <w:t>בנבו</w:t>
      </w:r>
      <w:r w:rsidR="009E2B4B" w:rsidRPr="009E2B4B">
        <w:rPr>
          <w:rFonts w:ascii="Times New Roman" w:hAnsi="Times New Roman" w:cs="David"/>
          <w:szCs w:val="24"/>
          <w:rtl/>
        </w:rPr>
        <w:t xml:space="preserve">] </w:t>
      </w:r>
      <w:r w:rsidR="000A524C">
        <w:rPr>
          <w:rFonts w:cs="David" w:hint="cs"/>
          <w:sz w:val="24"/>
          <w:szCs w:val="24"/>
          <w:rtl/>
        </w:rPr>
        <w:t xml:space="preserve">(30.11.14), נאשם אשר גידל במעבדה בביתו סם מסוג קנבוס במשקל כולל 2,721 ק"ג. הסמים שימשו את הנאשם לצרכים רפואיים.  נקבע מתחם ענישה הנע בין </w:t>
      </w:r>
      <w:r w:rsidR="000A524C">
        <w:rPr>
          <w:rFonts w:cs="David" w:hint="cs"/>
          <w:b/>
          <w:bCs/>
          <w:sz w:val="24"/>
          <w:szCs w:val="24"/>
          <w:rtl/>
        </w:rPr>
        <w:t>6 ל - 12 חודשי מאסר לריצוי בפועל</w:t>
      </w:r>
      <w:r w:rsidR="000A524C">
        <w:rPr>
          <w:rFonts w:cs="David" w:hint="cs"/>
          <w:sz w:val="24"/>
          <w:szCs w:val="24"/>
          <w:rtl/>
        </w:rPr>
        <w:t>, והנאשם נדון ל- 10 חודשי מאסר בפועל. ערעור שהגיש נדחה;</w:t>
      </w:r>
    </w:p>
    <w:p w14:paraId="67CEC1F6" w14:textId="77777777" w:rsidR="000A524C" w:rsidRDefault="000A524C" w:rsidP="000A524C">
      <w:pPr>
        <w:pStyle w:val="ListParagraph"/>
        <w:numPr>
          <w:ilvl w:val="0"/>
          <w:numId w:val="2"/>
        </w:numPr>
        <w:spacing w:line="360" w:lineRule="auto"/>
        <w:jc w:val="both"/>
        <w:rPr>
          <w:rFonts w:cs="David"/>
          <w:sz w:val="24"/>
          <w:szCs w:val="24"/>
        </w:rPr>
      </w:pPr>
      <w:r>
        <w:rPr>
          <w:rFonts w:cs="David" w:hint="cs"/>
          <w:sz w:val="24"/>
          <w:szCs w:val="24"/>
          <w:rtl/>
        </w:rPr>
        <w:t xml:space="preserve"> </w:t>
      </w:r>
      <w:hyperlink r:id="rId27" w:history="1">
        <w:r w:rsidR="00AC6335" w:rsidRPr="00AC6335">
          <w:rPr>
            <w:rFonts w:cs="David" w:hint="eastAsia"/>
            <w:color w:val="0000FF"/>
            <w:sz w:val="24"/>
            <w:szCs w:val="24"/>
            <w:u w:val="single"/>
            <w:rtl/>
          </w:rPr>
          <w:t>רע</w:t>
        </w:r>
        <w:r w:rsidR="00AC6335" w:rsidRPr="00AC6335">
          <w:rPr>
            <w:rFonts w:cs="David"/>
            <w:color w:val="0000FF"/>
            <w:sz w:val="24"/>
            <w:szCs w:val="24"/>
            <w:u w:val="single"/>
            <w:rtl/>
          </w:rPr>
          <w:t>"</w:t>
        </w:r>
        <w:r w:rsidR="00AC6335" w:rsidRPr="00AC6335">
          <w:rPr>
            <w:rFonts w:cs="David" w:hint="eastAsia"/>
            <w:color w:val="0000FF"/>
            <w:sz w:val="24"/>
            <w:szCs w:val="24"/>
            <w:u w:val="single"/>
            <w:rtl/>
          </w:rPr>
          <w:t>פ</w:t>
        </w:r>
        <w:r w:rsidR="00AC6335" w:rsidRPr="00AC6335">
          <w:rPr>
            <w:rFonts w:cs="David"/>
            <w:color w:val="0000FF"/>
            <w:sz w:val="24"/>
            <w:szCs w:val="24"/>
            <w:u w:val="single"/>
            <w:rtl/>
          </w:rPr>
          <w:t xml:space="preserve"> 6987/13</w:t>
        </w:r>
      </w:hyperlink>
      <w:r>
        <w:rPr>
          <w:rFonts w:cs="David" w:hint="cs"/>
          <w:sz w:val="24"/>
          <w:szCs w:val="24"/>
          <w:rtl/>
        </w:rPr>
        <w:t xml:space="preserve"> </w:t>
      </w:r>
      <w:r>
        <w:rPr>
          <w:rFonts w:cs="David" w:hint="cs"/>
          <w:b/>
          <w:bCs/>
          <w:sz w:val="24"/>
          <w:szCs w:val="24"/>
          <w:rtl/>
        </w:rPr>
        <w:t>אברמוב נ' מדינת ישראל</w:t>
      </w:r>
      <w:r>
        <w:rPr>
          <w:rFonts w:cs="David" w:hint="cs"/>
          <w:sz w:val="24"/>
          <w:szCs w:val="24"/>
          <w:rtl/>
        </w:rPr>
        <w:t xml:space="preserve"> </w:t>
      </w:r>
      <w:r w:rsidR="009E2B4B" w:rsidRPr="009E2B4B">
        <w:rPr>
          <w:rFonts w:ascii="Times New Roman" w:hAnsi="Times New Roman" w:cs="David"/>
          <w:szCs w:val="24"/>
          <w:rtl/>
        </w:rPr>
        <w:t>[</w:t>
      </w:r>
      <w:r w:rsidR="009E2B4B" w:rsidRPr="009E2B4B">
        <w:rPr>
          <w:rFonts w:ascii="Times New Roman" w:hAnsi="Times New Roman" w:cs="David" w:hint="eastAsia"/>
          <w:szCs w:val="24"/>
          <w:rtl/>
        </w:rPr>
        <w:t>פורסם</w:t>
      </w:r>
      <w:r w:rsidR="009E2B4B" w:rsidRPr="009E2B4B">
        <w:rPr>
          <w:rFonts w:ascii="Times New Roman" w:hAnsi="Times New Roman" w:cs="David"/>
          <w:szCs w:val="24"/>
          <w:rtl/>
        </w:rPr>
        <w:t xml:space="preserve"> </w:t>
      </w:r>
      <w:r w:rsidR="009E2B4B" w:rsidRPr="009E2B4B">
        <w:rPr>
          <w:rFonts w:ascii="Times New Roman" w:hAnsi="Times New Roman" w:cs="David" w:hint="eastAsia"/>
          <w:szCs w:val="24"/>
          <w:rtl/>
        </w:rPr>
        <w:t>בנבו</w:t>
      </w:r>
      <w:r w:rsidR="009E2B4B" w:rsidRPr="009E2B4B">
        <w:rPr>
          <w:rFonts w:ascii="Times New Roman" w:hAnsi="Times New Roman" w:cs="David"/>
          <w:szCs w:val="24"/>
          <w:rtl/>
        </w:rPr>
        <w:t xml:space="preserve">] </w:t>
      </w:r>
      <w:r>
        <w:rPr>
          <w:rFonts w:cs="David" w:hint="cs"/>
          <w:sz w:val="24"/>
          <w:szCs w:val="24"/>
          <w:rtl/>
        </w:rPr>
        <w:t xml:space="preserve">(21.10.13), הנאשם הורשע בעבירות של גידול שתילי קנבוס במשקל 10 ק"ג נטו, ונהיגה בזמן פסילה. נקבע מתחם ענישה הנע </w:t>
      </w:r>
      <w:r>
        <w:rPr>
          <w:rFonts w:cs="David" w:hint="cs"/>
          <w:b/>
          <w:bCs/>
          <w:sz w:val="24"/>
          <w:szCs w:val="24"/>
          <w:rtl/>
        </w:rPr>
        <w:t>בין 6 חודשי מאסר בעבודות שירות לבין 24 חודשי מאסר בפועל</w:t>
      </w:r>
      <w:r>
        <w:rPr>
          <w:rFonts w:cs="David" w:hint="cs"/>
          <w:sz w:val="24"/>
          <w:szCs w:val="24"/>
          <w:rtl/>
        </w:rPr>
        <w:t>. בהתחשב בעבר פלילי נקי של הנאשם, ובהודאתו, נדון לשנת מאסר.</w:t>
      </w:r>
    </w:p>
    <w:p w14:paraId="01F3E7B1" w14:textId="77777777" w:rsidR="000A524C" w:rsidRDefault="00AC6335" w:rsidP="000A524C">
      <w:pPr>
        <w:pStyle w:val="ListParagraph"/>
        <w:numPr>
          <w:ilvl w:val="0"/>
          <w:numId w:val="2"/>
        </w:numPr>
        <w:spacing w:line="360" w:lineRule="auto"/>
        <w:jc w:val="both"/>
        <w:rPr>
          <w:rFonts w:cs="David"/>
          <w:sz w:val="24"/>
          <w:szCs w:val="24"/>
        </w:rPr>
      </w:pPr>
      <w:hyperlink r:id="rId28" w:history="1">
        <w:r w:rsidRPr="00AC6335">
          <w:rPr>
            <w:rFonts w:cs="David" w:hint="eastAsia"/>
            <w:color w:val="0000FF"/>
            <w:sz w:val="24"/>
            <w:szCs w:val="24"/>
            <w:u w:val="single"/>
            <w:rtl/>
          </w:rPr>
          <w:t>רע</w:t>
        </w:r>
        <w:r w:rsidRPr="00AC6335">
          <w:rPr>
            <w:rFonts w:cs="David"/>
            <w:color w:val="0000FF"/>
            <w:sz w:val="24"/>
            <w:szCs w:val="24"/>
            <w:u w:val="single"/>
            <w:rtl/>
          </w:rPr>
          <w:t>"</w:t>
        </w:r>
        <w:r w:rsidRPr="00AC6335">
          <w:rPr>
            <w:rFonts w:cs="David" w:hint="eastAsia"/>
            <w:color w:val="0000FF"/>
            <w:sz w:val="24"/>
            <w:szCs w:val="24"/>
            <w:u w:val="single"/>
            <w:rtl/>
          </w:rPr>
          <w:t>פ</w:t>
        </w:r>
        <w:r w:rsidRPr="00AC6335">
          <w:rPr>
            <w:rFonts w:cs="David"/>
            <w:color w:val="0000FF"/>
            <w:sz w:val="24"/>
            <w:szCs w:val="24"/>
            <w:u w:val="single"/>
            <w:rtl/>
          </w:rPr>
          <w:t xml:space="preserve"> 1787/15</w:t>
        </w:r>
      </w:hyperlink>
      <w:r w:rsidR="000A524C">
        <w:rPr>
          <w:rFonts w:cs="David" w:hint="cs"/>
          <w:sz w:val="24"/>
          <w:szCs w:val="24"/>
          <w:u w:val="single"/>
          <w:rtl/>
        </w:rPr>
        <w:t xml:space="preserve"> </w:t>
      </w:r>
      <w:r w:rsidR="000A524C">
        <w:rPr>
          <w:rFonts w:cs="David" w:hint="cs"/>
          <w:b/>
          <w:bCs/>
          <w:sz w:val="24"/>
          <w:szCs w:val="24"/>
          <w:rtl/>
        </w:rPr>
        <w:t>אדי עמר נ' מדינת ישראל</w:t>
      </w:r>
      <w:r w:rsidR="000A524C">
        <w:rPr>
          <w:rFonts w:cs="David" w:hint="cs"/>
          <w:sz w:val="24"/>
          <w:szCs w:val="24"/>
          <w:rtl/>
        </w:rPr>
        <w:t xml:space="preserve"> </w:t>
      </w:r>
      <w:r w:rsidR="009E2B4B" w:rsidRPr="009E2B4B">
        <w:rPr>
          <w:rFonts w:ascii="Times New Roman" w:hAnsi="Times New Roman" w:cs="David"/>
          <w:szCs w:val="24"/>
          <w:rtl/>
        </w:rPr>
        <w:t>[</w:t>
      </w:r>
      <w:r w:rsidR="009E2B4B" w:rsidRPr="009E2B4B">
        <w:rPr>
          <w:rFonts w:ascii="Times New Roman" w:hAnsi="Times New Roman" w:cs="David" w:hint="eastAsia"/>
          <w:szCs w:val="24"/>
          <w:rtl/>
        </w:rPr>
        <w:t>פורסם</w:t>
      </w:r>
      <w:r w:rsidR="009E2B4B" w:rsidRPr="009E2B4B">
        <w:rPr>
          <w:rFonts w:ascii="Times New Roman" w:hAnsi="Times New Roman" w:cs="David"/>
          <w:szCs w:val="24"/>
          <w:rtl/>
        </w:rPr>
        <w:t xml:space="preserve"> </w:t>
      </w:r>
      <w:r w:rsidR="009E2B4B" w:rsidRPr="009E2B4B">
        <w:rPr>
          <w:rFonts w:ascii="Times New Roman" w:hAnsi="Times New Roman" w:cs="David" w:hint="eastAsia"/>
          <w:szCs w:val="24"/>
          <w:rtl/>
        </w:rPr>
        <w:t>בנבו</w:t>
      </w:r>
      <w:r w:rsidR="009E2B4B" w:rsidRPr="009E2B4B">
        <w:rPr>
          <w:rFonts w:ascii="Times New Roman" w:hAnsi="Times New Roman" w:cs="David"/>
          <w:szCs w:val="24"/>
          <w:rtl/>
        </w:rPr>
        <w:t xml:space="preserve">] </w:t>
      </w:r>
      <w:r w:rsidR="000A524C">
        <w:rPr>
          <w:rFonts w:cs="David" w:hint="cs"/>
          <w:sz w:val="24"/>
          <w:szCs w:val="24"/>
          <w:rtl/>
        </w:rPr>
        <w:t xml:space="preserve">(24.3.15)- בתיק זה הורשע המערער בגידול 9 צמחי סם ועבירות נילוות. בית המשפט קבע מתחם ענישה שנע בין 8-20 חודשי מאסר. על הנאשם נגזרו 8 חודשי מאסר בפועל לאחר שבית המשפט לא קיבל המלצת שירות המבחן, על בסיס הליך שיקומי שעבר,  לענישה בדרך של עבודות שירות. ערעורו נדחה. </w:t>
      </w:r>
    </w:p>
    <w:p w14:paraId="050C254E" w14:textId="77777777" w:rsidR="000A524C" w:rsidRDefault="00AC6335" w:rsidP="000A524C">
      <w:pPr>
        <w:pStyle w:val="ListParagraph"/>
        <w:numPr>
          <w:ilvl w:val="0"/>
          <w:numId w:val="2"/>
        </w:numPr>
        <w:spacing w:line="360" w:lineRule="auto"/>
        <w:jc w:val="both"/>
        <w:rPr>
          <w:rFonts w:cs="David"/>
          <w:sz w:val="24"/>
          <w:szCs w:val="24"/>
        </w:rPr>
      </w:pPr>
      <w:hyperlink r:id="rId29" w:history="1">
        <w:r w:rsidRPr="00AC6335">
          <w:rPr>
            <w:rFonts w:cs="David" w:hint="eastAsia"/>
            <w:color w:val="0000FF"/>
            <w:sz w:val="24"/>
            <w:szCs w:val="24"/>
            <w:u w:val="single"/>
            <w:rtl/>
          </w:rPr>
          <w:t>רע</w:t>
        </w:r>
        <w:r w:rsidRPr="00AC6335">
          <w:rPr>
            <w:rFonts w:cs="David"/>
            <w:color w:val="0000FF"/>
            <w:sz w:val="24"/>
            <w:szCs w:val="24"/>
            <w:u w:val="single"/>
            <w:rtl/>
          </w:rPr>
          <w:t>"</w:t>
        </w:r>
        <w:r w:rsidRPr="00AC6335">
          <w:rPr>
            <w:rFonts w:cs="David" w:hint="eastAsia"/>
            <w:color w:val="0000FF"/>
            <w:sz w:val="24"/>
            <w:szCs w:val="24"/>
            <w:u w:val="single"/>
            <w:rtl/>
          </w:rPr>
          <w:t>פ</w:t>
        </w:r>
        <w:r w:rsidRPr="00AC6335">
          <w:rPr>
            <w:rFonts w:cs="David"/>
            <w:color w:val="0000FF"/>
            <w:sz w:val="24"/>
            <w:szCs w:val="24"/>
            <w:u w:val="single"/>
            <w:rtl/>
          </w:rPr>
          <w:t xml:space="preserve"> 7819/15</w:t>
        </w:r>
      </w:hyperlink>
      <w:r w:rsidR="000A524C">
        <w:rPr>
          <w:rFonts w:cs="David" w:hint="cs"/>
          <w:sz w:val="24"/>
          <w:szCs w:val="24"/>
          <w:u w:val="single"/>
          <w:rtl/>
        </w:rPr>
        <w:t xml:space="preserve"> </w:t>
      </w:r>
      <w:r w:rsidR="000A524C">
        <w:rPr>
          <w:rFonts w:cs="David" w:hint="cs"/>
          <w:b/>
          <w:bCs/>
          <w:sz w:val="24"/>
          <w:szCs w:val="24"/>
          <w:rtl/>
        </w:rPr>
        <w:t>עופר סלור נ' מדינת ישראל</w:t>
      </w:r>
      <w:r w:rsidR="000A524C">
        <w:rPr>
          <w:rFonts w:cs="David" w:hint="cs"/>
          <w:sz w:val="24"/>
          <w:szCs w:val="24"/>
          <w:rtl/>
        </w:rPr>
        <w:t xml:space="preserve"> </w:t>
      </w:r>
      <w:r w:rsidR="009E2B4B" w:rsidRPr="009E2B4B">
        <w:rPr>
          <w:rFonts w:ascii="Times New Roman" w:hAnsi="Times New Roman" w:cs="David"/>
          <w:szCs w:val="24"/>
          <w:rtl/>
        </w:rPr>
        <w:t>[</w:t>
      </w:r>
      <w:r w:rsidR="009E2B4B" w:rsidRPr="009E2B4B">
        <w:rPr>
          <w:rFonts w:ascii="Times New Roman" w:hAnsi="Times New Roman" w:cs="David" w:hint="eastAsia"/>
          <w:szCs w:val="24"/>
          <w:rtl/>
        </w:rPr>
        <w:t>פורסם</w:t>
      </w:r>
      <w:r w:rsidR="009E2B4B" w:rsidRPr="009E2B4B">
        <w:rPr>
          <w:rFonts w:ascii="Times New Roman" w:hAnsi="Times New Roman" w:cs="David"/>
          <w:szCs w:val="24"/>
          <w:rtl/>
        </w:rPr>
        <w:t xml:space="preserve"> </w:t>
      </w:r>
      <w:r w:rsidR="009E2B4B" w:rsidRPr="009E2B4B">
        <w:rPr>
          <w:rFonts w:ascii="Times New Roman" w:hAnsi="Times New Roman" w:cs="David" w:hint="eastAsia"/>
          <w:szCs w:val="24"/>
          <w:rtl/>
        </w:rPr>
        <w:t>בנבו</w:t>
      </w:r>
      <w:r w:rsidR="009E2B4B" w:rsidRPr="009E2B4B">
        <w:rPr>
          <w:rFonts w:ascii="Times New Roman" w:hAnsi="Times New Roman" w:cs="David"/>
          <w:szCs w:val="24"/>
          <w:rtl/>
        </w:rPr>
        <w:t xml:space="preserve">] </w:t>
      </w:r>
      <w:r w:rsidR="000A524C">
        <w:rPr>
          <w:rFonts w:cs="David" w:hint="cs"/>
          <w:sz w:val="24"/>
          <w:szCs w:val="24"/>
          <w:rtl/>
        </w:rPr>
        <w:t xml:space="preserve">(22.5.2016), שם הורשע הנאשם בהחזקת סמים שלא לצריכה עצמית ובגידול סמים במשקל 7,440 ק"ג נטו וציוד רב. נקבע מתחם ענישה הנע בין </w:t>
      </w:r>
      <w:r w:rsidR="000A524C">
        <w:rPr>
          <w:rFonts w:cs="David" w:hint="cs"/>
          <w:b/>
          <w:bCs/>
          <w:sz w:val="24"/>
          <w:szCs w:val="24"/>
          <w:rtl/>
        </w:rPr>
        <w:t>7  ל – 18 חודשי</w:t>
      </w:r>
      <w:r w:rsidR="000A524C">
        <w:rPr>
          <w:rFonts w:cs="David" w:hint="cs"/>
          <w:sz w:val="24"/>
          <w:szCs w:val="24"/>
          <w:rtl/>
        </w:rPr>
        <w:t xml:space="preserve"> </w:t>
      </w:r>
      <w:r w:rsidR="000A524C">
        <w:rPr>
          <w:rFonts w:cs="David" w:hint="cs"/>
          <w:b/>
          <w:bCs/>
          <w:sz w:val="24"/>
          <w:szCs w:val="24"/>
          <w:rtl/>
        </w:rPr>
        <w:t>מאסר לריצוי בפועל</w:t>
      </w:r>
      <w:r w:rsidR="000A524C">
        <w:rPr>
          <w:rFonts w:cs="David" w:hint="cs"/>
          <w:sz w:val="24"/>
          <w:szCs w:val="24"/>
          <w:rtl/>
        </w:rPr>
        <w:t>, ונגזרו על הנאשם 9 חודשי מאסר לריצוי בפועל, ערעורו נדחה;</w:t>
      </w:r>
    </w:p>
    <w:p w14:paraId="3DFFD710" w14:textId="77777777" w:rsidR="000A524C" w:rsidRDefault="000A524C" w:rsidP="000A524C">
      <w:pPr>
        <w:pStyle w:val="ListParagraph"/>
        <w:spacing w:line="360" w:lineRule="auto"/>
        <w:ind w:left="1145"/>
        <w:jc w:val="both"/>
        <w:rPr>
          <w:rFonts w:cs="David"/>
          <w:sz w:val="24"/>
          <w:szCs w:val="24"/>
        </w:rPr>
      </w:pPr>
    </w:p>
    <w:p w14:paraId="1AEA545A" w14:textId="77777777" w:rsidR="000A524C" w:rsidRDefault="000A524C" w:rsidP="000A524C">
      <w:pPr>
        <w:numPr>
          <w:ilvl w:val="0"/>
          <w:numId w:val="1"/>
        </w:numPr>
        <w:spacing w:line="360" w:lineRule="auto"/>
        <w:contextualSpacing/>
        <w:jc w:val="both"/>
        <w:rPr>
          <w:rFonts w:ascii="Calibri" w:hAnsi="Calibri"/>
        </w:rPr>
      </w:pPr>
      <w:r>
        <w:rPr>
          <w:rFonts w:ascii="Calibri" w:hAnsi="Calibri" w:hint="cs"/>
          <w:rtl/>
        </w:rPr>
        <w:t xml:space="preserve">מעיון בפסיקה זו ודומה לה נלמד, כי מדיניות הענישה הראויה בעבירות ממין דא מחייבת הטלת עונשים מרתיעים, על מנת לבטא את הצורך במאבק בנגע הסמים ובהשפעותיו השליליות על החברה. העונשים, כמובן משתנים בהתאם לנסיבות כל מקרה, וביחס לכמות הסם שנתפסה וסוגו. מתווה הענישה בעבירות של גידול סם והחזקתו בנסיבותיו של הנאשם נעה בין 7-18 חודשי מאסר לצד ענישה נלווית. כל סטייה לקולא, גם לריצוי מאסר בדרך של עבודות שירות, מחייבת, והדבר עלה גם מטיעוני ב"כ הנאשם, נסיבות חריגות או שילוב בהליך שיקומי ארוך טווח ונושא פירות. </w:t>
      </w:r>
    </w:p>
    <w:p w14:paraId="2AB2B931" w14:textId="77777777" w:rsidR="000A524C" w:rsidRDefault="000A524C" w:rsidP="000A524C">
      <w:pPr>
        <w:ind w:left="720"/>
        <w:contextualSpacing/>
        <w:rPr>
          <w:rFonts w:ascii="Calibri" w:hAnsi="Calibri"/>
        </w:rPr>
      </w:pPr>
    </w:p>
    <w:p w14:paraId="257764FE" w14:textId="77777777" w:rsidR="000A524C" w:rsidRDefault="000A524C" w:rsidP="000A524C">
      <w:pPr>
        <w:spacing w:line="360" w:lineRule="auto"/>
        <w:ind w:left="785"/>
        <w:contextualSpacing/>
        <w:jc w:val="both"/>
        <w:rPr>
          <w:rFonts w:ascii="Calibri" w:hAnsi="Calibri"/>
          <w:rtl/>
        </w:rPr>
      </w:pPr>
    </w:p>
    <w:p w14:paraId="706A3618" w14:textId="77777777" w:rsidR="000A524C" w:rsidRDefault="000A524C" w:rsidP="000A524C">
      <w:pPr>
        <w:spacing w:after="120" w:line="360" w:lineRule="auto"/>
        <w:ind w:firstLine="425"/>
        <w:rPr>
          <w:b/>
          <w:bCs/>
          <w:u w:val="single"/>
          <w:rtl/>
        </w:rPr>
      </w:pPr>
      <w:r>
        <w:rPr>
          <w:rFonts w:hint="cs"/>
          <w:b/>
          <w:bCs/>
          <w:u w:val="single"/>
          <w:rtl/>
        </w:rPr>
        <w:t xml:space="preserve">נסיבות שאינן קשורות בביצוע העבירה </w:t>
      </w:r>
    </w:p>
    <w:p w14:paraId="35AA1E0C" w14:textId="77777777" w:rsidR="000A524C" w:rsidRDefault="000A524C" w:rsidP="000A524C">
      <w:pPr>
        <w:numPr>
          <w:ilvl w:val="0"/>
          <w:numId w:val="1"/>
        </w:numPr>
        <w:spacing w:after="160" w:line="360" w:lineRule="auto"/>
        <w:contextualSpacing/>
        <w:jc w:val="both"/>
        <w:rPr>
          <w:rFonts w:ascii="Calibri" w:hAnsi="Calibri" w:cs="Calibri"/>
        </w:rPr>
      </w:pPr>
      <w:r>
        <w:rPr>
          <w:rFonts w:ascii="Calibri" w:hAnsi="Calibri" w:hint="cs"/>
          <w:rtl/>
        </w:rPr>
        <w:t xml:space="preserve">בגזירת דינו של הנאשם, בגדרי מתחם העונש ההולם </w:t>
      </w:r>
      <w:r>
        <w:rPr>
          <w:rFonts w:hint="cs"/>
          <w:rtl/>
        </w:rPr>
        <w:t>(</w:t>
      </w:r>
      <w:hyperlink r:id="rId30" w:history="1">
        <w:r w:rsidR="000133DD" w:rsidRPr="000133DD">
          <w:rPr>
            <w:color w:val="0000FF"/>
            <w:u w:val="single"/>
            <w:rtl/>
          </w:rPr>
          <w:t>סעיף 40יא</w:t>
        </w:r>
      </w:hyperlink>
      <w:r>
        <w:rPr>
          <w:rFonts w:hint="cs"/>
          <w:rtl/>
        </w:rPr>
        <w:t xml:space="preserve"> לחוק)</w:t>
      </w:r>
      <w:r>
        <w:rPr>
          <w:rFonts w:ascii="Calibri" w:hAnsi="Calibri" w:hint="cs"/>
          <w:rtl/>
        </w:rPr>
        <w:t>, יש להתייחס גם לנסיבותיו האישיות של הנאשם, ובענייננו ניתן למנות מספר נתונים לקולא בעלי משקל: הנאשם בן 54, אב לשלושה ילדים, נעדר עבר פלילי ומנהל אורח חיים תקין ומסודר.</w:t>
      </w:r>
    </w:p>
    <w:p w14:paraId="5A4F786B" w14:textId="77777777" w:rsidR="000A524C" w:rsidRDefault="000A524C" w:rsidP="000A524C">
      <w:pPr>
        <w:numPr>
          <w:ilvl w:val="0"/>
          <w:numId w:val="1"/>
        </w:numPr>
        <w:spacing w:after="160" w:line="360" w:lineRule="auto"/>
        <w:contextualSpacing/>
        <w:jc w:val="both"/>
        <w:rPr>
          <w:rFonts w:ascii="Calibri" w:hAnsi="Calibri" w:cs="Calibri"/>
        </w:rPr>
      </w:pPr>
      <w:r>
        <w:rPr>
          <w:rFonts w:ascii="Calibri" w:hAnsi="Calibri" w:hint="cs"/>
          <w:rtl/>
        </w:rPr>
        <w:t xml:space="preserve">הנאשם היה מעורב, לפני שנים רבות, בתאונת דרכים קשה שתוצאותיה ניכרות בו גם היום. אמנם, העדים מטעמו של הנאשם התמקדו בהליך שיקומו בשנים הסמוכות לפציעתו, אך מהמסמכים הרפואיים עולה כי גם כיום מצבו אינו טוב, הנאשם משתמש בתרופות, מוגבל בתנועותיו וסובל מכאבים תדירים. עדיין, ספק בלבי האם מדובר בכאבים כרוניים כה קשים שהמענה היחיד להפגתם הוא שימוש בסם בכמויות כה נרחבות ובדרך של גידולם במעבדות מיוחדות. </w:t>
      </w:r>
    </w:p>
    <w:p w14:paraId="35CB7458" w14:textId="77777777" w:rsidR="009E2B4B" w:rsidRPr="009E2B4B" w:rsidRDefault="009E2B4B" w:rsidP="009E2B4B">
      <w:pPr>
        <w:spacing w:after="160" w:line="360" w:lineRule="auto"/>
        <w:ind w:left="425"/>
        <w:contextualSpacing/>
        <w:jc w:val="both"/>
        <w:rPr>
          <w:rFonts w:ascii="Calibri" w:hAnsi="Calibri" w:cs="Calibri" w:hint="cs"/>
        </w:rPr>
      </w:pPr>
    </w:p>
    <w:p w14:paraId="593B14C8" w14:textId="77777777" w:rsidR="000A524C" w:rsidRDefault="000A524C" w:rsidP="000A524C">
      <w:pPr>
        <w:numPr>
          <w:ilvl w:val="0"/>
          <w:numId w:val="1"/>
        </w:numPr>
        <w:spacing w:after="160" w:line="360" w:lineRule="auto"/>
        <w:contextualSpacing/>
        <w:jc w:val="both"/>
        <w:rPr>
          <w:rFonts w:ascii="Calibri" w:hAnsi="Calibri" w:cs="Calibri"/>
        </w:rPr>
      </w:pPr>
      <w:r>
        <w:rPr>
          <w:rFonts w:ascii="Calibri" w:hAnsi="Calibri" w:hint="cs"/>
          <w:rtl/>
        </w:rPr>
        <w:t>להתרשמותי, הנאשם השתמש בסם שנים רבות, מצא בכך פתרון אפקטיבי וזמין, והזמן הממושך הפך השימוש להרגל. הנאשם אינו מכור לסם, ותעיד על כך הפסקתו משימוש בו בתכוף למעצרו בתיק זה. כל זה אינו מסביר, כמובן,  מדוע הנאשם בחר להפעיל מעבדות לגידול סם, ולא להסתפק בהחזקה של כמות מתאימה או לכל היותר גידול מספר מצומצם של צמחי סם. אמנם כל החזקת סם או גידולו אסורים אך נדמה כי היו הולמים את טענות הנאשם כי גידל הסם לשימושו העצמי בלבד, ולצרכים רפואיים.</w:t>
      </w:r>
    </w:p>
    <w:p w14:paraId="4A991B11" w14:textId="77777777" w:rsidR="000A524C" w:rsidRDefault="000A524C" w:rsidP="000A524C">
      <w:pPr>
        <w:pStyle w:val="ListParagraph"/>
        <w:rPr>
          <w:rFonts w:cs="David"/>
          <w:sz w:val="24"/>
          <w:szCs w:val="24"/>
        </w:rPr>
      </w:pPr>
    </w:p>
    <w:p w14:paraId="6EB02FEB" w14:textId="77777777" w:rsidR="000A524C" w:rsidRDefault="000A524C" w:rsidP="000A524C">
      <w:pPr>
        <w:numPr>
          <w:ilvl w:val="0"/>
          <w:numId w:val="1"/>
        </w:numPr>
        <w:spacing w:after="160" w:line="360" w:lineRule="auto"/>
        <w:contextualSpacing/>
        <w:jc w:val="both"/>
        <w:rPr>
          <w:rFonts w:ascii="Calibri" w:hAnsi="Calibri" w:cs="Calibri"/>
          <w:rtl/>
        </w:rPr>
      </w:pPr>
      <w:r>
        <w:rPr>
          <w:rFonts w:ascii="Calibri" w:hAnsi="Calibri" w:hint="cs"/>
          <w:rtl/>
        </w:rPr>
        <w:t xml:space="preserve">בתסקיר שירות המבחן אין כדי לחדש. מלכתחילה הצטיירה תמונה של אדם המנהל אורח חיים תקין ויצרני לצד שימוש בסם וגידולו. הגם שהנאשם אינו מכור לסם, עדיין ניכרת נזקקות טיפולית להעמקת הטיפול בבחירתו להתנהל בדרכים עברייניות כפתרון לבעיותיו. עם זאת הנאשם סבור אחרת,  ועל כן צדק שירות המבחן שלא בא בהמלצה טיפולית. </w:t>
      </w:r>
    </w:p>
    <w:p w14:paraId="782B34EB" w14:textId="77777777" w:rsidR="000A524C" w:rsidRDefault="000A524C" w:rsidP="000A524C">
      <w:pPr>
        <w:pStyle w:val="ListParagraph"/>
        <w:rPr>
          <w:sz w:val="24"/>
          <w:szCs w:val="24"/>
        </w:rPr>
      </w:pPr>
    </w:p>
    <w:p w14:paraId="2C9A009A" w14:textId="77777777" w:rsidR="000A524C" w:rsidRDefault="000A524C" w:rsidP="000A524C">
      <w:pPr>
        <w:numPr>
          <w:ilvl w:val="0"/>
          <w:numId w:val="1"/>
        </w:numPr>
        <w:spacing w:line="360" w:lineRule="auto"/>
        <w:ind w:left="720"/>
        <w:contextualSpacing/>
        <w:jc w:val="both"/>
        <w:rPr>
          <w:rtl/>
        </w:rPr>
      </w:pPr>
      <w:r>
        <w:rPr>
          <w:rFonts w:ascii="Calibri" w:hAnsi="Calibri" w:hint="cs"/>
          <w:rtl/>
        </w:rPr>
        <w:t xml:space="preserve">עוד נתתי משקל לנטילת האחריות והבעת החרטה מצד הנאשם. התרשמתי כי אכן מבין שפעל באופן שגוי ומעורבותו בהליך זה גרמה לו לטלטלה. </w:t>
      </w:r>
    </w:p>
    <w:p w14:paraId="2B15D6B5" w14:textId="77777777" w:rsidR="000A524C" w:rsidRDefault="000A524C" w:rsidP="000A524C">
      <w:pPr>
        <w:spacing w:line="360" w:lineRule="auto"/>
        <w:ind w:left="720"/>
        <w:contextualSpacing/>
        <w:jc w:val="both"/>
      </w:pPr>
    </w:p>
    <w:p w14:paraId="7FDAB185" w14:textId="77777777" w:rsidR="000A524C" w:rsidRDefault="000A524C" w:rsidP="000A524C">
      <w:pPr>
        <w:numPr>
          <w:ilvl w:val="0"/>
          <w:numId w:val="1"/>
        </w:numPr>
        <w:spacing w:line="360" w:lineRule="auto"/>
        <w:ind w:left="720"/>
        <w:contextualSpacing/>
        <w:jc w:val="both"/>
      </w:pPr>
      <w:r>
        <w:rPr>
          <w:rFonts w:hint="cs"/>
          <w:rtl/>
        </w:rPr>
        <w:t xml:space="preserve">מאמציו של הנאשם נשאו בסופם פרי, וכיום הוא אוחז באישור רפואי לשימוש בסם. הגם שיש לברך על כך, אין בזה כדי להשפיע על גזר דינו לקולא ונותר רק לתהות האם לא היה נכון לנאשם למקד פועלו בשנים האחרונות בקבלת אישור חלף הפעלת מעבדות לגידול סם. </w:t>
      </w:r>
    </w:p>
    <w:p w14:paraId="03D93E5F" w14:textId="77777777" w:rsidR="000A524C" w:rsidRDefault="000A524C" w:rsidP="000A524C">
      <w:pPr>
        <w:pStyle w:val="ListParagraph"/>
        <w:rPr>
          <w:rFonts w:cs="David"/>
          <w:sz w:val="24"/>
          <w:szCs w:val="24"/>
        </w:rPr>
      </w:pPr>
    </w:p>
    <w:p w14:paraId="403A6A26" w14:textId="77777777" w:rsidR="000A524C" w:rsidRDefault="000A524C" w:rsidP="000A524C">
      <w:pPr>
        <w:numPr>
          <w:ilvl w:val="0"/>
          <w:numId w:val="1"/>
        </w:numPr>
        <w:spacing w:line="360" w:lineRule="auto"/>
        <w:ind w:left="720"/>
        <w:contextualSpacing/>
        <w:jc w:val="both"/>
        <w:rPr>
          <w:rtl/>
        </w:rPr>
      </w:pPr>
      <w:r>
        <w:rPr>
          <w:rFonts w:hint="cs"/>
          <w:rtl/>
        </w:rPr>
        <w:t xml:space="preserve">לאחר ששקלתי את כלל השיקולים, טיב המעשים וחומרתם, הפעלת שתי מעבדות, משכן של העבירות, טיב הסם וכמותו ומאידך נסיבותיו החיוביות של הנאשם, הרקע לביצוע העבירות וחרטתו, לא מצאתי שיש בנתונים שהוצגו בפניי אם ע"י בא כוחו או שירות המבחן כדי לשמש בסיס לחריגה ממתווה העונש הראוי. עם זאת, אלך לקראת הנאשם ואמקם עונשו בתחתית מתחם הענישה. </w:t>
      </w:r>
    </w:p>
    <w:p w14:paraId="1C071105" w14:textId="77777777" w:rsidR="000A524C" w:rsidRDefault="000A524C" w:rsidP="000A524C">
      <w:pPr>
        <w:pStyle w:val="ListParagraph"/>
        <w:rPr>
          <w:rFonts w:cs="David"/>
          <w:sz w:val="24"/>
          <w:szCs w:val="24"/>
        </w:rPr>
      </w:pPr>
    </w:p>
    <w:p w14:paraId="56249ECB" w14:textId="77777777" w:rsidR="000A524C" w:rsidRDefault="000A524C" w:rsidP="000A524C">
      <w:pPr>
        <w:numPr>
          <w:ilvl w:val="0"/>
          <w:numId w:val="1"/>
        </w:numPr>
        <w:spacing w:line="360" w:lineRule="auto"/>
        <w:ind w:left="720"/>
        <w:contextualSpacing/>
        <w:jc w:val="both"/>
        <w:rPr>
          <w:rtl/>
        </w:rPr>
      </w:pPr>
      <w:r>
        <w:rPr>
          <w:rFonts w:hint="cs"/>
          <w:rtl/>
        </w:rPr>
        <w:t xml:space="preserve">באשר לחוות הממונה השלילית, מאחר שלא מצאתי להטיל על הנאשם עונש בדרך של עבודות שירות, אין בכך כדי להעלות או להוריד. </w:t>
      </w:r>
    </w:p>
    <w:p w14:paraId="55ECB181" w14:textId="77777777" w:rsidR="000A524C" w:rsidRDefault="000A524C" w:rsidP="000A524C">
      <w:pPr>
        <w:pStyle w:val="ListParagraph"/>
        <w:rPr>
          <w:rFonts w:cs="David"/>
          <w:sz w:val="24"/>
          <w:szCs w:val="24"/>
        </w:rPr>
      </w:pPr>
    </w:p>
    <w:p w14:paraId="746280F2" w14:textId="77777777" w:rsidR="000A524C" w:rsidRDefault="000A524C" w:rsidP="000A524C">
      <w:pPr>
        <w:spacing w:line="360" w:lineRule="auto"/>
        <w:ind w:left="785"/>
        <w:contextualSpacing/>
        <w:jc w:val="both"/>
        <w:rPr>
          <w:b/>
          <w:bCs/>
          <w:u w:val="single"/>
          <w:rtl/>
        </w:rPr>
      </w:pPr>
      <w:r>
        <w:rPr>
          <w:rFonts w:hint="cs"/>
          <w:b/>
          <w:bCs/>
          <w:u w:val="single"/>
          <w:rtl/>
        </w:rPr>
        <w:t>סוף דבר</w:t>
      </w:r>
    </w:p>
    <w:p w14:paraId="01F9B104" w14:textId="77777777" w:rsidR="000A524C" w:rsidRDefault="000A524C" w:rsidP="000A524C">
      <w:pPr>
        <w:spacing w:line="360" w:lineRule="auto"/>
        <w:ind w:left="785"/>
        <w:contextualSpacing/>
        <w:jc w:val="both"/>
        <w:rPr>
          <w:b/>
          <w:bCs/>
          <w:u w:val="single"/>
          <w:rtl/>
        </w:rPr>
      </w:pPr>
    </w:p>
    <w:p w14:paraId="6308858C" w14:textId="77777777" w:rsidR="000A524C" w:rsidRDefault="000A524C" w:rsidP="000A524C">
      <w:pPr>
        <w:numPr>
          <w:ilvl w:val="0"/>
          <w:numId w:val="1"/>
        </w:numPr>
        <w:spacing w:after="160" w:line="360" w:lineRule="auto"/>
        <w:contextualSpacing/>
        <w:jc w:val="both"/>
        <w:rPr>
          <w:rFonts w:ascii="Calibri" w:hAnsi="Calibri" w:cs="Calibri"/>
          <w:b/>
          <w:bCs/>
          <w:rtl/>
        </w:rPr>
      </w:pPr>
      <w:r>
        <w:rPr>
          <w:rFonts w:ascii="Calibri" w:hAnsi="Calibri" w:hint="cs"/>
          <w:rtl/>
        </w:rPr>
        <w:t xml:space="preserve">לאור כל האמור ולאחר ששקלתי את מכלול השיקולים, </w:t>
      </w:r>
      <w:r>
        <w:rPr>
          <w:rFonts w:ascii="Calibri" w:hAnsi="Calibri" w:hint="cs"/>
          <w:b/>
          <w:bCs/>
          <w:rtl/>
        </w:rPr>
        <w:t>הנני גוזרת על הנאשם את העונשים כדלקמן:</w:t>
      </w:r>
    </w:p>
    <w:p w14:paraId="58F83450" w14:textId="77777777" w:rsidR="000A524C" w:rsidRDefault="000A524C" w:rsidP="000A524C">
      <w:pPr>
        <w:spacing w:line="360" w:lineRule="auto"/>
        <w:ind w:left="785"/>
        <w:contextualSpacing/>
        <w:jc w:val="both"/>
        <w:rPr>
          <w:rFonts w:ascii="Calibri" w:hAnsi="Calibri" w:cs="Calibri"/>
          <w:b/>
          <w:bCs/>
        </w:rPr>
      </w:pPr>
    </w:p>
    <w:p w14:paraId="44FBB37C" w14:textId="77777777" w:rsidR="000A524C" w:rsidRDefault="000A524C" w:rsidP="000A524C">
      <w:pPr>
        <w:numPr>
          <w:ilvl w:val="0"/>
          <w:numId w:val="3"/>
        </w:numPr>
        <w:spacing w:after="160" w:line="480" w:lineRule="auto"/>
        <w:contextualSpacing/>
      </w:pPr>
      <w:r>
        <w:rPr>
          <w:rFonts w:ascii="Calibri" w:hAnsi="Calibri" w:hint="cs"/>
          <w:rtl/>
        </w:rPr>
        <w:t xml:space="preserve">8 חודשי מאסר בפועל בניכוי ימי מעצרו מיום 28-29.5.15 . הנאשם יתייצב לריצוי עונשו ביום 1.2.17 כשעד למועד זה ישמשו הערבויות בהליך המעצר להבטחת התייצבותו. </w:t>
      </w:r>
    </w:p>
    <w:p w14:paraId="07216E66" w14:textId="77777777" w:rsidR="000A524C" w:rsidRDefault="000A524C" w:rsidP="000A524C">
      <w:pPr>
        <w:numPr>
          <w:ilvl w:val="0"/>
          <w:numId w:val="3"/>
        </w:numPr>
        <w:spacing w:after="120" w:line="480" w:lineRule="auto"/>
        <w:jc w:val="both"/>
      </w:pPr>
      <w:r>
        <w:rPr>
          <w:rFonts w:hint="cs"/>
          <w:rtl/>
        </w:rPr>
        <w:t>6 חודשי מאסר על תנאי, לבל יעבור הנאשם עבירות סמים מסוג פשע במשך שלוש שנים מיום שחרורו.</w:t>
      </w:r>
    </w:p>
    <w:p w14:paraId="2894E412" w14:textId="77777777" w:rsidR="000A524C" w:rsidRDefault="000A524C" w:rsidP="000A524C">
      <w:pPr>
        <w:numPr>
          <w:ilvl w:val="0"/>
          <w:numId w:val="3"/>
        </w:numPr>
        <w:spacing w:after="120" w:line="360" w:lineRule="auto"/>
        <w:jc w:val="both"/>
      </w:pPr>
      <w:r>
        <w:rPr>
          <w:rFonts w:hint="cs"/>
          <w:rtl/>
        </w:rPr>
        <w:t xml:space="preserve">4 חודשי מאסר על תנאי, לבל יעבור הנאשם עבירות סמים מסוג עוון במשך 3 שנים מיום שחרורו. </w:t>
      </w:r>
    </w:p>
    <w:p w14:paraId="72FE5609" w14:textId="77777777" w:rsidR="000A524C" w:rsidRDefault="000A524C" w:rsidP="000A524C">
      <w:pPr>
        <w:numPr>
          <w:ilvl w:val="0"/>
          <w:numId w:val="3"/>
        </w:numPr>
        <w:spacing w:after="120" w:line="360" w:lineRule="auto"/>
        <w:jc w:val="both"/>
      </w:pPr>
      <w:r>
        <w:rPr>
          <w:rFonts w:hint="cs"/>
          <w:rtl/>
        </w:rPr>
        <w:t xml:space="preserve">קנס בסך 2500 ש"ח  או 14 ימי מאסר תמורתו. הקנס ישולם בחמישה תשלומים שווים ורצופים החל מיום 1.3.17. </w:t>
      </w:r>
    </w:p>
    <w:p w14:paraId="22378CC2" w14:textId="77777777" w:rsidR="000A524C" w:rsidRDefault="000A524C" w:rsidP="000A524C">
      <w:pPr>
        <w:numPr>
          <w:ilvl w:val="0"/>
          <w:numId w:val="3"/>
        </w:numPr>
        <w:spacing w:after="120" w:line="360" w:lineRule="auto"/>
        <w:jc w:val="both"/>
      </w:pPr>
      <w:r>
        <w:rPr>
          <w:rFonts w:hint="cs"/>
          <w:rtl/>
        </w:rPr>
        <w:t xml:space="preserve">פוסלת הנאשם מלנהוג או להוציא רישיון נהיגה למשך ששה חודשים מיום שחרורו . הנאשם יפקיד רישיונו עד ליום 1.2.17. </w:t>
      </w:r>
    </w:p>
    <w:p w14:paraId="481FC11F" w14:textId="77777777" w:rsidR="000A524C" w:rsidRDefault="000A524C" w:rsidP="000A524C">
      <w:pPr>
        <w:numPr>
          <w:ilvl w:val="0"/>
          <w:numId w:val="3"/>
        </w:numPr>
        <w:spacing w:after="120" w:line="360" w:lineRule="auto"/>
        <w:jc w:val="both"/>
      </w:pPr>
      <w:r>
        <w:rPr>
          <w:rFonts w:hint="cs"/>
          <w:rtl/>
        </w:rPr>
        <w:t>6 חודשים פסילה על תנאי לבל יעבור הנאשם עבירה על פקודת הסמים במשך שנתיים מהיום.</w:t>
      </w:r>
    </w:p>
    <w:p w14:paraId="0540A984" w14:textId="77777777" w:rsidR="000A524C" w:rsidRDefault="000A524C" w:rsidP="000A524C">
      <w:pPr>
        <w:spacing w:line="360" w:lineRule="auto"/>
        <w:ind w:left="1080"/>
        <w:contextualSpacing/>
        <w:rPr>
          <w:rFonts w:ascii="Calibri" w:hAnsi="Calibri"/>
          <w:b/>
          <w:bCs/>
          <w:rtl/>
        </w:rPr>
      </w:pPr>
    </w:p>
    <w:p w14:paraId="1CB3EBF8" w14:textId="77777777" w:rsidR="000A524C" w:rsidRDefault="000A524C" w:rsidP="000A524C">
      <w:pPr>
        <w:spacing w:line="360" w:lineRule="auto"/>
        <w:ind w:left="1080"/>
        <w:contextualSpacing/>
        <w:rPr>
          <w:rFonts w:ascii="Calibri" w:hAnsi="Calibri"/>
          <w:b/>
          <w:bCs/>
        </w:rPr>
      </w:pPr>
      <w:r>
        <w:rPr>
          <w:rFonts w:ascii="Calibri" w:hAnsi="Calibri" w:hint="cs"/>
          <w:b/>
          <w:bCs/>
          <w:rtl/>
        </w:rPr>
        <w:t xml:space="preserve">מורה על השמדת מוצגי הסם וכלים. </w:t>
      </w:r>
    </w:p>
    <w:p w14:paraId="3D7059B8" w14:textId="77777777" w:rsidR="000A524C" w:rsidRPr="00EE0B23" w:rsidRDefault="000A524C" w:rsidP="000A524C">
      <w:pPr>
        <w:spacing w:line="360" w:lineRule="auto"/>
        <w:ind w:left="1080"/>
        <w:contextualSpacing/>
        <w:rPr>
          <w:rFonts w:ascii="Calibri" w:hAnsi="Calibri"/>
          <w:b/>
          <w:bCs/>
          <w:rtl/>
        </w:rPr>
      </w:pPr>
    </w:p>
    <w:p w14:paraId="1A2EAC68" w14:textId="77777777" w:rsidR="000A524C" w:rsidRPr="00E56505" w:rsidRDefault="000A524C" w:rsidP="000A524C">
      <w:pPr>
        <w:spacing w:line="360" w:lineRule="auto"/>
        <w:ind w:left="1080"/>
        <w:contextualSpacing/>
        <w:rPr>
          <w:rFonts w:ascii="Calibri" w:hAnsi="Calibri" w:cs="Arial"/>
          <w:sz w:val="22"/>
          <w:szCs w:val="22"/>
          <w:rtl/>
        </w:rPr>
      </w:pPr>
      <w:r>
        <w:rPr>
          <w:rFonts w:ascii="Calibri" w:hAnsi="Calibri" w:hint="cs"/>
          <w:b/>
          <w:bCs/>
          <w:rtl/>
        </w:rPr>
        <w:t>זכות ערעור לבית המשפט המחוזי תוך 45 יום</w:t>
      </w:r>
    </w:p>
    <w:p w14:paraId="0B98CCFA" w14:textId="77777777" w:rsidR="000A524C" w:rsidRPr="00AC6335" w:rsidRDefault="00AC6335" w:rsidP="000A524C">
      <w:pPr>
        <w:rPr>
          <w:color w:val="FFFFFF"/>
          <w:sz w:val="2"/>
          <w:szCs w:val="2"/>
          <w:rtl/>
        </w:rPr>
      </w:pPr>
      <w:r w:rsidRPr="00AC6335">
        <w:rPr>
          <w:color w:val="FFFFFF"/>
          <w:sz w:val="2"/>
          <w:szCs w:val="2"/>
          <w:rtl/>
        </w:rPr>
        <w:t>5129371</w:t>
      </w:r>
    </w:p>
    <w:p w14:paraId="7FFC5953" w14:textId="77777777" w:rsidR="000A524C" w:rsidRPr="00AC6335" w:rsidRDefault="00AC6335" w:rsidP="000A524C">
      <w:pPr>
        <w:rPr>
          <w:color w:val="FFFFFF"/>
          <w:sz w:val="2"/>
          <w:szCs w:val="2"/>
          <w:rtl/>
        </w:rPr>
      </w:pPr>
      <w:r w:rsidRPr="00AC6335">
        <w:rPr>
          <w:color w:val="FFFFFF"/>
          <w:sz w:val="2"/>
          <w:szCs w:val="2"/>
          <w:rtl/>
        </w:rPr>
        <w:t>54678313</w:t>
      </w:r>
    </w:p>
    <w:p w14:paraId="0EFBC270" w14:textId="77777777" w:rsidR="000A524C" w:rsidRPr="009E2B4B" w:rsidRDefault="00AC6335" w:rsidP="000A524C">
      <w:pPr>
        <w:rPr>
          <w:rFonts w:cs="FrankRuehl"/>
          <w:b/>
          <w:bCs/>
          <w:sz w:val="28"/>
          <w:szCs w:val="28"/>
          <w:rtl/>
        </w:rPr>
      </w:pPr>
      <w:r w:rsidRPr="009E2B4B">
        <w:rPr>
          <w:rFonts w:ascii="Arial" w:hAnsi="Arial"/>
          <w:b/>
          <w:bCs/>
          <w:rtl/>
        </w:rPr>
        <w:t xml:space="preserve">ניתן היום,  ד' טבת תשע"ז, 02 ינואר 2017, במעמד הצדדים. </w:t>
      </w:r>
    </w:p>
    <w:p w14:paraId="6B5EEAC6" w14:textId="77777777" w:rsidR="000A524C" w:rsidRDefault="000A524C" w:rsidP="000A524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3618E97" w14:textId="77777777" w:rsidR="000A524C" w:rsidRDefault="000A524C" w:rsidP="000A524C">
      <w:pPr>
        <w:jc w:val="center"/>
        <w:rPr>
          <w:rFonts w:ascii="Arial" w:hAnsi="Arial" w:cs="FrankRuehl"/>
          <w:sz w:val="28"/>
          <w:szCs w:val="28"/>
          <w:rtl/>
        </w:rPr>
      </w:pPr>
    </w:p>
    <w:p w14:paraId="40A7F69F" w14:textId="77777777" w:rsidR="00AC6335" w:rsidRPr="00AC6335" w:rsidRDefault="00AC6335" w:rsidP="00AC6335">
      <w:pPr>
        <w:keepNext/>
        <w:rPr>
          <w:rFonts w:ascii="David" w:hAnsi="David"/>
          <w:color w:val="000000"/>
          <w:sz w:val="22"/>
          <w:szCs w:val="22"/>
          <w:rtl/>
        </w:rPr>
      </w:pPr>
    </w:p>
    <w:p w14:paraId="06ACFB58" w14:textId="77777777" w:rsidR="00AC6335" w:rsidRPr="00AC6335" w:rsidRDefault="00AC6335" w:rsidP="00AC6335">
      <w:pPr>
        <w:keepNext/>
        <w:rPr>
          <w:rFonts w:ascii="David" w:hAnsi="David"/>
          <w:color w:val="000000"/>
          <w:sz w:val="22"/>
          <w:szCs w:val="22"/>
          <w:rtl/>
        </w:rPr>
      </w:pPr>
      <w:r w:rsidRPr="00AC6335">
        <w:rPr>
          <w:rFonts w:ascii="David" w:hAnsi="David"/>
          <w:color w:val="000000"/>
          <w:sz w:val="22"/>
          <w:szCs w:val="22"/>
          <w:rtl/>
        </w:rPr>
        <w:t>מרב גרינברג 54678313</w:t>
      </w:r>
    </w:p>
    <w:p w14:paraId="353320AF" w14:textId="77777777" w:rsidR="00AC6335" w:rsidRDefault="00AC6335" w:rsidP="00AC6335">
      <w:r w:rsidRPr="00AC6335">
        <w:rPr>
          <w:color w:val="000000"/>
          <w:rtl/>
        </w:rPr>
        <w:t>נוסח מסמך זה כפוף לשינויי ניסוח ועריכה</w:t>
      </w:r>
    </w:p>
    <w:p w14:paraId="05799885" w14:textId="77777777" w:rsidR="00AC6335" w:rsidRDefault="00AC6335" w:rsidP="00AC6335">
      <w:pPr>
        <w:rPr>
          <w:rtl/>
        </w:rPr>
      </w:pPr>
    </w:p>
    <w:p w14:paraId="24DCC99C" w14:textId="77777777" w:rsidR="00AC6335" w:rsidRDefault="00AC6335" w:rsidP="00AC6335">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52F2E5A" w14:textId="77777777" w:rsidR="00B35717" w:rsidRPr="00AC6335" w:rsidRDefault="00B35717" w:rsidP="00AC6335">
      <w:pPr>
        <w:jc w:val="center"/>
        <w:rPr>
          <w:color w:val="0000FF"/>
          <w:u w:val="single"/>
        </w:rPr>
      </w:pPr>
    </w:p>
    <w:sectPr w:rsidR="00B35717" w:rsidRPr="00AC6335" w:rsidSect="00AC6335">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9C8AC" w14:textId="77777777" w:rsidR="00EA2EA5" w:rsidRDefault="00EA2EA5">
      <w:r>
        <w:separator/>
      </w:r>
    </w:p>
  </w:endnote>
  <w:endnote w:type="continuationSeparator" w:id="0">
    <w:p w14:paraId="74C9AE1B" w14:textId="77777777" w:rsidR="00EA2EA5" w:rsidRDefault="00EA2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43977" w14:textId="77777777" w:rsidR="00A94BE2" w:rsidRDefault="00A94BE2" w:rsidP="00AC633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ED4D97" w14:textId="77777777" w:rsidR="00A94BE2" w:rsidRPr="00AC6335" w:rsidRDefault="00A94BE2" w:rsidP="00AC6335">
    <w:pPr>
      <w:pStyle w:val="a4"/>
      <w:pBdr>
        <w:top w:val="single" w:sz="4" w:space="1" w:color="auto"/>
        <w:between w:val="single" w:sz="4" w:space="0" w:color="auto"/>
      </w:pBdr>
      <w:spacing w:after="60"/>
      <w:jc w:val="center"/>
      <w:rPr>
        <w:rFonts w:ascii="FrankRuehl" w:hAnsi="FrankRuehl" w:cs="FrankRuehl"/>
        <w:color w:val="000000"/>
      </w:rPr>
    </w:pPr>
    <w:r w:rsidRPr="00AC63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351D0" w14:textId="77777777" w:rsidR="00A94BE2" w:rsidRDefault="00A94BE2" w:rsidP="00AC633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5FE9">
      <w:rPr>
        <w:rFonts w:ascii="FrankRuehl" w:hAnsi="FrankRuehl" w:cs="FrankRuehl"/>
        <w:noProof/>
        <w:rtl/>
      </w:rPr>
      <w:t>1</w:t>
    </w:r>
    <w:r>
      <w:rPr>
        <w:rFonts w:ascii="FrankRuehl" w:hAnsi="FrankRuehl" w:cs="FrankRuehl"/>
        <w:rtl/>
      </w:rPr>
      <w:fldChar w:fldCharType="end"/>
    </w:r>
  </w:p>
  <w:p w14:paraId="4766431F" w14:textId="77777777" w:rsidR="00A94BE2" w:rsidRPr="00AC6335" w:rsidRDefault="00A94BE2" w:rsidP="00AC6335">
    <w:pPr>
      <w:pStyle w:val="a4"/>
      <w:pBdr>
        <w:top w:val="single" w:sz="4" w:space="1" w:color="auto"/>
        <w:between w:val="single" w:sz="4" w:space="0" w:color="auto"/>
      </w:pBdr>
      <w:spacing w:after="60"/>
      <w:jc w:val="center"/>
      <w:rPr>
        <w:rFonts w:ascii="FrankRuehl" w:hAnsi="FrankRuehl" w:cs="FrankRuehl"/>
        <w:color w:val="000000"/>
      </w:rPr>
    </w:pPr>
    <w:r w:rsidRPr="00AC6335">
      <w:rPr>
        <w:rFonts w:ascii="FrankRuehl" w:hAnsi="FrankRuehl" w:cs="FrankRuehl"/>
        <w:color w:val="000000"/>
      </w:rPr>
      <w:pict w14:anchorId="42593F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168C4" w14:textId="77777777" w:rsidR="00EA2EA5" w:rsidRDefault="00EA2EA5">
      <w:r>
        <w:separator/>
      </w:r>
    </w:p>
  </w:footnote>
  <w:footnote w:type="continuationSeparator" w:id="0">
    <w:p w14:paraId="2A743626" w14:textId="77777777" w:rsidR="00EA2EA5" w:rsidRDefault="00EA2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123C" w14:textId="77777777" w:rsidR="00A94BE2" w:rsidRPr="00AC6335" w:rsidRDefault="00A94BE2" w:rsidP="00AC6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19827-06-15</w:t>
    </w:r>
    <w:r>
      <w:rPr>
        <w:rFonts w:ascii="David" w:hAnsi="David"/>
        <w:color w:val="000000"/>
        <w:sz w:val="22"/>
        <w:szCs w:val="22"/>
        <w:rtl/>
      </w:rPr>
      <w:tab/>
      <w:t xml:space="preserve"> מדינת ישראל נ' עמית הלמר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92901" w14:textId="77777777" w:rsidR="00A94BE2" w:rsidRPr="00AC6335" w:rsidRDefault="00A94BE2" w:rsidP="00AC6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19827-06-15</w:t>
    </w:r>
    <w:r>
      <w:rPr>
        <w:rFonts w:ascii="David" w:hAnsi="David"/>
        <w:color w:val="000000"/>
        <w:sz w:val="22"/>
        <w:szCs w:val="22"/>
        <w:rtl/>
      </w:rPr>
      <w:tab/>
      <w:t xml:space="preserve"> מדינת ישראל נ' עמית הלמר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E5EEC"/>
    <w:multiLevelType w:val="hybridMultilevel"/>
    <w:tmpl w:val="53C65C1C"/>
    <w:lvl w:ilvl="0" w:tplc="007AAF14">
      <w:start w:val="1"/>
      <w:numFmt w:val="hebrew1"/>
      <w:lvlText w:val="%1."/>
      <w:lvlJc w:val="left"/>
      <w:pPr>
        <w:ind w:left="1080" w:hanging="360"/>
      </w:pPr>
      <w:rPr>
        <w:rFonts w:cs="David"/>
        <w:b/>
        <w:bCs/>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2A1D5064"/>
    <w:multiLevelType w:val="hybridMultilevel"/>
    <w:tmpl w:val="F7C6FE0C"/>
    <w:lvl w:ilvl="0" w:tplc="098EE09C">
      <w:start w:val="1"/>
      <w:numFmt w:val="hebrew1"/>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2" w15:restartNumberingAfterBreak="0">
    <w:nsid w:val="7EF56127"/>
    <w:multiLevelType w:val="hybridMultilevel"/>
    <w:tmpl w:val="17D49398"/>
    <w:lvl w:ilvl="0" w:tplc="5AB2B39C">
      <w:start w:val="1"/>
      <w:numFmt w:val="decimal"/>
      <w:lvlText w:val="%1."/>
      <w:lvlJc w:val="left"/>
      <w:pPr>
        <w:ind w:left="785" w:hanging="360"/>
      </w:pPr>
      <w:rPr>
        <w:rFonts w:cs="Times New Roman"/>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2128497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67603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05824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524C"/>
    <w:rsid w:val="00004B4A"/>
    <w:rsid w:val="000133DD"/>
    <w:rsid w:val="000258C6"/>
    <w:rsid w:val="00092DB2"/>
    <w:rsid w:val="000A524C"/>
    <w:rsid w:val="000B222D"/>
    <w:rsid w:val="000E716F"/>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135A4"/>
    <w:rsid w:val="00434AB1"/>
    <w:rsid w:val="004D1A95"/>
    <w:rsid w:val="004D5997"/>
    <w:rsid w:val="00533D5C"/>
    <w:rsid w:val="00551C5E"/>
    <w:rsid w:val="005638FB"/>
    <w:rsid w:val="00582B08"/>
    <w:rsid w:val="005847C1"/>
    <w:rsid w:val="005B4DDE"/>
    <w:rsid w:val="005C0A87"/>
    <w:rsid w:val="005E305D"/>
    <w:rsid w:val="00634B6E"/>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8E25C7"/>
    <w:rsid w:val="00901DEA"/>
    <w:rsid w:val="00913EC5"/>
    <w:rsid w:val="00946CA3"/>
    <w:rsid w:val="009A4E50"/>
    <w:rsid w:val="009A720E"/>
    <w:rsid w:val="009B4682"/>
    <w:rsid w:val="009E2B4B"/>
    <w:rsid w:val="00A03304"/>
    <w:rsid w:val="00A24369"/>
    <w:rsid w:val="00A472AB"/>
    <w:rsid w:val="00A52B25"/>
    <w:rsid w:val="00A94BE2"/>
    <w:rsid w:val="00A96648"/>
    <w:rsid w:val="00AC6335"/>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95A4F"/>
    <w:rsid w:val="00DD36BA"/>
    <w:rsid w:val="00DE1662"/>
    <w:rsid w:val="00DF5FE9"/>
    <w:rsid w:val="00E45CCB"/>
    <w:rsid w:val="00E61C95"/>
    <w:rsid w:val="00EA2EA5"/>
    <w:rsid w:val="00EA60CD"/>
    <w:rsid w:val="00EE2A1B"/>
    <w:rsid w:val="00F274FE"/>
    <w:rsid w:val="00F42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2A9866"/>
  <w15:chartTrackingRefBased/>
  <w15:docId w15:val="{34DCC6F8-AF27-4601-8C2B-B6FC96B9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524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A524C"/>
    <w:pPr>
      <w:tabs>
        <w:tab w:val="center" w:pos="4153"/>
        <w:tab w:val="right" w:pos="8306"/>
      </w:tabs>
    </w:pPr>
  </w:style>
  <w:style w:type="paragraph" w:styleId="a4">
    <w:name w:val="footer"/>
    <w:basedOn w:val="a"/>
    <w:rsid w:val="000A524C"/>
    <w:pPr>
      <w:tabs>
        <w:tab w:val="center" w:pos="4153"/>
        <w:tab w:val="right" w:pos="8306"/>
      </w:tabs>
    </w:pPr>
  </w:style>
  <w:style w:type="character" w:styleId="a5">
    <w:name w:val="page number"/>
    <w:basedOn w:val="a0"/>
    <w:rsid w:val="000A524C"/>
  </w:style>
  <w:style w:type="paragraph" w:customStyle="1" w:styleId="ListParagraph">
    <w:name w:val="List Paragraph"/>
    <w:basedOn w:val="a"/>
    <w:rsid w:val="000A524C"/>
    <w:pPr>
      <w:ind w:left="720"/>
      <w:contextualSpacing/>
    </w:pPr>
    <w:rPr>
      <w:rFonts w:ascii="Calibri" w:hAnsi="Calibri" w:cs="Calibri"/>
      <w:sz w:val="22"/>
      <w:szCs w:val="22"/>
    </w:rPr>
  </w:style>
  <w:style w:type="character" w:styleId="Hyperlink">
    <w:name w:val="Hyperlink"/>
    <w:basedOn w:val="a0"/>
    <w:rsid w:val="00AC6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18107527" TargetMode="External"/><Relationship Id="rId21" Type="http://schemas.openxmlformats.org/officeDocument/2006/relationships/hyperlink" Target="http://www.nevo.co.il/law/70301"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88108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70301/40c.a" TargetMode="External"/><Relationship Id="rId29" Type="http://schemas.openxmlformats.org/officeDocument/2006/relationships/hyperlink" Target="http://www.nevo.co.il/case/206851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law/70301/40i"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5786821" TargetMode="External"/><Relationship Id="rId28" Type="http://schemas.openxmlformats.org/officeDocument/2006/relationships/hyperlink" Target="http://www.nevo.co.il/case/20111708" TargetMode="External"/><Relationship Id="rId36"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law/4216/10"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18119161" TargetMode="External"/><Relationship Id="rId27" Type="http://schemas.openxmlformats.org/officeDocument/2006/relationships/hyperlink" Target="http://www.nevo.co.il/case/8291661" TargetMode="External"/><Relationship Id="rId30" Type="http://schemas.openxmlformats.org/officeDocument/2006/relationships/hyperlink" Target="http://www.nevo.co.il/law/70301/40ja" TargetMode="External"/><Relationship Id="rId35"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2696</Words>
  <Characters>13485</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16149</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3473533</vt:i4>
      </vt:variant>
      <vt:variant>
        <vt:i4>66</vt:i4>
      </vt:variant>
      <vt:variant>
        <vt:i4>0</vt:i4>
      </vt:variant>
      <vt:variant>
        <vt:i4>5</vt:i4>
      </vt:variant>
      <vt:variant>
        <vt:lpwstr>http://www.nevo.co.il/case/20685141</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3539057</vt:i4>
      </vt:variant>
      <vt:variant>
        <vt:i4>60</vt:i4>
      </vt:variant>
      <vt:variant>
        <vt:i4>0</vt:i4>
      </vt:variant>
      <vt:variant>
        <vt:i4>5</vt:i4>
      </vt:variant>
      <vt:variant>
        <vt:lpwstr>http://www.nevo.co.il/case/8291661</vt:lpwstr>
      </vt:variant>
      <vt:variant>
        <vt:lpwstr/>
      </vt:variant>
      <vt:variant>
        <vt:i4>3473529</vt:i4>
      </vt:variant>
      <vt:variant>
        <vt:i4>57</vt:i4>
      </vt:variant>
      <vt:variant>
        <vt:i4>0</vt:i4>
      </vt:variant>
      <vt:variant>
        <vt:i4>5</vt:i4>
      </vt:variant>
      <vt:variant>
        <vt:lpwstr>http://www.nevo.co.il/case/18107527</vt:lpwstr>
      </vt:variant>
      <vt:variant>
        <vt:lpwstr/>
      </vt:variant>
      <vt:variant>
        <vt:i4>3342460</vt:i4>
      </vt:variant>
      <vt:variant>
        <vt:i4>54</vt:i4>
      </vt:variant>
      <vt:variant>
        <vt:i4>0</vt:i4>
      </vt:variant>
      <vt:variant>
        <vt:i4>5</vt:i4>
      </vt:variant>
      <vt:variant>
        <vt:lpwstr>http://www.nevo.co.il/case/20881083</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4128892</vt:i4>
      </vt:variant>
      <vt:variant>
        <vt:i4>45</vt:i4>
      </vt:variant>
      <vt:variant>
        <vt:i4>0</vt:i4>
      </vt:variant>
      <vt:variant>
        <vt:i4>5</vt:i4>
      </vt:variant>
      <vt:variant>
        <vt:lpwstr>http://www.nevo.co.il/case/18119161</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2025-04-22T22:44:00Z</dcterms:created>
  <dcterms:modified xsi:type="dcterms:W3CDTF">2025-04-22T22:44:00Z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19827</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עמית הלמר</vt:lpwstr>
  </property>
  <property fmtid="{D5CDD505-2E9C-101B-9397-08002B2CF9AE}" pid="10" name="LAWYER">
    <vt:lpwstr>מוטי חבה;משה סוחמי</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20170102</vt:lpwstr>
  </property>
  <property fmtid="{D5CDD505-2E9C-101B-9397-08002B2CF9AE}" pid="14" name="TYPE_N_DATE">
    <vt:lpwstr>38020170102</vt:lpwstr>
  </property>
  <property fmtid="{D5CDD505-2E9C-101B-9397-08002B2CF9AE}" pid="15" name="WORDNUMPAGES">
    <vt:lpwstr>9</vt:lpwstr>
  </property>
  <property fmtid="{D5CDD505-2E9C-101B-9397-08002B2CF9AE}" pid="16" name="TYPE_ABS_DATE">
    <vt:lpwstr>380120170102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8991</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סמים</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20170117</vt:lpwstr>
  </property>
  <property fmtid="{D5CDD505-2E9C-101B-9397-08002B2CF9AE}" pid="70" name="CASESLISTTMP1">
    <vt:lpwstr>18119161;5786821;20881083;18107527;8291661;20111708;20685141</vt:lpwstr>
  </property>
  <property fmtid="{D5CDD505-2E9C-101B-9397-08002B2CF9AE}" pid="71" name="LAWLISTTMP1">
    <vt:lpwstr>4216/006;007.a;007.c;010</vt:lpwstr>
  </property>
  <property fmtid="{D5CDD505-2E9C-101B-9397-08002B2CF9AE}" pid="72" name="LAWLISTTMP2">
    <vt:lpwstr>70301/040c.a;040i;40ja</vt:lpwstr>
  </property>
</Properties>
</file>