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47C9B" w:rsidRPr="00672690" w14:paraId="7A5B3BBA" w14:textId="77777777" w:rsidTr="00DA697D">
        <w:trPr>
          <w:trHeight w:hRule="exact" w:val="418"/>
          <w:jc w:val="center"/>
        </w:trPr>
        <w:tc>
          <w:tcPr>
            <w:tcW w:w="8721" w:type="dxa"/>
            <w:gridSpan w:val="2"/>
          </w:tcPr>
          <w:p w14:paraId="79422A3C" w14:textId="77777777" w:rsidR="00247C9B" w:rsidRPr="00672690" w:rsidRDefault="00247C9B" w:rsidP="00672690">
            <w:pPr>
              <w:pStyle w:val="a3"/>
              <w:jc w:val="center"/>
              <w:rPr>
                <w:rFonts w:ascii="Tahoma" w:hAnsi="Tahoma"/>
                <w:color w:val="000080"/>
                <w:sz w:val="32"/>
                <w:szCs w:val="32"/>
                <w:rtl/>
              </w:rPr>
            </w:pPr>
            <w:bookmarkStart w:id="0" w:name="LastJudge"/>
            <w:r w:rsidRPr="00672690">
              <w:rPr>
                <w:rFonts w:ascii="Tahoma" w:hAnsi="Tahoma"/>
                <w:b/>
                <w:bCs/>
                <w:color w:val="000080"/>
                <w:sz w:val="32"/>
                <w:szCs w:val="32"/>
                <w:rtl/>
              </w:rPr>
              <w:t>בית משפט השלום בתל אביב - יפו</w:t>
            </w:r>
          </w:p>
        </w:tc>
      </w:tr>
      <w:tr w:rsidR="00247C9B" w:rsidRPr="00672690" w14:paraId="648753B1" w14:textId="77777777" w:rsidTr="00DA697D">
        <w:trPr>
          <w:trHeight w:val="337"/>
          <w:jc w:val="center"/>
        </w:trPr>
        <w:tc>
          <w:tcPr>
            <w:tcW w:w="5054" w:type="dxa"/>
          </w:tcPr>
          <w:p w14:paraId="190F3932" w14:textId="77777777" w:rsidR="00247C9B" w:rsidRPr="00672690" w:rsidRDefault="00247C9B" w:rsidP="00672690">
            <w:pPr>
              <w:rPr>
                <w:sz w:val="26"/>
                <w:szCs w:val="26"/>
                <w:rtl/>
              </w:rPr>
            </w:pPr>
            <w:r w:rsidRPr="00672690">
              <w:rPr>
                <w:sz w:val="26"/>
                <w:szCs w:val="26"/>
                <w:rtl/>
              </w:rPr>
              <w:t>ת"פ</w:t>
            </w:r>
            <w:r w:rsidRPr="00672690">
              <w:rPr>
                <w:rFonts w:hint="cs"/>
                <w:sz w:val="26"/>
                <w:szCs w:val="26"/>
                <w:rtl/>
              </w:rPr>
              <w:t xml:space="preserve"> </w:t>
            </w:r>
            <w:r w:rsidRPr="00672690">
              <w:rPr>
                <w:sz w:val="26"/>
                <w:szCs w:val="26"/>
                <w:rtl/>
              </w:rPr>
              <w:t>53952-06-15</w:t>
            </w:r>
            <w:r w:rsidRPr="00672690">
              <w:rPr>
                <w:rFonts w:hint="cs"/>
                <w:sz w:val="26"/>
                <w:szCs w:val="26"/>
                <w:rtl/>
              </w:rPr>
              <w:t xml:space="preserve"> </w:t>
            </w:r>
            <w:r w:rsidRPr="00672690">
              <w:rPr>
                <w:b/>
                <w:bCs/>
                <w:sz w:val="26"/>
                <w:szCs w:val="26"/>
                <w:rtl/>
              </w:rPr>
              <w:t>מדינת ישראל נ' גרבי</w:t>
            </w:r>
          </w:p>
        </w:tc>
        <w:tc>
          <w:tcPr>
            <w:tcW w:w="3667" w:type="dxa"/>
          </w:tcPr>
          <w:p w14:paraId="7811F8EB" w14:textId="77777777" w:rsidR="00247C9B" w:rsidRPr="00672690" w:rsidRDefault="00247C9B" w:rsidP="00672690">
            <w:pPr>
              <w:pStyle w:val="a3"/>
              <w:jc w:val="right"/>
              <w:rPr>
                <w:rFonts w:cs="FrankRuehl"/>
                <w:sz w:val="28"/>
                <w:szCs w:val="28"/>
                <w:rtl/>
              </w:rPr>
            </w:pPr>
          </w:p>
        </w:tc>
      </w:tr>
    </w:tbl>
    <w:p w14:paraId="36A2A51D" w14:textId="77777777" w:rsidR="00247C9B" w:rsidRPr="00672690" w:rsidRDefault="00247C9B" w:rsidP="00247C9B">
      <w:pPr>
        <w:pStyle w:val="a3"/>
        <w:rPr>
          <w:rtl/>
        </w:rPr>
      </w:pPr>
      <w:r w:rsidRPr="00672690">
        <w:rPr>
          <w:rFonts w:hint="cs"/>
          <w:rtl/>
        </w:rPr>
        <w:t xml:space="preserve"> </w:t>
      </w:r>
    </w:p>
    <w:p w14:paraId="18A50E06" w14:textId="77777777" w:rsidR="00247C9B" w:rsidRPr="00672690" w:rsidRDefault="00247C9B" w:rsidP="00247C9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4"/>
        <w:gridCol w:w="3334"/>
      </w:tblGrid>
      <w:tr w:rsidR="00247C9B" w:rsidRPr="00672690" w14:paraId="5134A2B0" w14:textId="77777777" w:rsidTr="00247C9B">
        <w:trPr>
          <w:trHeight w:val="295"/>
          <w:jc w:val="center"/>
        </w:trPr>
        <w:tc>
          <w:tcPr>
            <w:tcW w:w="8820" w:type="dxa"/>
            <w:gridSpan w:val="3"/>
            <w:tcBorders>
              <w:top w:val="nil"/>
              <w:left w:val="nil"/>
              <w:bottom w:val="nil"/>
              <w:right w:val="nil"/>
            </w:tcBorders>
            <w:shd w:val="clear" w:color="auto" w:fill="auto"/>
          </w:tcPr>
          <w:p w14:paraId="0F17B068" w14:textId="77777777" w:rsidR="00247C9B" w:rsidRPr="00672690" w:rsidRDefault="00247C9B" w:rsidP="00247C9B">
            <w:pPr>
              <w:spacing w:line="360" w:lineRule="auto"/>
              <w:jc w:val="both"/>
              <w:rPr>
                <w:rFonts w:ascii="Arial" w:hAnsi="Arial"/>
                <w:b/>
                <w:bCs/>
                <w:sz w:val="26"/>
                <w:szCs w:val="26"/>
                <w:rtl/>
              </w:rPr>
            </w:pPr>
            <w:r w:rsidRPr="00672690">
              <w:rPr>
                <w:rFonts w:ascii="Arial" w:hAnsi="Arial" w:hint="cs"/>
                <w:b/>
                <w:bCs/>
                <w:sz w:val="26"/>
                <w:szCs w:val="26"/>
                <w:rtl/>
              </w:rPr>
              <w:t>ל</w:t>
            </w:r>
            <w:r w:rsidRPr="00672690">
              <w:rPr>
                <w:rFonts w:ascii="Arial" w:hAnsi="Arial"/>
                <w:b/>
                <w:bCs/>
                <w:sz w:val="26"/>
                <w:szCs w:val="26"/>
                <w:rtl/>
              </w:rPr>
              <w:t xml:space="preserve">פני </w:t>
            </w:r>
            <w:r w:rsidRPr="00672690">
              <w:rPr>
                <w:rFonts w:ascii="Arial" w:hAnsi="Arial" w:hint="cs"/>
                <w:b/>
                <w:bCs/>
                <w:sz w:val="26"/>
                <w:szCs w:val="26"/>
                <w:rtl/>
              </w:rPr>
              <w:t>כבוד ה</w:t>
            </w:r>
            <w:r w:rsidRPr="00672690">
              <w:rPr>
                <w:rFonts w:ascii="Arial" w:hAnsi="Arial"/>
                <w:b/>
                <w:bCs/>
                <w:sz w:val="26"/>
                <w:szCs w:val="26"/>
                <w:rtl/>
              </w:rPr>
              <w:t>שופט</w:t>
            </w:r>
            <w:r w:rsidRPr="00672690">
              <w:rPr>
                <w:rFonts w:ascii="Arial" w:hAnsi="Arial" w:hint="cs"/>
                <w:b/>
                <w:bCs/>
                <w:sz w:val="26"/>
                <w:szCs w:val="26"/>
                <w:rtl/>
              </w:rPr>
              <w:t xml:space="preserve"> </w:t>
            </w:r>
            <w:r w:rsidRPr="00672690">
              <w:rPr>
                <w:rFonts w:ascii="Arial" w:hAnsi="Arial"/>
                <w:b/>
                <w:bCs/>
                <w:sz w:val="26"/>
                <w:szCs w:val="26"/>
                <w:rtl/>
              </w:rPr>
              <w:t>שאול אבינור</w:t>
            </w:r>
          </w:p>
          <w:p w14:paraId="1AD7506A" w14:textId="77777777" w:rsidR="00247C9B" w:rsidRPr="00672690" w:rsidRDefault="00247C9B" w:rsidP="00247C9B">
            <w:pPr>
              <w:spacing w:line="360" w:lineRule="auto"/>
              <w:jc w:val="both"/>
              <w:rPr>
                <w:rFonts w:ascii="Arial" w:hAnsi="Arial"/>
                <w:b/>
                <w:bCs/>
                <w:sz w:val="26"/>
                <w:szCs w:val="26"/>
              </w:rPr>
            </w:pPr>
          </w:p>
        </w:tc>
      </w:tr>
      <w:tr w:rsidR="00247C9B" w:rsidRPr="00672690" w14:paraId="7EF9994E" w14:textId="77777777" w:rsidTr="00247C9B">
        <w:trPr>
          <w:trHeight w:val="355"/>
          <w:jc w:val="center"/>
        </w:trPr>
        <w:tc>
          <w:tcPr>
            <w:tcW w:w="885" w:type="dxa"/>
            <w:tcBorders>
              <w:top w:val="nil"/>
              <w:left w:val="nil"/>
              <w:bottom w:val="nil"/>
              <w:right w:val="nil"/>
            </w:tcBorders>
            <w:shd w:val="clear" w:color="auto" w:fill="auto"/>
          </w:tcPr>
          <w:p w14:paraId="6B520BE8" w14:textId="77777777" w:rsidR="00247C9B" w:rsidRPr="00672690" w:rsidRDefault="00247C9B" w:rsidP="00247C9B">
            <w:pPr>
              <w:spacing w:line="360" w:lineRule="auto"/>
              <w:jc w:val="both"/>
              <w:rPr>
                <w:rFonts w:ascii="Arial" w:hAnsi="Arial"/>
                <w:b/>
                <w:bCs/>
                <w:sz w:val="26"/>
                <w:szCs w:val="26"/>
              </w:rPr>
            </w:pPr>
            <w:bookmarkStart w:id="1" w:name="FirstAppellant"/>
            <w:bookmarkStart w:id="2" w:name="FirstLawyer"/>
            <w:r w:rsidRPr="00672690">
              <w:rPr>
                <w:rFonts w:ascii="Arial" w:hAnsi="Arial" w:hint="cs"/>
                <w:b/>
                <w:bCs/>
                <w:sz w:val="26"/>
                <w:szCs w:val="26"/>
                <w:rtl/>
              </w:rPr>
              <w:t>ה</w:t>
            </w:r>
            <w:r w:rsidRPr="00672690">
              <w:rPr>
                <w:rFonts w:ascii="Arial" w:hAnsi="Arial"/>
                <w:b/>
                <w:bCs/>
                <w:sz w:val="26"/>
                <w:szCs w:val="26"/>
                <w:rtl/>
              </w:rPr>
              <w:t>מאשימה</w:t>
            </w:r>
            <w:r w:rsidRPr="00672690">
              <w:rPr>
                <w:rFonts w:hint="cs"/>
                <w:b/>
                <w:bCs/>
                <w:sz w:val="26"/>
                <w:szCs w:val="26"/>
                <w:rtl/>
              </w:rPr>
              <w:t>:</w:t>
            </w:r>
          </w:p>
        </w:tc>
        <w:tc>
          <w:tcPr>
            <w:tcW w:w="4384" w:type="dxa"/>
            <w:tcBorders>
              <w:top w:val="nil"/>
              <w:left w:val="nil"/>
              <w:bottom w:val="nil"/>
              <w:right w:val="nil"/>
            </w:tcBorders>
            <w:shd w:val="clear" w:color="auto" w:fill="auto"/>
          </w:tcPr>
          <w:p w14:paraId="459FB88B" w14:textId="77777777" w:rsidR="00247C9B" w:rsidRPr="00672690" w:rsidRDefault="00247C9B" w:rsidP="00247C9B">
            <w:pPr>
              <w:spacing w:line="360" w:lineRule="auto"/>
              <w:rPr>
                <w:b/>
                <w:bCs/>
                <w:sz w:val="26"/>
                <w:szCs w:val="26"/>
                <w:rtl/>
              </w:rPr>
            </w:pPr>
            <w:r w:rsidRPr="00672690">
              <w:rPr>
                <w:rFonts w:ascii="Arial" w:hAnsi="Arial"/>
                <w:b/>
                <w:bCs/>
                <w:sz w:val="26"/>
                <w:szCs w:val="26"/>
                <w:rtl/>
              </w:rPr>
              <w:t>מדינת ישראל</w:t>
            </w:r>
          </w:p>
          <w:p w14:paraId="1B7790AE" w14:textId="77777777" w:rsidR="00247C9B" w:rsidRPr="00672690" w:rsidRDefault="00247C9B" w:rsidP="00247C9B">
            <w:pPr>
              <w:spacing w:line="360" w:lineRule="auto"/>
              <w:rPr>
                <w:sz w:val="26"/>
                <w:szCs w:val="26"/>
              </w:rPr>
            </w:pPr>
            <w:r w:rsidRPr="00672690">
              <w:rPr>
                <w:rFonts w:hint="cs"/>
                <w:rtl/>
              </w:rPr>
              <w:t>ע"י ב"כ עו"ד אלברט זמנסקי</w:t>
            </w:r>
          </w:p>
        </w:tc>
        <w:tc>
          <w:tcPr>
            <w:tcW w:w="3551" w:type="dxa"/>
            <w:tcBorders>
              <w:top w:val="nil"/>
              <w:left w:val="nil"/>
              <w:bottom w:val="nil"/>
              <w:right w:val="nil"/>
            </w:tcBorders>
            <w:shd w:val="clear" w:color="auto" w:fill="auto"/>
          </w:tcPr>
          <w:p w14:paraId="54F61111" w14:textId="77777777" w:rsidR="00247C9B" w:rsidRPr="00672690" w:rsidRDefault="00247C9B" w:rsidP="00247C9B">
            <w:pPr>
              <w:spacing w:line="360" w:lineRule="auto"/>
              <w:jc w:val="both"/>
              <w:rPr>
                <w:rFonts w:ascii="Arial" w:hAnsi="Arial"/>
                <w:b/>
                <w:bCs/>
                <w:sz w:val="26"/>
                <w:szCs w:val="26"/>
              </w:rPr>
            </w:pPr>
          </w:p>
        </w:tc>
      </w:tr>
      <w:bookmarkEnd w:id="1"/>
      <w:bookmarkEnd w:id="2"/>
      <w:tr w:rsidR="00247C9B" w:rsidRPr="00672690" w14:paraId="000F6FBF" w14:textId="77777777" w:rsidTr="00247C9B">
        <w:trPr>
          <w:trHeight w:val="355"/>
          <w:jc w:val="center"/>
        </w:trPr>
        <w:tc>
          <w:tcPr>
            <w:tcW w:w="885" w:type="dxa"/>
            <w:tcBorders>
              <w:top w:val="nil"/>
              <w:left w:val="nil"/>
              <w:bottom w:val="nil"/>
              <w:right w:val="nil"/>
            </w:tcBorders>
            <w:shd w:val="clear" w:color="auto" w:fill="auto"/>
          </w:tcPr>
          <w:p w14:paraId="487B4743" w14:textId="77777777" w:rsidR="00247C9B" w:rsidRPr="00672690" w:rsidRDefault="00247C9B" w:rsidP="00247C9B">
            <w:pPr>
              <w:spacing w:line="360" w:lineRule="auto"/>
              <w:jc w:val="both"/>
              <w:rPr>
                <w:rFonts w:ascii="Arial" w:hAnsi="Arial"/>
                <w:b/>
                <w:bCs/>
                <w:sz w:val="26"/>
                <w:szCs w:val="26"/>
                <w:rtl/>
              </w:rPr>
            </w:pPr>
          </w:p>
        </w:tc>
        <w:tc>
          <w:tcPr>
            <w:tcW w:w="4384" w:type="dxa"/>
            <w:tcBorders>
              <w:top w:val="nil"/>
              <w:left w:val="nil"/>
              <w:bottom w:val="nil"/>
              <w:right w:val="nil"/>
            </w:tcBorders>
            <w:shd w:val="clear" w:color="auto" w:fill="auto"/>
          </w:tcPr>
          <w:p w14:paraId="3C69ADFB" w14:textId="77777777" w:rsidR="00247C9B" w:rsidRPr="00672690" w:rsidRDefault="00247C9B" w:rsidP="00247C9B">
            <w:pPr>
              <w:spacing w:line="360" w:lineRule="auto"/>
              <w:rPr>
                <w:rFonts w:ascii="Arial" w:hAnsi="Arial"/>
                <w:b/>
                <w:bCs/>
                <w:sz w:val="26"/>
                <w:szCs w:val="26"/>
                <w:rtl/>
              </w:rPr>
            </w:pPr>
          </w:p>
        </w:tc>
        <w:tc>
          <w:tcPr>
            <w:tcW w:w="3551" w:type="dxa"/>
            <w:tcBorders>
              <w:top w:val="nil"/>
              <w:left w:val="nil"/>
              <w:bottom w:val="nil"/>
              <w:right w:val="nil"/>
            </w:tcBorders>
            <w:shd w:val="clear" w:color="auto" w:fill="auto"/>
          </w:tcPr>
          <w:p w14:paraId="3D444B74" w14:textId="77777777" w:rsidR="00247C9B" w:rsidRPr="00672690" w:rsidRDefault="00247C9B" w:rsidP="00247C9B">
            <w:pPr>
              <w:spacing w:line="360" w:lineRule="auto"/>
              <w:jc w:val="right"/>
              <w:rPr>
                <w:rFonts w:ascii="Arial" w:hAnsi="Arial"/>
                <w:b/>
                <w:bCs/>
                <w:sz w:val="26"/>
                <w:szCs w:val="26"/>
                <w:rtl/>
              </w:rPr>
            </w:pPr>
          </w:p>
        </w:tc>
      </w:tr>
      <w:tr w:rsidR="00247C9B" w:rsidRPr="00672690" w14:paraId="0405A168" w14:textId="77777777" w:rsidTr="00247C9B">
        <w:trPr>
          <w:trHeight w:val="373"/>
          <w:jc w:val="center"/>
        </w:trPr>
        <w:tc>
          <w:tcPr>
            <w:tcW w:w="885" w:type="dxa"/>
            <w:tcBorders>
              <w:top w:val="nil"/>
              <w:left w:val="nil"/>
              <w:bottom w:val="nil"/>
              <w:right w:val="nil"/>
            </w:tcBorders>
            <w:shd w:val="clear" w:color="auto" w:fill="auto"/>
          </w:tcPr>
          <w:p w14:paraId="6B3E9441" w14:textId="77777777" w:rsidR="00247C9B" w:rsidRPr="00672690" w:rsidRDefault="00247C9B" w:rsidP="00247C9B">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ACA5F59" w14:textId="77777777" w:rsidR="00247C9B" w:rsidRPr="00672690" w:rsidRDefault="00247C9B" w:rsidP="00247C9B">
            <w:pPr>
              <w:spacing w:line="360" w:lineRule="auto"/>
              <w:jc w:val="center"/>
              <w:rPr>
                <w:rFonts w:ascii="Arial" w:hAnsi="Arial"/>
                <w:b/>
                <w:bCs/>
                <w:sz w:val="26"/>
                <w:szCs w:val="26"/>
                <w:rtl/>
              </w:rPr>
            </w:pPr>
          </w:p>
          <w:p w14:paraId="20B8C9CD" w14:textId="77777777" w:rsidR="00247C9B" w:rsidRPr="00672690" w:rsidRDefault="00247C9B" w:rsidP="00247C9B">
            <w:pPr>
              <w:spacing w:line="360" w:lineRule="auto"/>
              <w:jc w:val="center"/>
              <w:rPr>
                <w:rFonts w:ascii="Arial" w:hAnsi="Arial"/>
                <w:b/>
                <w:bCs/>
                <w:sz w:val="26"/>
                <w:szCs w:val="26"/>
                <w:rtl/>
              </w:rPr>
            </w:pPr>
            <w:r w:rsidRPr="00672690">
              <w:rPr>
                <w:rFonts w:ascii="Arial" w:hAnsi="Arial"/>
                <w:b/>
                <w:bCs/>
                <w:sz w:val="26"/>
                <w:szCs w:val="26"/>
                <w:rtl/>
              </w:rPr>
              <w:t>נגד</w:t>
            </w:r>
          </w:p>
          <w:p w14:paraId="6C228999" w14:textId="77777777" w:rsidR="00247C9B" w:rsidRPr="00672690" w:rsidRDefault="00247C9B" w:rsidP="00247C9B">
            <w:pPr>
              <w:spacing w:line="360" w:lineRule="auto"/>
              <w:jc w:val="both"/>
              <w:rPr>
                <w:rFonts w:ascii="Arial" w:hAnsi="Arial"/>
                <w:b/>
                <w:bCs/>
                <w:sz w:val="26"/>
                <w:szCs w:val="26"/>
              </w:rPr>
            </w:pPr>
          </w:p>
        </w:tc>
      </w:tr>
      <w:tr w:rsidR="00247C9B" w:rsidRPr="00672690" w14:paraId="3D804A29" w14:textId="77777777" w:rsidTr="00247C9B">
        <w:trPr>
          <w:trHeight w:val="355"/>
          <w:jc w:val="center"/>
        </w:trPr>
        <w:tc>
          <w:tcPr>
            <w:tcW w:w="885" w:type="dxa"/>
            <w:tcBorders>
              <w:top w:val="nil"/>
              <w:left w:val="nil"/>
              <w:bottom w:val="nil"/>
              <w:right w:val="nil"/>
            </w:tcBorders>
            <w:shd w:val="clear" w:color="auto" w:fill="auto"/>
          </w:tcPr>
          <w:p w14:paraId="670DB8C5" w14:textId="77777777" w:rsidR="00247C9B" w:rsidRPr="00672690" w:rsidRDefault="00247C9B" w:rsidP="00247C9B">
            <w:pPr>
              <w:spacing w:line="360" w:lineRule="auto"/>
              <w:rPr>
                <w:rFonts w:ascii="Arial" w:hAnsi="Arial"/>
                <w:b/>
                <w:bCs/>
                <w:sz w:val="26"/>
                <w:szCs w:val="26"/>
                <w:rtl/>
              </w:rPr>
            </w:pPr>
            <w:r w:rsidRPr="00672690">
              <w:rPr>
                <w:rFonts w:ascii="Arial" w:hAnsi="Arial" w:hint="cs"/>
                <w:b/>
                <w:bCs/>
                <w:sz w:val="26"/>
                <w:szCs w:val="26"/>
                <w:rtl/>
              </w:rPr>
              <w:t>ה</w:t>
            </w:r>
            <w:r w:rsidRPr="00672690">
              <w:rPr>
                <w:rFonts w:ascii="Arial" w:hAnsi="Arial"/>
                <w:b/>
                <w:bCs/>
                <w:sz w:val="26"/>
                <w:szCs w:val="26"/>
                <w:rtl/>
              </w:rPr>
              <w:t>נאשם</w:t>
            </w:r>
            <w:r w:rsidRPr="00672690">
              <w:rPr>
                <w:rFonts w:ascii="Arial" w:hAnsi="Arial" w:hint="cs"/>
                <w:b/>
                <w:bCs/>
                <w:sz w:val="26"/>
                <w:szCs w:val="26"/>
                <w:rtl/>
              </w:rPr>
              <w:t>:</w:t>
            </w:r>
          </w:p>
        </w:tc>
        <w:tc>
          <w:tcPr>
            <w:tcW w:w="4384" w:type="dxa"/>
            <w:tcBorders>
              <w:top w:val="nil"/>
              <w:left w:val="nil"/>
              <w:bottom w:val="nil"/>
              <w:right w:val="nil"/>
            </w:tcBorders>
            <w:shd w:val="clear" w:color="auto" w:fill="auto"/>
          </w:tcPr>
          <w:p w14:paraId="14763AEE" w14:textId="77777777" w:rsidR="00247C9B" w:rsidRPr="00672690" w:rsidRDefault="00247C9B" w:rsidP="00247C9B">
            <w:pPr>
              <w:spacing w:line="360" w:lineRule="auto"/>
              <w:rPr>
                <w:b/>
                <w:bCs/>
                <w:sz w:val="26"/>
                <w:szCs w:val="26"/>
                <w:rtl/>
              </w:rPr>
            </w:pPr>
            <w:r w:rsidRPr="00672690">
              <w:rPr>
                <w:rFonts w:ascii="Arial" w:hAnsi="Arial"/>
                <w:b/>
                <w:bCs/>
                <w:sz w:val="26"/>
                <w:szCs w:val="26"/>
                <w:rtl/>
              </w:rPr>
              <w:t>ניר גרבי</w:t>
            </w:r>
          </w:p>
          <w:p w14:paraId="16BF7C61" w14:textId="77777777" w:rsidR="00247C9B" w:rsidRPr="00672690" w:rsidRDefault="00247C9B" w:rsidP="00247C9B">
            <w:pPr>
              <w:spacing w:line="360" w:lineRule="auto"/>
              <w:rPr>
                <w:sz w:val="26"/>
                <w:szCs w:val="26"/>
                <w:rtl/>
              </w:rPr>
            </w:pPr>
            <w:r w:rsidRPr="00672690">
              <w:rPr>
                <w:rFonts w:hint="cs"/>
                <w:rtl/>
              </w:rPr>
              <w:t>ע"י ב"כ עו"ד רותי סינואני</w:t>
            </w:r>
          </w:p>
        </w:tc>
        <w:tc>
          <w:tcPr>
            <w:tcW w:w="3551" w:type="dxa"/>
            <w:tcBorders>
              <w:top w:val="nil"/>
              <w:left w:val="nil"/>
              <w:bottom w:val="nil"/>
              <w:right w:val="nil"/>
            </w:tcBorders>
            <w:shd w:val="clear" w:color="auto" w:fill="auto"/>
          </w:tcPr>
          <w:p w14:paraId="4B134664" w14:textId="77777777" w:rsidR="00247C9B" w:rsidRPr="00672690" w:rsidRDefault="00247C9B" w:rsidP="00247C9B">
            <w:pPr>
              <w:spacing w:line="360" w:lineRule="auto"/>
              <w:jc w:val="right"/>
              <w:rPr>
                <w:rFonts w:ascii="Arial" w:hAnsi="Arial"/>
                <w:b/>
                <w:bCs/>
                <w:sz w:val="26"/>
                <w:szCs w:val="26"/>
              </w:rPr>
            </w:pPr>
          </w:p>
        </w:tc>
      </w:tr>
      <w:tr w:rsidR="00247C9B" w:rsidRPr="00672690" w14:paraId="269F7045" w14:textId="77777777" w:rsidTr="00247C9B">
        <w:trPr>
          <w:trHeight w:val="80"/>
          <w:jc w:val="center"/>
        </w:trPr>
        <w:tc>
          <w:tcPr>
            <w:tcW w:w="885" w:type="dxa"/>
            <w:tcBorders>
              <w:top w:val="nil"/>
              <w:left w:val="nil"/>
              <w:bottom w:val="nil"/>
              <w:right w:val="nil"/>
            </w:tcBorders>
            <w:shd w:val="clear" w:color="auto" w:fill="auto"/>
          </w:tcPr>
          <w:p w14:paraId="7DA9ECF2" w14:textId="77777777" w:rsidR="00247C9B" w:rsidRPr="00672690" w:rsidRDefault="00247C9B" w:rsidP="00247C9B">
            <w:pPr>
              <w:spacing w:line="360" w:lineRule="auto"/>
              <w:jc w:val="both"/>
              <w:rPr>
                <w:rFonts w:ascii="Arial" w:hAnsi="Arial"/>
                <w:b/>
                <w:bCs/>
                <w:sz w:val="26"/>
                <w:szCs w:val="26"/>
                <w:rtl/>
              </w:rPr>
            </w:pPr>
          </w:p>
        </w:tc>
        <w:tc>
          <w:tcPr>
            <w:tcW w:w="4384" w:type="dxa"/>
            <w:tcBorders>
              <w:top w:val="nil"/>
              <w:left w:val="nil"/>
              <w:bottom w:val="nil"/>
              <w:right w:val="nil"/>
            </w:tcBorders>
            <w:shd w:val="clear" w:color="auto" w:fill="auto"/>
          </w:tcPr>
          <w:p w14:paraId="7AF3E8E3" w14:textId="77777777" w:rsidR="00247C9B" w:rsidRPr="00672690" w:rsidRDefault="00247C9B" w:rsidP="00247C9B">
            <w:pPr>
              <w:spacing w:line="360" w:lineRule="auto"/>
              <w:rPr>
                <w:rFonts w:ascii="Arial" w:hAnsi="Arial"/>
                <w:b/>
                <w:bCs/>
                <w:sz w:val="26"/>
                <w:szCs w:val="26"/>
              </w:rPr>
            </w:pPr>
          </w:p>
        </w:tc>
        <w:tc>
          <w:tcPr>
            <w:tcW w:w="3551" w:type="dxa"/>
            <w:tcBorders>
              <w:top w:val="nil"/>
              <w:left w:val="nil"/>
              <w:bottom w:val="nil"/>
              <w:right w:val="nil"/>
            </w:tcBorders>
            <w:shd w:val="clear" w:color="auto" w:fill="auto"/>
          </w:tcPr>
          <w:p w14:paraId="7A3A38BC" w14:textId="77777777" w:rsidR="00247C9B" w:rsidRPr="00672690" w:rsidRDefault="00247C9B" w:rsidP="00247C9B">
            <w:pPr>
              <w:spacing w:line="360" w:lineRule="auto"/>
              <w:jc w:val="right"/>
              <w:rPr>
                <w:rFonts w:ascii="Arial" w:hAnsi="Arial"/>
                <w:b/>
                <w:bCs/>
                <w:sz w:val="26"/>
                <w:szCs w:val="26"/>
              </w:rPr>
            </w:pPr>
          </w:p>
        </w:tc>
      </w:tr>
    </w:tbl>
    <w:p w14:paraId="4DA2D72A" w14:textId="77777777" w:rsidR="00DA697D" w:rsidRPr="00DA697D" w:rsidRDefault="00DA697D" w:rsidP="00DA697D">
      <w:pPr>
        <w:spacing w:after="120" w:line="240" w:lineRule="exact"/>
        <w:ind w:left="283" w:hanging="283"/>
        <w:jc w:val="both"/>
        <w:rPr>
          <w:rFonts w:ascii="FrankRuehl" w:hAnsi="FrankRuehl" w:cs="FrankRuehl"/>
          <w:rtl/>
        </w:rPr>
      </w:pPr>
      <w:bookmarkStart w:id="3" w:name="LawTable"/>
      <w:bookmarkEnd w:id="3"/>
    </w:p>
    <w:p w14:paraId="7B2546C3" w14:textId="77777777" w:rsidR="00DA697D" w:rsidRPr="00DA697D" w:rsidRDefault="00DA697D" w:rsidP="00DA697D">
      <w:pPr>
        <w:spacing w:after="120" w:line="240" w:lineRule="exact"/>
        <w:ind w:left="283" w:hanging="283"/>
        <w:jc w:val="both"/>
        <w:rPr>
          <w:rFonts w:ascii="FrankRuehl" w:hAnsi="FrankRuehl" w:cs="FrankRuehl"/>
          <w:rtl/>
        </w:rPr>
      </w:pPr>
      <w:r w:rsidRPr="00DA697D">
        <w:rPr>
          <w:rFonts w:ascii="FrankRuehl" w:hAnsi="FrankRuehl" w:cs="FrankRuehl"/>
          <w:rtl/>
        </w:rPr>
        <w:t xml:space="preserve">חקיקה שאוזכרה: </w:t>
      </w:r>
    </w:p>
    <w:p w14:paraId="6018A53E" w14:textId="77777777" w:rsidR="00DA697D" w:rsidRPr="00DA697D" w:rsidRDefault="00DA697D" w:rsidP="00DA697D">
      <w:pPr>
        <w:spacing w:after="120" w:line="240" w:lineRule="exact"/>
        <w:ind w:left="283" w:hanging="283"/>
        <w:jc w:val="both"/>
        <w:rPr>
          <w:rFonts w:ascii="FrankRuehl" w:hAnsi="FrankRuehl" w:cs="FrankRuehl"/>
          <w:rtl/>
        </w:rPr>
      </w:pPr>
      <w:hyperlink r:id="rId7" w:history="1">
        <w:r w:rsidRPr="00DA697D">
          <w:rPr>
            <w:rFonts w:ascii="FrankRuehl" w:hAnsi="FrankRuehl" w:cs="FrankRuehl"/>
            <w:color w:val="0000FF"/>
            <w:u w:val="single"/>
            <w:rtl/>
          </w:rPr>
          <w:t>חוק המאבק בתופעת השימוש בחומרים מסכנים, תשע"ג-2013</w:t>
        </w:r>
      </w:hyperlink>
      <w:r w:rsidRPr="00DA697D">
        <w:rPr>
          <w:rFonts w:ascii="FrankRuehl" w:hAnsi="FrankRuehl" w:cs="FrankRuehl"/>
          <w:rtl/>
        </w:rPr>
        <w:t xml:space="preserve">: סע'  </w:t>
      </w:r>
      <w:hyperlink r:id="rId8" w:history="1">
        <w:r w:rsidRPr="00DA697D">
          <w:rPr>
            <w:rFonts w:ascii="FrankRuehl" w:hAnsi="FrankRuehl" w:cs="FrankRuehl"/>
            <w:color w:val="0000FF"/>
            <w:u w:val="single"/>
            <w:rtl/>
          </w:rPr>
          <w:t>7(א)</w:t>
        </w:r>
      </w:hyperlink>
    </w:p>
    <w:p w14:paraId="2C8825D9" w14:textId="77777777" w:rsidR="00DA697D" w:rsidRPr="00DA697D" w:rsidRDefault="00DA697D" w:rsidP="00DA697D">
      <w:pPr>
        <w:spacing w:after="120" w:line="240" w:lineRule="exact"/>
        <w:ind w:left="283" w:hanging="283"/>
        <w:jc w:val="both"/>
        <w:rPr>
          <w:rFonts w:ascii="FrankRuehl" w:hAnsi="FrankRuehl" w:cs="FrankRuehl"/>
          <w:rtl/>
        </w:rPr>
      </w:pPr>
      <w:hyperlink r:id="rId9" w:history="1">
        <w:r w:rsidRPr="00DA697D">
          <w:rPr>
            <w:rFonts w:ascii="FrankRuehl" w:hAnsi="FrankRuehl" w:cs="FrankRuehl"/>
            <w:color w:val="0000FF"/>
            <w:u w:val="single"/>
            <w:rtl/>
          </w:rPr>
          <w:t>פקודת הסמים המסוכנים [נוסח חדש], תשל"ג-1973</w:t>
        </w:r>
      </w:hyperlink>
    </w:p>
    <w:p w14:paraId="7E20C600" w14:textId="77777777" w:rsidR="00DA697D" w:rsidRPr="00DA697D" w:rsidRDefault="00DA697D" w:rsidP="00DA697D">
      <w:pPr>
        <w:spacing w:after="120" w:line="240" w:lineRule="exact"/>
        <w:ind w:left="283" w:hanging="283"/>
        <w:jc w:val="both"/>
        <w:rPr>
          <w:rFonts w:ascii="FrankRuehl" w:hAnsi="FrankRuehl" w:cs="FrankRuehl"/>
          <w:rtl/>
        </w:rPr>
      </w:pPr>
      <w:hyperlink r:id="rId10" w:history="1">
        <w:r w:rsidRPr="00DA697D">
          <w:rPr>
            <w:rFonts w:ascii="FrankRuehl" w:hAnsi="FrankRuehl" w:cs="FrankRuehl"/>
            <w:color w:val="0000FF"/>
            <w:u w:val="single"/>
            <w:rtl/>
          </w:rPr>
          <w:t>חוק העונשין, תשל"ז-1977</w:t>
        </w:r>
      </w:hyperlink>
      <w:r w:rsidRPr="00DA697D">
        <w:rPr>
          <w:rFonts w:ascii="FrankRuehl" w:hAnsi="FrankRuehl" w:cs="FrankRuehl"/>
          <w:rtl/>
        </w:rPr>
        <w:t xml:space="preserve">: סע'  </w:t>
      </w:r>
      <w:hyperlink r:id="rId11" w:history="1">
        <w:r w:rsidRPr="00DA697D">
          <w:rPr>
            <w:rFonts w:ascii="FrankRuehl" w:hAnsi="FrankRuehl" w:cs="FrankRuehl"/>
            <w:color w:val="0000FF"/>
            <w:u w:val="single"/>
            <w:rtl/>
          </w:rPr>
          <w:t>40ג</w:t>
        </w:r>
      </w:hyperlink>
      <w:r w:rsidRPr="00DA697D">
        <w:rPr>
          <w:rFonts w:ascii="FrankRuehl" w:hAnsi="FrankRuehl" w:cs="FrankRuehl"/>
          <w:rtl/>
        </w:rPr>
        <w:t xml:space="preserve">, </w:t>
      </w:r>
      <w:hyperlink r:id="rId12" w:history="1">
        <w:r w:rsidRPr="00DA697D">
          <w:rPr>
            <w:rFonts w:ascii="FrankRuehl" w:hAnsi="FrankRuehl" w:cs="FrankRuehl"/>
            <w:color w:val="0000FF"/>
            <w:u w:val="single"/>
            <w:rtl/>
          </w:rPr>
          <w:t>40ט</w:t>
        </w:r>
      </w:hyperlink>
      <w:r w:rsidRPr="00DA697D">
        <w:rPr>
          <w:rFonts w:ascii="FrankRuehl" w:hAnsi="FrankRuehl" w:cs="FrankRuehl"/>
          <w:rtl/>
        </w:rPr>
        <w:t xml:space="preserve">, </w:t>
      </w:r>
      <w:hyperlink r:id="rId13" w:history="1">
        <w:r w:rsidRPr="00DA697D">
          <w:rPr>
            <w:rFonts w:ascii="FrankRuehl" w:hAnsi="FrankRuehl" w:cs="FrankRuehl"/>
            <w:color w:val="0000FF"/>
            <w:u w:val="single"/>
            <w:rtl/>
          </w:rPr>
          <w:t>40יא</w:t>
        </w:r>
      </w:hyperlink>
      <w:r w:rsidRPr="00DA697D">
        <w:rPr>
          <w:rFonts w:ascii="FrankRuehl" w:hAnsi="FrankRuehl" w:cs="FrankRuehl"/>
          <w:rtl/>
        </w:rPr>
        <w:t xml:space="preserve">, </w:t>
      </w:r>
      <w:hyperlink r:id="rId14" w:history="1">
        <w:r w:rsidRPr="00DA697D">
          <w:rPr>
            <w:rFonts w:ascii="FrankRuehl" w:hAnsi="FrankRuehl" w:cs="FrankRuehl"/>
            <w:color w:val="0000FF"/>
            <w:u w:val="single"/>
            <w:rtl/>
          </w:rPr>
          <w:t>40יא(6)</w:t>
        </w:r>
      </w:hyperlink>
    </w:p>
    <w:p w14:paraId="4A58FBD7" w14:textId="77777777" w:rsidR="00DA697D" w:rsidRPr="00DA697D" w:rsidRDefault="00DA697D" w:rsidP="00DA697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7C9B" w:rsidRPr="007941C4" w14:paraId="4F65F169" w14:textId="77777777" w:rsidTr="00247C9B">
        <w:trPr>
          <w:trHeight w:val="355"/>
          <w:jc w:val="center"/>
        </w:trPr>
        <w:tc>
          <w:tcPr>
            <w:tcW w:w="8820" w:type="dxa"/>
            <w:tcBorders>
              <w:top w:val="nil"/>
              <w:left w:val="nil"/>
              <w:bottom w:val="nil"/>
              <w:right w:val="nil"/>
            </w:tcBorders>
            <w:shd w:val="clear" w:color="auto" w:fill="auto"/>
          </w:tcPr>
          <w:p w14:paraId="52C23B19" w14:textId="77777777" w:rsidR="00672690" w:rsidRPr="00672690" w:rsidRDefault="00672690" w:rsidP="00672690">
            <w:pPr>
              <w:spacing w:line="360" w:lineRule="auto"/>
              <w:jc w:val="center"/>
              <w:rPr>
                <w:rFonts w:ascii="Arial" w:hAnsi="Arial"/>
                <w:b/>
                <w:bCs/>
                <w:sz w:val="36"/>
                <w:szCs w:val="36"/>
                <w:u w:val="single"/>
                <w:rtl/>
              </w:rPr>
            </w:pPr>
            <w:bookmarkStart w:id="4" w:name="LawTable_End"/>
            <w:bookmarkStart w:id="5" w:name="PsakDin" w:colFirst="0" w:colLast="0"/>
            <w:bookmarkEnd w:id="0"/>
            <w:bookmarkEnd w:id="4"/>
            <w:r w:rsidRPr="00672690">
              <w:rPr>
                <w:rFonts w:ascii="Arial" w:hAnsi="Arial"/>
                <w:b/>
                <w:bCs/>
                <w:sz w:val="36"/>
                <w:szCs w:val="36"/>
                <w:u w:val="single"/>
                <w:rtl/>
              </w:rPr>
              <w:t>גזר דין</w:t>
            </w:r>
          </w:p>
          <w:p w14:paraId="00621FAD" w14:textId="77777777" w:rsidR="00247C9B" w:rsidRPr="00672690" w:rsidRDefault="00247C9B" w:rsidP="00672690">
            <w:pPr>
              <w:spacing w:line="360" w:lineRule="auto"/>
              <w:jc w:val="center"/>
              <w:rPr>
                <w:rFonts w:ascii="Arial" w:hAnsi="Arial"/>
                <w:b/>
                <w:bCs/>
                <w:sz w:val="36"/>
                <w:szCs w:val="36"/>
                <w:u w:val="single"/>
                <w:rtl/>
              </w:rPr>
            </w:pPr>
          </w:p>
        </w:tc>
      </w:tr>
      <w:bookmarkEnd w:id="5"/>
    </w:tbl>
    <w:p w14:paraId="14EB2084" w14:textId="77777777" w:rsidR="00247C9B" w:rsidRPr="00B05847" w:rsidRDefault="00247C9B" w:rsidP="00247C9B">
      <w:pPr>
        <w:rPr>
          <w:rFonts w:ascii="Arial" w:hAnsi="Arial"/>
          <w:rtl/>
        </w:rPr>
      </w:pPr>
    </w:p>
    <w:p w14:paraId="1B4B21E0" w14:textId="77777777" w:rsidR="00247C9B" w:rsidRDefault="00247C9B" w:rsidP="00247C9B">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2C5F5183" w14:textId="77777777" w:rsidR="00247C9B" w:rsidRDefault="00247C9B" w:rsidP="00247C9B">
      <w:pPr>
        <w:numPr>
          <w:ilvl w:val="0"/>
          <w:numId w:val="1"/>
        </w:numPr>
        <w:tabs>
          <w:tab w:val="num" w:pos="720"/>
        </w:tabs>
        <w:spacing w:after="120" w:line="360" w:lineRule="auto"/>
        <w:ind w:left="720"/>
        <w:jc w:val="both"/>
        <w:rPr>
          <w:rtl/>
        </w:rPr>
      </w:pPr>
      <w:bookmarkStart w:id="6" w:name="ABSTRACT_START"/>
      <w:bookmarkEnd w:id="6"/>
      <w:r>
        <w:rPr>
          <w:rFonts w:hint="cs"/>
          <w:rtl/>
        </w:rPr>
        <w:t xml:space="preserve">הנאשם הורשע לפניי, לאחר שמיעת ראיות, </w:t>
      </w:r>
      <w:r>
        <w:rPr>
          <w:rFonts w:ascii="Tahoma" w:hAnsi="Tahoma" w:hint="cs"/>
          <w:rtl/>
        </w:rPr>
        <w:t xml:space="preserve">בעבירה של סחר בחומר אסור להפצה בניגוד להוראות </w:t>
      </w:r>
      <w:hyperlink r:id="rId15" w:history="1">
        <w:r w:rsidR="00DA697D" w:rsidRPr="00DA697D">
          <w:rPr>
            <w:rFonts w:ascii="Tahoma" w:hAnsi="Tahoma"/>
            <w:color w:val="0000FF"/>
            <w:u w:val="single"/>
            <w:rtl/>
          </w:rPr>
          <w:t>סעיף 7(א)</w:t>
        </w:r>
      </w:hyperlink>
      <w:r>
        <w:rPr>
          <w:rFonts w:ascii="Tahoma" w:hAnsi="Tahoma" w:hint="cs"/>
          <w:rtl/>
        </w:rPr>
        <w:t xml:space="preserve"> ל</w:t>
      </w:r>
      <w:hyperlink r:id="rId16" w:history="1">
        <w:r w:rsidR="00672690" w:rsidRPr="00672690">
          <w:rPr>
            <w:rStyle w:val="Hyperlink"/>
            <w:rFonts w:ascii="Tahoma" w:hAnsi="Tahoma" w:hint="eastAsia"/>
            <w:rtl/>
          </w:rPr>
          <w:t>חוק</w:t>
        </w:r>
        <w:r w:rsidR="00672690" w:rsidRPr="00672690">
          <w:rPr>
            <w:rStyle w:val="Hyperlink"/>
            <w:rFonts w:ascii="Tahoma" w:hAnsi="Tahoma"/>
            <w:rtl/>
          </w:rPr>
          <w:t xml:space="preserve"> המאבק בתופעת השימוש בחומרים מסכנים</w:t>
        </w:r>
      </w:hyperlink>
      <w:r>
        <w:rPr>
          <w:rFonts w:ascii="Tahoma" w:hAnsi="Tahoma" w:hint="cs"/>
          <w:rtl/>
        </w:rPr>
        <w:t>, תשע"ג-2013 (להלן – החוק).</w:t>
      </w:r>
    </w:p>
    <w:p w14:paraId="5FC6DED6" w14:textId="77777777" w:rsidR="00247C9B" w:rsidRDefault="00247C9B" w:rsidP="00247C9B">
      <w:pPr>
        <w:numPr>
          <w:ilvl w:val="0"/>
          <w:numId w:val="1"/>
        </w:numPr>
        <w:tabs>
          <w:tab w:val="num" w:pos="720"/>
        </w:tabs>
        <w:spacing w:after="120" w:line="360" w:lineRule="auto"/>
        <w:ind w:left="720"/>
        <w:jc w:val="both"/>
        <w:rPr>
          <w:rFonts w:ascii="Tahoma" w:hAnsi="Tahoma"/>
        </w:rPr>
      </w:pPr>
      <w:bookmarkStart w:id="7" w:name="ABSTRACT_END"/>
      <w:bookmarkEnd w:id="7"/>
      <w:r w:rsidRPr="008D5D6E">
        <w:rPr>
          <w:rFonts w:ascii="Tahoma" w:hAnsi="Tahoma" w:hint="cs"/>
          <w:rtl/>
        </w:rPr>
        <w:t>כפי שנקבע בהכר</w:t>
      </w:r>
      <w:r w:rsidRPr="00464AFF">
        <w:rPr>
          <w:rFonts w:ascii="Tahoma" w:hAnsi="Tahoma" w:hint="cs"/>
          <w:rtl/>
        </w:rPr>
        <w:t>עת הדין, ביום 10.2.14 בסמוך לשעה 16:00, מכר הנאשם לשוטר שתי שקיות של חומר הקרוי "</w:t>
      </w:r>
      <w:r w:rsidRPr="00247C9B">
        <w:rPr>
          <w:rFonts w:cs="Times New Roman"/>
        </w:rPr>
        <w:t>FUB-PB-22</w:t>
      </w:r>
      <w:r w:rsidRPr="00464AFF">
        <w:rPr>
          <w:rFonts w:ascii="Tahoma" w:hAnsi="Tahoma" w:hint="cs"/>
          <w:rtl/>
        </w:rPr>
        <w:t>" (להלן לשם קיצור – פאב 22), שהינו "נגזרת מבנית" של "חומר מסכן" הקרוי "אינדול 3 חומצה קרבוקסילית קווינוליניל אסטר" (להלן לשם קיצור – אינדול 3), תמורת 100 ₪.</w:t>
      </w:r>
    </w:p>
    <w:p w14:paraId="6B5FA62F" w14:textId="77777777" w:rsidR="00247C9B" w:rsidRDefault="00247C9B" w:rsidP="00247C9B">
      <w:pPr>
        <w:spacing w:after="120" w:line="360" w:lineRule="auto"/>
        <w:ind w:left="720"/>
        <w:jc w:val="both"/>
        <w:rPr>
          <w:rFonts w:ascii="Tahoma" w:hAnsi="Tahoma"/>
        </w:rPr>
      </w:pPr>
      <w:r w:rsidRPr="00464AFF">
        <w:rPr>
          <w:rFonts w:ascii="Tahoma" w:hAnsi="Tahoma" w:hint="cs"/>
          <w:rtl/>
        </w:rPr>
        <w:lastRenderedPageBreak/>
        <w:t>המכירה נעשתה במקום הידוע בכינוי "מתחם מהרן אבו-סייף" (להלן – המתחם)</w:t>
      </w:r>
      <w:r w:rsidRPr="008D5D6E">
        <w:rPr>
          <w:rFonts w:ascii="Tahoma" w:hAnsi="Tahoma" w:hint="cs"/>
          <w:rtl/>
        </w:rPr>
        <w:t>, בשדרות ירושלים ביפו</w:t>
      </w:r>
      <w:r>
        <w:rPr>
          <w:rFonts w:hint="cs"/>
          <w:rtl/>
        </w:rPr>
        <w:t xml:space="preserve">, </w:t>
      </w:r>
      <w:r w:rsidRPr="008D5D6E">
        <w:rPr>
          <w:rFonts w:ascii="Tahoma" w:hAnsi="Tahoma" w:hint="cs"/>
          <w:rtl/>
        </w:rPr>
        <w:t xml:space="preserve">בשיטה המכונה בעגה "כספומט", דהיינו: בשיטה בה הרוכש מכניס כסף מבעד </w:t>
      </w:r>
      <w:r>
        <w:rPr>
          <w:rFonts w:ascii="Tahoma" w:hAnsi="Tahoma" w:hint="cs"/>
          <w:rtl/>
        </w:rPr>
        <w:t>ל</w:t>
      </w:r>
      <w:r w:rsidRPr="008D5D6E">
        <w:rPr>
          <w:rFonts w:ascii="Tahoma" w:hAnsi="Tahoma" w:hint="cs"/>
          <w:rtl/>
        </w:rPr>
        <w:t>פתח צר ומקבל לאחר מכן את החומר הנרכש; והכל מבלי שהרוכש רואה או שומע את המוכר.</w:t>
      </w:r>
    </w:p>
    <w:p w14:paraId="4F774F3C"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ascii="Tahoma" w:hAnsi="Tahoma" w:hint="cs"/>
          <w:rtl/>
        </w:rPr>
        <w:t>בתשובתו</w:t>
      </w:r>
      <w:r w:rsidRPr="00464AFF">
        <w:rPr>
          <w:rFonts w:ascii="Tahoma" w:hAnsi="Tahoma" w:hint="cs"/>
          <w:rtl/>
        </w:rPr>
        <w:t xml:space="preserve"> לאישום כפר הנאשם</w:t>
      </w:r>
      <w:r>
        <w:rPr>
          <w:rFonts w:ascii="Tahoma" w:hAnsi="Tahoma" w:hint="cs"/>
          <w:rtl/>
        </w:rPr>
        <w:t>, באמצעות בא-כוחו דאז,</w:t>
      </w:r>
      <w:r w:rsidRPr="00464AFF">
        <w:rPr>
          <w:rFonts w:ascii="Tahoma" w:hAnsi="Tahoma" w:hint="cs"/>
          <w:rtl/>
        </w:rPr>
        <w:t xml:space="preserve"> בעובדות כתב האישום ועל רקע זה נשמעו הראיות לפניי. יש לציין, כי כפירתו של הנאשם היתה הן במישור העובדתי (</w:t>
      </w:r>
      <w:r>
        <w:rPr>
          <w:rFonts w:ascii="Tahoma" w:hAnsi="Tahoma" w:hint="cs"/>
          <w:rtl/>
        </w:rPr>
        <w:t xml:space="preserve">דהיינו: </w:t>
      </w:r>
      <w:r w:rsidRPr="00464AFF">
        <w:rPr>
          <w:rFonts w:ascii="Tahoma" w:hAnsi="Tahoma" w:hint="cs"/>
          <w:rtl/>
        </w:rPr>
        <w:t>הנאשם כפר בכך שהוא ביצע את המכירה</w:t>
      </w:r>
      <w:r>
        <w:rPr>
          <w:rFonts w:ascii="Tahoma" w:hAnsi="Tahoma" w:hint="cs"/>
          <w:rtl/>
        </w:rPr>
        <w:t>)</w:t>
      </w:r>
      <w:r w:rsidRPr="00464AFF">
        <w:rPr>
          <w:rFonts w:ascii="Tahoma" w:hAnsi="Tahoma" w:hint="cs"/>
          <w:rtl/>
        </w:rPr>
        <w:t xml:space="preserve"> והן במישור המקצועי-מדעי (</w:t>
      </w:r>
      <w:r>
        <w:rPr>
          <w:rFonts w:ascii="Tahoma" w:hAnsi="Tahoma" w:hint="cs"/>
          <w:rtl/>
        </w:rPr>
        <w:t xml:space="preserve">דהיינו: </w:t>
      </w:r>
      <w:r w:rsidRPr="00464AFF">
        <w:rPr>
          <w:rFonts w:ascii="Tahoma" w:hAnsi="Tahoma" w:hint="cs"/>
          <w:rtl/>
        </w:rPr>
        <w:t xml:space="preserve">הנאשם כפר בכך שפאב 22 מהווה "נגזרת מבנית" </w:t>
      </w:r>
      <w:r>
        <w:rPr>
          <w:rFonts w:ascii="Tahoma" w:hAnsi="Tahoma" w:hint="cs"/>
          <w:rtl/>
        </w:rPr>
        <w:t>של אינדול 3).</w:t>
      </w:r>
    </w:p>
    <w:p w14:paraId="2F279BDF" w14:textId="77777777" w:rsidR="00247C9B" w:rsidRPr="00AF03A1" w:rsidRDefault="00247C9B" w:rsidP="00247C9B">
      <w:pPr>
        <w:spacing w:after="120" w:line="360" w:lineRule="auto"/>
        <w:ind w:left="720"/>
        <w:jc w:val="both"/>
        <w:rPr>
          <w:rFonts w:ascii="Tahoma" w:hAnsi="Tahoma"/>
        </w:rPr>
      </w:pPr>
      <w:r>
        <w:rPr>
          <w:rFonts w:ascii="Tahoma" w:hAnsi="Tahoma" w:hint="cs"/>
          <w:rtl/>
        </w:rPr>
        <w:t xml:space="preserve">במישור המקצועי העידו בפני בית המשפט שני מומחים, מטעם שני הצדדים, ונשמעו טיעונים מקיפים; ובהכרעת הדין התקבלה עמדת המאשימה. עוד יש לציין, בהקשר זה, כי מאז האירוע מושא כתב האישום תוקנו הוראות </w:t>
      </w:r>
      <w:hyperlink r:id="rId17" w:history="1">
        <w:r w:rsidR="00672690" w:rsidRPr="00672690">
          <w:rPr>
            <w:rStyle w:val="Hyperlink"/>
            <w:rFonts w:ascii="Tahoma" w:hAnsi="Tahoma" w:hint="eastAsia"/>
            <w:rtl/>
          </w:rPr>
          <w:t>פקודת</w:t>
        </w:r>
        <w:r w:rsidR="00672690" w:rsidRPr="00672690">
          <w:rPr>
            <w:rStyle w:val="Hyperlink"/>
            <w:rFonts w:ascii="Tahoma" w:hAnsi="Tahoma"/>
            <w:rtl/>
          </w:rPr>
          <w:t xml:space="preserve"> הסמים המסוכנים</w:t>
        </w:r>
      </w:hyperlink>
      <w:r w:rsidRPr="00AF03A1">
        <w:rPr>
          <w:rFonts w:ascii="Tahoma" w:hAnsi="Tahoma" w:hint="cs"/>
          <w:rtl/>
        </w:rPr>
        <w:t xml:space="preserve"> [נוסח חדש], תשל"ג-197</w:t>
      </w:r>
      <w:r>
        <w:rPr>
          <w:rFonts w:ascii="Tahoma" w:hAnsi="Tahoma" w:hint="cs"/>
          <w:rtl/>
        </w:rPr>
        <w:t>3 (להלן – פקודת הסמים המסוכנים), באופן שכיום מוגדר החומר "פאב 22" כסם מסוכן לפי הוראות הפקודה.</w:t>
      </w:r>
    </w:p>
    <w:p w14:paraId="1D938325" w14:textId="77777777" w:rsidR="00247C9B" w:rsidRPr="0070367C" w:rsidRDefault="00247C9B" w:rsidP="00247C9B">
      <w:pPr>
        <w:spacing w:after="120" w:line="360" w:lineRule="auto"/>
        <w:jc w:val="both"/>
        <w:rPr>
          <w:rtl/>
        </w:rPr>
      </w:pPr>
    </w:p>
    <w:p w14:paraId="3F1AE0B5" w14:textId="77777777" w:rsidR="00247C9B" w:rsidRPr="00DE411D" w:rsidRDefault="00247C9B" w:rsidP="00247C9B">
      <w:pPr>
        <w:snapToGrid w:val="0"/>
        <w:spacing w:after="120" w:line="360" w:lineRule="auto"/>
        <w:jc w:val="both"/>
        <w:rPr>
          <w:b/>
          <w:bCs/>
          <w:u w:val="single"/>
        </w:rPr>
      </w:pPr>
      <w:r w:rsidRPr="00627467">
        <w:rPr>
          <w:rFonts w:hint="cs"/>
          <w:b/>
          <w:bCs/>
          <w:rtl/>
        </w:rPr>
        <w:t>ב.</w:t>
      </w:r>
      <w:r w:rsidRPr="00627467">
        <w:rPr>
          <w:rFonts w:hint="cs"/>
          <w:b/>
          <w:bCs/>
          <w:rtl/>
        </w:rPr>
        <w:tab/>
      </w:r>
      <w:r>
        <w:rPr>
          <w:rFonts w:hint="cs"/>
          <w:b/>
          <w:bCs/>
          <w:u w:val="single"/>
          <w:rtl/>
        </w:rPr>
        <w:t>הראיות לקביעת העונש ותמצית</w:t>
      </w:r>
      <w:r w:rsidRPr="00DE411D">
        <w:rPr>
          <w:rFonts w:hint="cs"/>
          <w:b/>
          <w:bCs/>
          <w:u w:val="single"/>
          <w:rtl/>
        </w:rPr>
        <w:t xml:space="preserve"> טיעוני הצדדים:</w:t>
      </w:r>
    </w:p>
    <w:p w14:paraId="052B576D" w14:textId="77777777" w:rsidR="00247C9B" w:rsidRDefault="00247C9B" w:rsidP="00247C9B">
      <w:pPr>
        <w:numPr>
          <w:ilvl w:val="0"/>
          <w:numId w:val="1"/>
        </w:numPr>
        <w:tabs>
          <w:tab w:val="num" w:pos="720"/>
        </w:tabs>
        <w:spacing w:after="120" w:line="360" w:lineRule="auto"/>
        <w:ind w:left="720"/>
        <w:jc w:val="both"/>
        <w:rPr>
          <w:rFonts w:ascii="Tahoma" w:hAnsi="Tahoma"/>
        </w:rPr>
      </w:pPr>
      <w:r w:rsidRPr="00627467">
        <w:rPr>
          <w:rFonts w:ascii="Tahoma" w:hAnsi="Tahoma" w:hint="cs"/>
          <w:rtl/>
        </w:rPr>
        <w:t>כראיות לעונש הגיש ב"כ המאשימה את גיליון הרשעותיו הקודמות של הנאשם (הוגש וסומן ע/1)</w:t>
      </w:r>
      <w:r>
        <w:rPr>
          <w:rFonts w:ascii="Tahoma" w:hAnsi="Tahoma" w:hint="cs"/>
          <w:rtl/>
        </w:rPr>
        <w:t>. כעולה מגיליון זה, לנאשם, יליד שנת 1990, הרשעה קודמת אחת, בגין עבירה של שימוש ברכב ללא רשות (ההרשעה משנת 2013 ומתייחסת לעבירה משנת 2009).</w:t>
      </w:r>
    </w:p>
    <w:p w14:paraId="6AC591A4" w14:textId="77777777" w:rsidR="00247C9B" w:rsidRPr="002F4CA7" w:rsidRDefault="00247C9B" w:rsidP="00247C9B">
      <w:pPr>
        <w:numPr>
          <w:ilvl w:val="0"/>
          <w:numId w:val="1"/>
        </w:numPr>
        <w:tabs>
          <w:tab w:val="num" w:pos="720"/>
        </w:tabs>
        <w:spacing w:after="120" w:line="360" w:lineRule="auto"/>
        <w:ind w:left="720"/>
        <w:jc w:val="both"/>
        <w:rPr>
          <w:rFonts w:ascii="Tahoma" w:hAnsi="Tahoma"/>
        </w:rPr>
      </w:pPr>
      <w:r w:rsidRPr="002F4CA7">
        <w:rPr>
          <w:rFonts w:ascii="Tahoma" w:hAnsi="Tahoma" w:hint="cs"/>
          <w:rtl/>
        </w:rPr>
        <w:t xml:space="preserve">ב"כ המאשימה פירט בטיעוניו את הערכים החברתיים, הנפגעים כתוצאה מביצוע עבירה של סחר בחומרים מסכנים, ובהם ההגנה על בריאות הציבור וההגנה על סדרי השלטון והמשפט. ב"כ המאשימה הדגיש במיוחד את הסכנות הבריאותיות הטמונות </w:t>
      </w:r>
      <w:r>
        <w:rPr>
          <w:rFonts w:ascii="Tahoma" w:hAnsi="Tahoma" w:hint="cs"/>
          <w:rtl/>
        </w:rPr>
        <w:t xml:space="preserve">בשימוש </w:t>
      </w:r>
      <w:r w:rsidRPr="002F4CA7">
        <w:rPr>
          <w:rFonts w:ascii="Tahoma" w:hAnsi="Tahoma" w:hint="cs"/>
          <w:rtl/>
        </w:rPr>
        <w:t xml:space="preserve">בחומרים מסכנים, לרבות כאלה המכונים "סמי פיצוציות", כאשר החומר בו עסקינן כאן </w:t>
      </w:r>
      <w:r w:rsidRPr="002F4CA7">
        <w:rPr>
          <w:rFonts w:ascii="Tahoma" w:hAnsi="Tahoma"/>
          <w:rtl/>
        </w:rPr>
        <w:t>–</w:t>
      </w:r>
      <w:r w:rsidRPr="002F4CA7">
        <w:rPr>
          <w:rFonts w:ascii="Tahoma" w:hAnsi="Tahoma" w:hint="cs"/>
          <w:rtl/>
        </w:rPr>
        <w:t xml:space="preserve"> פאב 22 </w:t>
      </w:r>
      <w:r w:rsidRPr="002F4CA7">
        <w:rPr>
          <w:rFonts w:ascii="Tahoma" w:hAnsi="Tahoma"/>
          <w:rtl/>
        </w:rPr>
        <w:t>–</w:t>
      </w:r>
      <w:r w:rsidRPr="002F4CA7">
        <w:rPr>
          <w:rFonts w:ascii="Tahoma" w:hAnsi="Tahoma" w:hint="cs"/>
          <w:rtl/>
        </w:rPr>
        <w:t xml:space="preserve"> אף הוגדר </w:t>
      </w:r>
      <w:r>
        <w:rPr>
          <w:rFonts w:ascii="Tahoma" w:hAnsi="Tahoma" w:hint="cs"/>
          <w:rtl/>
        </w:rPr>
        <w:t xml:space="preserve">(לאחר האירוע) </w:t>
      </w:r>
      <w:r w:rsidRPr="002F4CA7">
        <w:rPr>
          <w:rFonts w:ascii="Tahoma" w:hAnsi="Tahoma" w:hint="cs"/>
          <w:rtl/>
        </w:rPr>
        <w:t xml:space="preserve">כסם מסוכן על פי </w:t>
      </w:r>
      <w:hyperlink r:id="rId18" w:history="1">
        <w:r w:rsidR="00672690" w:rsidRPr="00672690">
          <w:rPr>
            <w:rStyle w:val="Hyperlink"/>
            <w:rFonts w:ascii="Tahoma" w:hAnsi="Tahoma" w:hint="eastAsia"/>
            <w:rtl/>
          </w:rPr>
          <w:t>פקודת</w:t>
        </w:r>
        <w:r w:rsidR="00672690" w:rsidRPr="00672690">
          <w:rPr>
            <w:rStyle w:val="Hyperlink"/>
            <w:rFonts w:ascii="Tahoma" w:hAnsi="Tahoma"/>
            <w:rtl/>
          </w:rPr>
          <w:t xml:space="preserve"> הסמים המסוכנים</w:t>
        </w:r>
      </w:hyperlink>
      <w:r w:rsidRPr="002F4CA7">
        <w:rPr>
          <w:rFonts w:ascii="Tahoma" w:hAnsi="Tahoma" w:hint="cs"/>
          <w:rtl/>
        </w:rPr>
        <w:t>. ב"כ המאשימה</w:t>
      </w:r>
      <w:r>
        <w:rPr>
          <w:rFonts w:ascii="Tahoma" w:hAnsi="Tahoma" w:hint="cs"/>
          <w:rtl/>
        </w:rPr>
        <w:t xml:space="preserve"> הוסיף וטען כי </w:t>
      </w:r>
      <w:r w:rsidRPr="002F4CA7">
        <w:rPr>
          <w:rFonts w:ascii="Tahoma" w:hAnsi="Tahoma" w:hint="cs"/>
          <w:rtl/>
        </w:rPr>
        <w:t xml:space="preserve">מידת הפגיעה בערכים </w:t>
      </w:r>
      <w:r>
        <w:rPr>
          <w:rFonts w:ascii="Tahoma" w:hAnsi="Tahoma" w:hint="cs"/>
          <w:rtl/>
        </w:rPr>
        <w:t>ה</w:t>
      </w:r>
      <w:r w:rsidRPr="002F4CA7">
        <w:rPr>
          <w:rFonts w:ascii="Tahoma" w:hAnsi="Tahoma" w:hint="cs"/>
          <w:rtl/>
        </w:rPr>
        <w:t>מוגנים הינה, במק</w:t>
      </w:r>
      <w:r>
        <w:rPr>
          <w:rFonts w:ascii="Tahoma" w:hAnsi="Tahoma" w:hint="cs"/>
          <w:rtl/>
        </w:rPr>
        <w:t>רה דנא</w:t>
      </w:r>
      <w:r w:rsidRPr="002F4CA7">
        <w:rPr>
          <w:rFonts w:ascii="Tahoma" w:hAnsi="Tahoma" w:hint="cs"/>
          <w:rtl/>
        </w:rPr>
        <w:t>, משמעותית, שכן הנאשם סחר בחומרים מסוכנים בעבור בצע כסף</w:t>
      </w:r>
      <w:r>
        <w:rPr>
          <w:rFonts w:ascii="Tahoma" w:hAnsi="Tahoma" w:hint="cs"/>
          <w:rtl/>
        </w:rPr>
        <w:t xml:space="preserve"> גרידא</w:t>
      </w:r>
      <w:r w:rsidRPr="002F4CA7">
        <w:rPr>
          <w:rFonts w:ascii="Tahoma" w:hAnsi="Tahoma" w:hint="cs"/>
          <w:rtl/>
        </w:rPr>
        <w:t>.</w:t>
      </w:r>
    </w:p>
    <w:p w14:paraId="38711E64" w14:textId="77777777" w:rsidR="00247C9B" w:rsidRPr="002F4CA7" w:rsidRDefault="00247C9B" w:rsidP="00247C9B">
      <w:pPr>
        <w:numPr>
          <w:ilvl w:val="0"/>
          <w:numId w:val="1"/>
        </w:numPr>
        <w:tabs>
          <w:tab w:val="num" w:pos="720"/>
        </w:tabs>
        <w:spacing w:after="120" w:line="360" w:lineRule="auto"/>
        <w:ind w:left="720"/>
        <w:jc w:val="both"/>
        <w:rPr>
          <w:rFonts w:ascii="Tahoma" w:hAnsi="Tahoma"/>
        </w:rPr>
      </w:pPr>
      <w:r>
        <w:rPr>
          <w:rFonts w:ascii="Tahoma" w:hAnsi="Tahoma" w:hint="cs"/>
          <w:rtl/>
        </w:rPr>
        <w:t xml:space="preserve">על רקע זה עתר </w:t>
      </w:r>
      <w:r w:rsidRPr="002F4CA7">
        <w:rPr>
          <w:rFonts w:ascii="Tahoma" w:hAnsi="Tahoma" w:hint="cs"/>
          <w:rtl/>
        </w:rPr>
        <w:t xml:space="preserve">ב"כ המאשימה לקביעת מתחם עונש הולם מחמיר, בין 6 </w:t>
      </w:r>
      <w:r>
        <w:rPr>
          <w:rFonts w:hint="cs"/>
          <w:rtl/>
        </w:rPr>
        <w:t xml:space="preserve">חודשי מאסר בפועל לבין 12 חודשי מאסר בפועל. בהקשר זה הפנה ב"כ המאשימה למספר גזרי דין, וביניהם </w:t>
      </w:r>
      <w:hyperlink r:id="rId19" w:history="1">
        <w:r w:rsidR="00672690" w:rsidRPr="00672690">
          <w:rPr>
            <w:rStyle w:val="Hyperlink"/>
            <w:rFonts w:hint="eastAsia"/>
            <w:rtl/>
          </w:rPr>
          <w:t>ת</w:t>
        </w:r>
        <w:r w:rsidR="00672690" w:rsidRPr="00672690">
          <w:rPr>
            <w:rStyle w:val="Hyperlink"/>
            <w:rtl/>
          </w:rPr>
          <w:t>.פ. (שלום ת"א) 50640-02-14</w:t>
        </w:r>
      </w:hyperlink>
      <w:r>
        <w:rPr>
          <w:rFonts w:hint="cs"/>
          <w:rtl/>
        </w:rPr>
        <w:t xml:space="preserve"> </w:t>
      </w:r>
      <w:r w:rsidRPr="00B96805">
        <w:rPr>
          <w:rFonts w:hint="cs"/>
          <w:b/>
          <w:bCs/>
          <w:rtl/>
        </w:rPr>
        <w:t>מדינת ישראל נ' כהן</w:t>
      </w:r>
      <w:r>
        <w:rPr>
          <w:rFonts w:hint="cs"/>
          <w:rtl/>
        </w:rPr>
        <w:t xml:space="preserve"> (17.1.16) (להלן </w:t>
      </w:r>
      <w:r>
        <w:rPr>
          <w:rtl/>
        </w:rPr>
        <w:t>–</w:t>
      </w:r>
      <w:r>
        <w:rPr>
          <w:rFonts w:hint="cs"/>
          <w:rtl/>
        </w:rPr>
        <w:t xml:space="preserve"> עניין </w:t>
      </w:r>
      <w:r w:rsidRPr="00B96805">
        <w:rPr>
          <w:rFonts w:hint="cs"/>
          <w:b/>
          <w:bCs/>
          <w:rtl/>
        </w:rPr>
        <w:t>כהן</w:t>
      </w:r>
      <w:r>
        <w:rPr>
          <w:rFonts w:hint="cs"/>
          <w:rtl/>
        </w:rPr>
        <w:t xml:space="preserve">), בו נקבע בגין העבירה דנא מתחם עונש הולם שבין מספר חודשי מאסר בפועל לבין 12 חודשי מאסר בפועל, וכן </w:t>
      </w:r>
      <w:hyperlink r:id="rId20" w:history="1">
        <w:r w:rsidR="00672690" w:rsidRPr="00672690">
          <w:rPr>
            <w:rStyle w:val="Hyperlink"/>
            <w:rFonts w:hint="eastAsia"/>
            <w:rtl/>
          </w:rPr>
          <w:t>עפ</w:t>
        </w:r>
        <w:r w:rsidR="00672690" w:rsidRPr="00672690">
          <w:rPr>
            <w:rStyle w:val="Hyperlink"/>
            <w:rtl/>
          </w:rPr>
          <w:t>"ג (מחוזי מרכז) 47767-06-17</w:t>
        </w:r>
      </w:hyperlink>
      <w:r>
        <w:rPr>
          <w:rFonts w:hint="cs"/>
          <w:rtl/>
        </w:rPr>
        <w:t xml:space="preserve"> </w:t>
      </w:r>
      <w:r w:rsidRPr="00B96805">
        <w:rPr>
          <w:rFonts w:hint="cs"/>
          <w:b/>
          <w:bCs/>
          <w:rtl/>
        </w:rPr>
        <w:t>מור נ' מדינת ישראל</w:t>
      </w:r>
      <w:r>
        <w:rPr>
          <w:rFonts w:hint="cs"/>
          <w:rtl/>
        </w:rPr>
        <w:t xml:space="preserve"> (6.7.14), בו נדחה ערעור על גזר דין שקבע מתחם עונש הולם </w:t>
      </w:r>
      <w:r w:rsidRPr="002F4CA7">
        <w:rPr>
          <w:rFonts w:ascii="Tahoma" w:hAnsi="Tahoma" w:hint="cs"/>
          <w:rtl/>
        </w:rPr>
        <w:t xml:space="preserve">בין 6 </w:t>
      </w:r>
      <w:r>
        <w:rPr>
          <w:rFonts w:hint="cs"/>
          <w:rtl/>
        </w:rPr>
        <w:t>חודשי מאסר בפועל לבין 12 חודשי מאסר בפועל</w:t>
      </w:r>
      <w:r>
        <w:rPr>
          <w:rFonts w:ascii="Tahoma" w:hAnsi="Tahoma" w:hint="cs"/>
          <w:rtl/>
        </w:rPr>
        <w:t>.</w:t>
      </w:r>
    </w:p>
    <w:p w14:paraId="66A7A5B0"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hint="cs"/>
          <w:rtl/>
        </w:rPr>
        <w:lastRenderedPageBreak/>
        <w:t>באשר לגזירת דינו של הנאשם בתוך מתחם העונש ההולם ציין ב"כ המאשימה</w:t>
      </w:r>
      <w:r>
        <w:rPr>
          <w:rFonts w:ascii="Tahoma" w:hAnsi="Tahoma" w:hint="cs"/>
          <w:rtl/>
        </w:rPr>
        <w:t>, בהגינותו, כי מדובר בנאשם צעיר, ללא עבר פלילי מכביד, שאף אין לו תיקים פתוחים נוספים. יחד עם זאת, בהתחשב בנסיבות העניין והאינטרס הציבורי עתר ב"כ המאשימה לגזירת עונשו של הנאשם באמצע מתחם העונש ההולם.</w:t>
      </w:r>
    </w:p>
    <w:p w14:paraId="488C3617" w14:textId="77777777" w:rsidR="00247C9B" w:rsidRDefault="00247C9B" w:rsidP="00247C9B">
      <w:pPr>
        <w:spacing w:after="120" w:line="360" w:lineRule="auto"/>
        <w:ind w:left="720"/>
        <w:jc w:val="both"/>
        <w:rPr>
          <w:rFonts w:ascii="Tahoma" w:hAnsi="Tahoma"/>
        </w:rPr>
      </w:pPr>
      <w:r>
        <w:rPr>
          <w:rFonts w:ascii="Tahoma" w:hAnsi="Tahoma" w:hint="cs"/>
          <w:rtl/>
        </w:rPr>
        <w:t>בסיכומו של דבר עתר ב"כ המאשימה להטלת עונשי מאסר בפועל, מאסר על תנאי וקנס כספי; וגם ענישה נלווית, של פסילת רישיון נהיגה בפועל ועל תנאי.</w:t>
      </w:r>
    </w:p>
    <w:p w14:paraId="4603F270" w14:textId="77777777" w:rsidR="00247C9B" w:rsidRDefault="00247C9B" w:rsidP="00247C9B">
      <w:pPr>
        <w:numPr>
          <w:ilvl w:val="0"/>
          <w:numId w:val="1"/>
        </w:numPr>
        <w:tabs>
          <w:tab w:val="num" w:pos="720"/>
        </w:tabs>
        <w:spacing w:after="120" w:line="360" w:lineRule="auto"/>
        <w:ind w:left="720"/>
        <w:jc w:val="both"/>
        <w:rPr>
          <w:rFonts w:ascii="Tahoma" w:hAnsi="Tahoma"/>
        </w:rPr>
      </w:pPr>
      <w:r w:rsidRPr="00BE5B2B">
        <w:rPr>
          <w:rFonts w:ascii="Tahoma" w:hAnsi="Tahoma" w:hint="cs"/>
          <w:rtl/>
        </w:rPr>
        <w:t xml:space="preserve">ב"כ הנאשם, מצידה, ביקשה להדגיש את האבחנה </w:t>
      </w:r>
      <w:r>
        <w:rPr>
          <w:rFonts w:ascii="Tahoma" w:hAnsi="Tahoma" w:hint="cs"/>
          <w:rtl/>
        </w:rPr>
        <w:t>מבחינת חומרת העבירות,</w:t>
      </w:r>
      <w:r w:rsidRPr="00BE5B2B">
        <w:rPr>
          <w:rFonts w:ascii="Tahoma" w:hAnsi="Tahoma" w:hint="cs"/>
          <w:rtl/>
        </w:rPr>
        <w:t xml:space="preserve"> בה נקט המחוקק</w:t>
      </w:r>
      <w:r>
        <w:rPr>
          <w:rFonts w:ascii="Tahoma" w:hAnsi="Tahoma" w:hint="cs"/>
          <w:rtl/>
        </w:rPr>
        <w:t>,</w:t>
      </w:r>
      <w:r w:rsidRPr="00BE5B2B">
        <w:rPr>
          <w:rFonts w:ascii="Tahoma" w:hAnsi="Tahoma" w:hint="cs"/>
          <w:rtl/>
        </w:rPr>
        <w:t xml:space="preserve"> בין </w:t>
      </w:r>
      <w:r>
        <w:rPr>
          <w:rFonts w:ascii="Tahoma" w:hAnsi="Tahoma" w:hint="cs"/>
          <w:rtl/>
        </w:rPr>
        <w:t xml:space="preserve">עבירות לפי </w:t>
      </w:r>
      <w:hyperlink r:id="rId21" w:history="1">
        <w:r w:rsidR="00672690" w:rsidRPr="00672690">
          <w:rPr>
            <w:rStyle w:val="Hyperlink"/>
            <w:rFonts w:ascii="Tahoma" w:hAnsi="Tahoma" w:hint="eastAsia"/>
            <w:rtl/>
          </w:rPr>
          <w:t>פקודת</w:t>
        </w:r>
        <w:r w:rsidR="00672690" w:rsidRPr="00672690">
          <w:rPr>
            <w:rStyle w:val="Hyperlink"/>
            <w:rFonts w:ascii="Tahoma" w:hAnsi="Tahoma"/>
            <w:rtl/>
          </w:rPr>
          <w:t xml:space="preserve"> הסמים המסוכנים</w:t>
        </w:r>
      </w:hyperlink>
      <w:r w:rsidRPr="00BE5B2B">
        <w:rPr>
          <w:rFonts w:ascii="Tahoma" w:hAnsi="Tahoma" w:hint="cs"/>
          <w:rtl/>
        </w:rPr>
        <w:t xml:space="preserve"> לבין </w:t>
      </w:r>
      <w:r>
        <w:rPr>
          <w:rFonts w:ascii="Tahoma" w:hAnsi="Tahoma" w:hint="cs"/>
          <w:rtl/>
        </w:rPr>
        <w:t xml:space="preserve">העבירות לפי </w:t>
      </w:r>
      <w:r w:rsidRPr="00BE5B2B">
        <w:rPr>
          <w:rFonts w:ascii="Tahoma" w:hAnsi="Tahoma" w:hint="cs"/>
          <w:rtl/>
        </w:rPr>
        <w:t xml:space="preserve">החוק: בעוד שסחר בסמים מסוכנים </w:t>
      </w:r>
      <w:r>
        <w:rPr>
          <w:rFonts w:ascii="Tahoma" w:hAnsi="Tahoma" w:hint="cs"/>
          <w:rtl/>
        </w:rPr>
        <w:t>מוגדר כ</w:t>
      </w:r>
      <w:r w:rsidRPr="00BE5B2B">
        <w:rPr>
          <w:rFonts w:ascii="Tahoma" w:hAnsi="Tahoma" w:hint="cs"/>
          <w:rtl/>
        </w:rPr>
        <w:t xml:space="preserve">עבירה חמורה מסוג פשע, כאן עסקינן בעבירה </w:t>
      </w:r>
      <w:r>
        <w:rPr>
          <w:rFonts w:ascii="Tahoma" w:hAnsi="Tahoma" w:hint="cs"/>
          <w:rtl/>
        </w:rPr>
        <w:t xml:space="preserve">שהינה </w:t>
      </w:r>
      <w:r w:rsidRPr="00BE5B2B">
        <w:rPr>
          <w:rFonts w:ascii="Tahoma" w:hAnsi="Tahoma" w:hint="cs"/>
          <w:rtl/>
        </w:rPr>
        <w:t>מסוג עוון</w:t>
      </w:r>
      <w:r>
        <w:rPr>
          <w:rFonts w:ascii="Tahoma" w:hAnsi="Tahoma" w:hint="cs"/>
          <w:rtl/>
        </w:rPr>
        <w:t xml:space="preserve"> גרידא</w:t>
      </w:r>
      <w:r w:rsidRPr="00BE5B2B">
        <w:rPr>
          <w:rFonts w:ascii="Tahoma" w:hAnsi="Tahoma" w:hint="cs"/>
          <w:rtl/>
        </w:rPr>
        <w:t>.</w:t>
      </w:r>
    </w:p>
    <w:p w14:paraId="2078839D" w14:textId="77777777" w:rsidR="00247C9B" w:rsidRPr="00BE5B2B" w:rsidRDefault="00247C9B" w:rsidP="00247C9B">
      <w:pPr>
        <w:spacing w:after="120" w:line="360" w:lineRule="auto"/>
        <w:ind w:left="720"/>
        <w:jc w:val="both"/>
        <w:rPr>
          <w:rFonts w:ascii="Tahoma" w:hAnsi="Tahoma"/>
        </w:rPr>
      </w:pPr>
      <w:r w:rsidRPr="00BE5B2B">
        <w:rPr>
          <w:rFonts w:ascii="Tahoma" w:hAnsi="Tahoma" w:hint="cs"/>
          <w:rtl/>
        </w:rPr>
        <w:t xml:space="preserve">יתר על כן, בענייננו מדובר במכירה של כמויות קטנות, בעבור 100 ₪ בלבד, של חומר מסכן בלבד; ולא ניתן להשליך בדיעבד ובאופן רטרואקטיבי לכף חומרה מכך שכיום חומר </w:t>
      </w:r>
      <w:r>
        <w:rPr>
          <w:rFonts w:ascii="Tahoma" w:hAnsi="Tahoma" w:hint="cs"/>
          <w:rtl/>
        </w:rPr>
        <w:t xml:space="preserve">זה </w:t>
      </w:r>
      <w:r w:rsidRPr="00BE5B2B">
        <w:rPr>
          <w:rFonts w:ascii="Tahoma" w:hAnsi="Tahoma" w:hint="cs"/>
          <w:rtl/>
        </w:rPr>
        <w:t>מוגדר כסם מסוכן.</w:t>
      </w:r>
      <w:r>
        <w:rPr>
          <w:rFonts w:ascii="Tahoma" w:hAnsi="Tahoma" w:hint="cs"/>
          <w:rtl/>
        </w:rPr>
        <w:t xml:space="preserve"> </w:t>
      </w:r>
      <w:r w:rsidRPr="00BE5B2B">
        <w:rPr>
          <w:rFonts w:ascii="Tahoma" w:hAnsi="Tahoma" w:hint="cs"/>
          <w:rtl/>
        </w:rPr>
        <w:t>ב"כ הנאשם הפנתה לפסיקה מקלה, וטענה כי מתחם העונש ההולם צריך להתחיל ממאסר מותנה ולא מעבר לכך.</w:t>
      </w:r>
    </w:p>
    <w:p w14:paraId="4A5DD81B"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ascii="Tahoma" w:hAnsi="Tahoma" w:hint="cs"/>
          <w:rtl/>
        </w:rPr>
        <w:t xml:space="preserve">באשר לגזירת עונשו של הנאשם, בתוך מתחם העונש ההולם, הפנתה ב"כ הנאשם לנסיבותיו האישיות של הנאשם: מדובר בבחור צעיר, כבן 27 שנים, נשוי ואב לילדה פעוטה, שמנהל הלכה למעשה אורח חיים נורמטיבי. אמנם יש בעברו של הנאשם הרשעה פלילית, אך מדובר בהרשעה ישנה ובעבירה לא רלוואנטית. בנוסף, הנאשם עובד באופן מסודר ומפרנס את עצמו ואת משפחתו ממשכורת צנועה </w:t>
      </w:r>
      <w:r>
        <w:rPr>
          <w:rFonts w:ascii="Tahoma" w:hAnsi="Tahoma"/>
          <w:rtl/>
        </w:rPr>
        <w:t>–</w:t>
      </w:r>
      <w:r>
        <w:rPr>
          <w:rFonts w:ascii="Tahoma" w:hAnsi="Tahoma" w:hint="cs"/>
          <w:rtl/>
        </w:rPr>
        <w:t xml:space="preserve"> בסביבות 5,000 ₪ לחודש, על-פי התלושים שצירפו </w:t>
      </w:r>
      <w:r>
        <w:rPr>
          <w:rFonts w:ascii="Tahoma" w:hAnsi="Tahoma"/>
          <w:rtl/>
        </w:rPr>
        <w:t>–</w:t>
      </w:r>
      <w:r>
        <w:rPr>
          <w:rFonts w:ascii="Tahoma" w:hAnsi="Tahoma" w:hint="cs"/>
          <w:rtl/>
        </w:rPr>
        <w:t xml:space="preserve"> ויש להתחשב בנתונים אלה בעת גזירת עונשו.</w:t>
      </w:r>
    </w:p>
    <w:p w14:paraId="0D3854E2" w14:textId="77777777" w:rsidR="00247C9B" w:rsidRDefault="00247C9B" w:rsidP="00247C9B">
      <w:pPr>
        <w:spacing w:after="120" w:line="360" w:lineRule="auto"/>
        <w:ind w:left="720"/>
        <w:jc w:val="both"/>
        <w:rPr>
          <w:rFonts w:ascii="Tahoma" w:hAnsi="Tahoma"/>
        </w:rPr>
      </w:pPr>
      <w:r>
        <w:rPr>
          <w:rFonts w:ascii="Tahoma" w:hAnsi="Tahoma" w:hint="cs"/>
          <w:rtl/>
        </w:rPr>
        <w:t>ב"כ הנאשם עתרה אפוא להקל ככל שניתן בעונשו של הנאשם ולגזור את עונשו ברף התחתון של מתחם העונש ההולם.</w:t>
      </w:r>
    </w:p>
    <w:p w14:paraId="451D2A1C" w14:textId="77777777" w:rsidR="00247C9B" w:rsidRDefault="00247C9B" w:rsidP="00247C9B">
      <w:pPr>
        <w:spacing w:after="120" w:line="360" w:lineRule="auto"/>
        <w:jc w:val="both"/>
        <w:rPr>
          <w:rFonts w:ascii="Tahoma" w:hAnsi="Tahoma"/>
          <w:rtl/>
        </w:rPr>
      </w:pPr>
    </w:p>
    <w:p w14:paraId="0AE53D01" w14:textId="77777777" w:rsidR="00247C9B" w:rsidRPr="00DE411D" w:rsidRDefault="00247C9B" w:rsidP="00247C9B">
      <w:pPr>
        <w:snapToGrid w:val="0"/>
        <w:spacing w:after="120" w:line="360" w:lineRule="auto"/>
        <w:jc w:val="both"/>
        <w:rPr>
          <w:b/>
          <w:bCs/>
          <w:u w:val="single"/>
          <w:rtl/>
        </w:rPr>
      </w:pPr>
      <w:r w:rsidRPr="00627467">
        <w:rPr>
          <w:rFonts w:hint="cs"/>
          <w:b/>
          <w:bCs/>
          <w:rtl/>
        </w:rPr>
        <w:t>ג.</w:t>
      </w:r>
      <w:r w:rsidRPr="00627467">
        <w:rPr>
          <w:rFonts w:hint="cs"/>
          <w:b/>
          <w:bCs/>
          <w:rtl/>
        </w:rPr>
        <w:tab/>
      </w:r>
      <w:r w:rsidRPr="00DE411D">
        <w:rPr>
          <w:rFonts w:hint="cs"/>
          <w:b/>
          <w:bCs/>
          <w:u w:val="single"/>
          <w:rtl/>
        </w:rPr>
        <w:t>דיון והכרעה:</w:t>
      </w:r>
    </w:p>
    <w:p w14:paraId="1762181F" w14:textId="77777777" w:rsidR="00247C9B" w:rsidRPr="00DE411D" w:rsidRDefault="00247C9B" w:rsidP="00247C9B">
      <w:pPr>
        <w:snapToGrid w:val="0"/>
        <w:spacing w:after="120" w:line="360" w:lineRule="auto"/>
        <w:jc w:val="both"/>
        <w:rPr>
          <w:u w:val="single"/>
          <w:rtl/>
        </w:rPr>
      </w:pPr>
      <w:r w:rsidRPr="00627467">
        <w:rPr>
          <w:rFonts w:hint="cs"/>
          <w:rtl/>
        </w:rPr>
        <w:t>(1)</w:t>
      </w:r>
      <w:r w:rsidRPr="00627467">
        <w:rPr>
          <w:rtl/>
        </w:rPr>
        <w:tab/>
      </w:r>
      <w:r w:rsidRPr="00DE411D">
        <w:rPr>
          <w:rFonts w:hint="cs"/>
          <w:u w:val="single"/>
          <w:rtl/>
        </w:rPr>
        <w:t>קביעת מתח</w:t>
      </w:r>
      <w:r>
        <w:rPr>
          <w:rFonts w:hint="cs"/>
          <w:u w:val="single"/>
          <w:rtl/>
        </w:rPr>
        <w:t>ם</w:t>
      </w:r>
      <w:r w:rsidRPr="00DE411D">
        <w:rPr>
          <w:rFonts w:hint="cs"/>
          <w:u w:val="single"/>
          <w:rtl/>
        </w:rPr>
        <w:t xml:space="preserve"> העונש ההולם:</w:t>
      </w:r>
    </w:p>
    <w:p w14:paraId="29441F0D"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ולאחר מכן לגזור את עונשו של הנאשם בתוך מתחם העונש ההולם; והכל כאמור בהוראות </w:t>
      </w:r>
      <w:hyperlink r:id="rId22" w:history="1">
        <w:r w:rsidR="00DA697D" w:rsidRPr="00DA697D">
          <w:rPr>
            <w:color w:val="0000FF"/>
            <w:u w:val="single"/>
            <w:rtl/>
          </w:rPr>
          <w:t>סעיף 40ג</w:t>
        </w:r>
      </w:hyperlink>
      <w:r>
        <w:rPr>
          <w:rFonts w:hint="cs"/>
          <w:rtl/>
        </w:rPr>
        <w:t xml:space="preserve"> ל</w:t>
      </w:r>
      <w:hyperlink r:id="rId23" w:history="1">
        <w:r w:rsidR="00672690" w:rsidRPr="00672690">
          <w:rPr>
            <w:rStyle w:val="Hyperlink"/>
            <w:rFonts w:hint="eastAsia"/>
            <w:rtl/>
          </w:rPr>
          <w:t>חוק</w:t>
        </w:r>
        <w:r w:rsidR="00672690" w:rsidRPr="00672690">
          <w:rPr>
            <w:rStyle w:val="Hyperlink"/>
            <w:rtl/>
          </w:rPr>
          <w:t xml:space="preserve"> העונשין</w:t>
        </w:r>
      </w:hyperlink>
      <w:r w:rsidRPr="004B785E">
        <w:rPr>
          <w:rFonts w:ascii="Tahoma" w:hAnsi="Tahoma" w:hint="cs"/>
          <w:rtl/>
        </w:rPr>
        <w:t>, תשל"ז-1977 (להלן – חוק העונשין).</w:t>
      </w:r>
    </w:p>
    <w:p w14:paraId="3567FBA2" w14:textId="77777777" w:rsidR="00247C9B" w:rsidRPr="004B785E" w:rsidRDefault="00247C9B" w:rsidP="00247C9B">
      <w:pPr>
        <w:tabs>
          <w:tab w:val="num" w:pos="720"/>
        </w:tabs>
        <w:spacing w:after="120" w:line="360" w:lineRule="auto"/>
        <w:ind w:left="720"/>
        <w:jc w:val="both"/>
        <w:rPr>
          <w:rFonts w:ascii="Tahoma" w:hAnsi="Tahoma"/>
        </w:rPr>
      </w:pPr>
      <w:r>
        <w:rPr>
          <w:rFonts w:hint="cs"/>
          <w:rtl/>
        </w:rPr>
        <w:t xml:space="preserve">קביעת מתחם העונש ההולם לכל אירוע תיעשה בהתאם </w:t>
      </w:r>
      <w:r w:rsidRPr="00627467">
        <w:rPr>
          <w:rFonts w:ascii="Tahoma" w:hAnsi="Tahoma" w:hint="cs"/>
          <w:rtl/>
        </w:rPr>
        <w:t xml:space="preserve">לעיקרון המנחה בענישה – הוא עקרון ההלימה – </w:t>
      </w:r>
      <w:r>
        <w:rPr>
          <w:rFonts w:hint="cs"/>
          <w:rtl/>
        </w:rPr>
        <w:t xml:space="preserve">תוך התחשבות בערך החברתי שנפגע מביצוע העבירות ובמידת הפגיעה בו, במדיניות הענישה הנהוגה ובנסיבות הקשורות בביצוע העבירות המפורטות בהוראות </w:t>
      </w:r>
      <w:hyperlink r:id="rId24" w:history="1">
        <w:r w:rsidR="00DA697D" w:rsidRPr="00DA697D">
          <w:rPr>
            <w:color w:val="0000FF"/>
            <w:u w:val="single"/>
            <w:rtl/>
          </w:rPr>
          <w:t>סעיף 40ט</w:t>
        </w:r>
      </w:hyperlink>
      <w:r>
        <w:rPr>
          <w:rFonts w:hint="cs"/>
          <w:rtl/>
        </w:rPr>
        <w:t xml:space="preserve"> ל</w:t>
      </w:r>
      <w:hyperlink r:id="rId25" w:history="1">
        <w:r w:rsidR="00672690" w:rsidRPr="00672690">
          <w:rPr>
            <w:rStyle w:val="Hyperlink"/>
            <w:rFonts w:hint="eastAsia"/>
            <w:rtl/>
          </w:rPr>
          <w:t>חוק</w:t>
        </w:r>
        <w:r w:rsidR="00672690" w:rsidRPr="00672690">
          <w:rPr>
            <w:rStyle w:val="Hyperlink"/>
            <w:rtl/>
          </w:rPr>
          <w:t xml:space="preserve"> העונשין</w:t>
        </w:r>
      </w:hyperlink>
      <w:r>
        <w:rPr>
          <w:rFonts w:hint="cs"/>
          <w:rtl/>
        </w:rPr>
        <w:t>.</w:t>
      </w:r>
    </w:p>
    <w:p w14:paraId="712D3B62"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hint="cs"/>
          <w:rtl/>
        </w:rPr>
        <w:t xml:space="preserve">באשר לערכים החברתיים, שנפגעו כתוצאה ממעשיו של הנאשם, מקובל עליי טיעון ב"כ המאשימה. ראוי להוסיף ולציין כי </w:t>
      </w:r>
      <w:r w:rsidRPr="00C92CBA">
        <w:rPr>
          <w:rFonts w:ascii="Tahoma" w:hAnsi="Tahoma" w:hint="cs"/>
          <w:rtl/>
        </w:rPr>
        <w:t xml:space="preserve">במקרה דנא דובר במכירה בנסיבות מחמירות </w:t>
      </w:r>
      <w:r w:rsidRPr="00C92CBA">
        <w:rPr>
          <w:rFonts w:ascii="Tahoma" w:hAnsi="Tahoma"/>
          <w:rtl/>
        </w:rPr>
        <w:t>–</w:t>
      </w:r>
      <w:r w:rsidRPr="00C92CBA">
        <w:rPr>
          <w:rFonts w:ascii="Tahoma" w:hAnsi="Tahoma" w:hint="cs"/>
          <w:rtl/>
        </w:rPr>
        <w:t xml:space="preserve"> במכירה ב"כספומט", </w:t>
      </w:r>
      <w:r>
        <w:rPr>
          <w:rFonts w:ascii="Tahoma" w:hAnsi="Tahoma" w:hint="cs"/>
          <w:rtl/>
        </w:rPr>
        <w:t xml:space="preserve">דהיינו: במכירה </w:t>
      </w:r>
      <w:r w:rsidRPr="00C92CBA">
        <w:rPr>
          <w:rFonts w:ascii="Tahoma" w:hAnsi="Tahoma" w:hint="cs"/>
          <w:rtl/>
        </w:rPr>
        <w:t xml:space="preserve">שיש בה כדי ללמד על עיסוק </w:t>
      </w:r>
      <w:r>
        <w:rPr>
          <w:rFonts w:ascii="Tahoma" w:hAnsi="Tahoma" w:hint="cs"/>
          <w:rtl/>
        </w:rPr>
        <w:t xml:space="preserve">"מקצועי" </w:t>
      </w:r>
      <w:r w:rsidRPr="00C92CBA">
        <w:rPr>
          <w:rFonts w:ascii="Tahoma" w:hAnsi="Tahoma" w:hint="cs"/>
          <w:rtl/>
        </w:rPr>
        <w:t>ב</w:t>
      </w:r>
      <w:r>
        <w:rPr>
          <w:rFonts w:ascii="Tahoma" w:hAnsi="Tahoma" w:hint="cs"/>
          <w:rtl/>
        </w:rPr>
        <w:t xml:space="preserve">ביצוע </w:t>
      </w:r>
      <w:r w:rsidRPr="00C92CBA">
        <w:rPr>
          <w:rFonts w:ascii="Tahoma" w:hAnsi="Tahoma" w:hint="cs"/>
          <w:rtl/>
        </w:rPr>
        <w:t>עבירות</w:t>
      </w:r>
      <w:r>
        <w:rPr>
          <w:rFonts w:ascii="Tahoma" w:hAnsi="Tahoma" w:hint="cs"/>
          <w:rtl/>
        </w:rPr>
        <w:t xml:space="preserve"> </w:t>
      </w:r>
      <w:r>
        <w:rPr>
          <w:rFonts w:ascii="Tahoma" w:hAnsi="Tahoma"/>
          <w:rtl/>
        </w:rPr>
        <w:t>–</w:t>
      </w:r>
      <w:r>
        <w:rPr>
          <w:rFonts w:ascii="Tahoma" w:hAnsi="Tahoma" w:hint="cs"/>
          <w:rtl/>
        </w:rPr>
        <w:t xml:space="preserve"> ומכאן שמידת הפגיעה בערכים המוגנים הינה משמעותית.</w:t>
      </w:r>
    </w:p>
    <w:p w14:paraId="6F4C0E04" w14:textId="77777777" w:rsidR="00247C9B" w:rsidRPr="00C92CBA" w:rsidRDefault="00247C9B" w:rsidP="00247C9B">
      <w:pPr>
        <w:tabs>
          <w:tab w:val="num" w:pos="720"/>
        </w:tabs>
        <w:spacing w:after="120" w:line="360" w:lineRule="auto"/>
        <w:ind w:left="720"/>
        <w:jc w:val="both"/>
        <w:rPr>
          <w:rFonts w:ascii="Tahoma" w:hAnsi="Tahoma"/>
        </w:rPr>
      </w:pPr>
      <w:r>
        <w:rPr>
          <w:rFonts w:ascii="Tahoma" w:hAnsi="Tahoma" w:hint="cs"/>
          <w:rtl/>
        </w:rPr>
        <w:t>יחד עם זאת, לא ניתן להתעלם, ולכף קולה, מכך שמדובר במכירה יחידה, של כמות קטנה של חומר, בעבור 100 ₪ בלבד. בנוסף, הדין הוא עם ב"כ הנאשם בטענתה כי לא ניתן להתחשב רטרואקטיבית, כנסיבה לחומרת העונש, בעובדה שהחומר שנמכר (פאב 22) מוגדר כיום כסם מסוכן.</w:t>
      </w:r>
    </w:p>
    <w:p w14:paraId="53C2B38D" w14:textId="77777777" w:rsidR="00247C9B" w:rsidRDefault="00247C9B" w:rsidP="00247C9B">
      <w:pPr>
        <w:numPr>
          <w:ilvl w:val="0"/>
          <w:numId w:val="1"/>
        </w:numPr>
        <w:tabs>
          <w:tab w:val="num" w:pos="720"/>
        </w:tabs>
        <w:spacing w:after="120" w:line="360" w:lineRule="auto"/>
        <w:ind w:left="720"/>
        <w:jc w:val="both"/>
      </w:pPr>
      <w:r w:rsidRPr="004E229F">
        <w:rPr>
          <w:rFonts w:ascii="Tahoma" w:hAnsi="Tahoma" w:hint="cs"/>
          <w:rtl/>
        </w:rPr>
        <w:t xml:space="preserve">בנסיבות אלה, מדיניות הענישה </w:t>
      </w:r>
      <w:r>
        <w:rPr>
          <w:rFonts w:ascii="Tahoma" w:hAnsi="Tahoma" w:hint="cs"/>
          <w:rtl/>
        </w:rPr>
        <w:t>הנהוגה ו</w:t>
      </w:r>
      <w:r w:rsidRPr="004E229F">
        <w:rPr>
          <w:rFonts w:ascii="Tahoma" w:hAnsi="Tahoma" w:hint="cs"/>
          <w:rtl/>
        </w:rPr>
        <w:t xml:space="preserve">הראויה </w:t>
      </w:r>
      <w:r>
        <w:rPr>
          <w:rFonts w:ascii="Tahoma" w:hAnsi="Tahoma" w:hint="cs"/>
          <w:rtl/>
        </w:rPr>
        <w:t xml:space="preserve">בכגון דא </w:t>
      </w:r>
      <w:r w:rsidRPr="004E229F">
        <w:rPr>
          <w:rFonts w:ascii="Tahoma" w:hAnsi="Tahoma" w:hint="cs"/>
          <w:rtl/>
        </w:rPr>
        <w:t xml:space="preserve">היא כמשתקף מגזר הדין בעניין </w:t>
      </w:r>
      <w:r w:rsidRPr="004E229F">
        <w:rPr>
          <w:rFonts w:ascii="Tahoma" w:hAnsi="Tahoma" w:hint="cs"/>
          <w:b/>
          <w:bCs/>
          <w:rtl/>
        </w:rPr>
        <w:t>כהן</w:t>
      </w:r>
      <w:r w:rsidRPr="004E229F">
        <w:rPr>
          <w:rFonts w:ascii="Tahoma" w:hAnsi="Tahoma" w:hint="cs"/>
          <w:rtl/>
        </w:rPr>
        <w:t>, אליו הפנה ב"כ המאשימה</w:t>
      </w:r>
      <w:r>
        <w:rPr>
          <w:rFonts w:ascii="Tahoma" w:hAnsi="Tahoma" w:hint="cs"/>
          <w:rtl/>
        </w:rPr>
        <w:t>.</w:t>
      </w:r>
      <w:r w:rsidRPr="004E229F">
        <w:rPr>
          <w:rFonts w:ascii="Tahoma" w:hAnsi="Tahoma" w:hint="cs"/>
          <w:rtl/>
        </w:rPr>
        <w:t xml:space="preserve"> לפיכך, אני קובע את מתחם העונש ההולם</w:t>
      </w:r>
      <w:r>
        <w:rPr>
          <w:rFonts w:ascii="Tahoma" w:hAnsi="Tahoma" w:hint="cs"/>
          <w:rtl/>
        </w:rPr>
        <w:t xml:space="preserve"> </w:t>
      </w:r>
      <w:r>
        <w:rPr>
          <w:rFonts w:hint="cs"/>
          <w:rtl/>
        </w:rPr>
        <w:t xml:space="preserve">בין מספר חודשי מאסר בפועל לבין 12 חודשי מאסר בפועל. </w:t>
      </w:r>
    </w:p>
    <w:p w14:paraId="6F6F0B0D" w14:textId="77777777" w:rsidR="00247C9B" w:rsidRPr="00761D70" w:rsidRDefault="00247C9B" w:rsidP="00247C9B">
      <w:pPr>
        <w:spacing w:after="120" w:line="360" w:lineRule="auto"/>
        <w:ind w:left="720"/>
        <w:jc w:val="both"/>
        <w:rPr>
          <w:rtl/>
        </w:rPr>
      </w:pPr>
    </w:p>
    <w:p w14:paraId="1207E1F8" w14:textId="77777777" w:rsidR="00247C9B" w:rsidRPr="00DE411D" w:rsidRDefault="00247C9B" w:rsidP="00247C9B">
      <w:pPr>
        <w:snapToGrid w:val="0"/>
        <w:spacing w:after="120" w:line="360" w:lineRule="auto"/>
        <w:jc w:val="both"/>
        <w:rPr>
          <w:u w:val="single"/>
          <w:rtl/>
        </w:rPr>
      </w:pPr>
      <w:r w:rsidRPr="00627467">
        <w:rPr>
          <w:rFonts w:hint="cs"/>
          <w:rtl/>
        </w:rPr>
        <w:t>(2)</w:t>
      </w:r>
      <w:r w:rsidRPr="00627467">
        <w:rPr>
          <w:rtl/>
        </w:rPr>
        <w:tab/>
      </w:r>
      <w:r w:rsidRPr="00DE411D">
        <w:rPr>
          <w:rFonts w:hint="cs"/>
          <w:u w:val="single"/>
          <w:rtl/>
        </w:rPr>
        <w:t xml:space="preserve">גזירת </w:t>
      </w:r>
      <w:r>
        <w:rPr>
          <w:rFonts w:hint="cs"/>
          <w:u w:val="single"/>
          <w:rtl/>
        </w:rPr>
        <w:t>עונשו של הנאשם בתוך מתחם</w:t>
      </w:r>
      <w:r w:rsidRPr="00DE411D">
        <w:rPr>
          <w:rFonts w:hint="cs"/>
          <w:u w:val="single"/>
          <w:rtl/>
        </w:rPr>
        <w:t xml:space="preserve"> העונש ההולם:</w:t>
      </w:r>
    </w:p>
    <w:p w14:paraId="53749E77" w14:textId="77777777" w:rsidR="00247C9B" w:rsidRDefault="00247C9B" w:rsidP="00247C9B">
      <w:pPr>
        <w:numPr>
          <w:ilvl w:val="0"/>
          <w:numId w:val="1"/>
        </w:numPr>
        <w:tabs>
          <w:tab w:val="num" w:pos="720"/>
        </w:tabs>
        <w:spacing w:after="120" w:line="360" w:lineRule="auto"/>
        <w:ind w:left="72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המפורטות בהוראות </w:t>
      </w:r>
      <w:hyperlink r:id="rId26" w:history="1">
        <w:r w:rsidR="00DA697D" w:rsidRPr="00DA697D">
          <w:rPr>
            <w:color w:val="0000FF"/>
            <w:u w:val="single"/>
            <w:rtl/>
          </w:rPr>
          <w:t>סעיף 40יא</w:t>
        </w:r>
      </w:hyperlink>
      <w:r>
        <w:rPr>
          <w:rFonts w:hint="cs"/>
          <w:rtl/>
        </w:rPr>
        <w:t xml:space="preserve"> ל</w:t>
      </w:r>
      <w:hyperlink r:id="rId27" w:history="1">
        <w:r w:rsidR="00672690" w:rsidRPr="00672690">
          <w:rPr>
            <w:rStyle w:val="Hyperlink"/>
            <w:rFonts w:hint="eastAsia"/>
            <w:rtl/>
          </w:rPr>
          <w:t>חוק</w:t>
        </w:r>
        <w:r w:rsidR="00672690" w:rsidRPr="00672690">
          <w:rPr>
            <w:rStyle w:val="Hyperlink"/>
            <w:rtl/>
          </w:rPr>
          <w:t xml:space="preserve"> העונשין</w:t>
        </w:r>
      </w:hyperlink>
      <w:r>
        <w:rPr>
          <w:rFonts w:hint="cs"/>
          <w:rtl/>
        </w:rPr>
        <w:t>.</w:t>
      </w:r>
    </w:p>
    <w:p w14:paraId="3BF01DFD" w14:textId="77777777" w:rsidR="00247C9B" w:rsidRPr="00627467" w:rsidRDefault="00247C9B" w:rsidP="00247C9B">
      <w:pPr>
        <w:numPr>
          <w:ilvl w:val="0"/>
          <w:numId w:val="1"/>
        </w:numPr>
        <w:tabs>
          <w:tab w:val="num" w:pos="720"/>
        </w:tabs>
        <w:spacing w:after="120" w:line="360" w:lineRule="auto"/>
        <w:ind w:left="720"/>
        <w:jc w:val="both"/>
        <w:rPr>
          <w:rFonts w:ascii="Tahoma" w:hAnsi="Tahoma"/>
        </w:rPr>
      </w:pPr>
      <w:r>
        <w:rPr>
          <w:rFonts w:hint="cs"/>
          <w:rtl/>
        </w:rPr>
        <w:t>באשר לנאשם שלפניי, השיקולים הרלוואנטיים לגזירת עונשו הם כלהלן:</w:t>
      </w:r>
    </w:p>
    <w:p w14:paraId="05BB35D3" w14:textId="77777777" w:rsidR="00247C9B" w:rsidRDefault="00247C9B" w:rsidP="00247C9B">
      <w:pPr>
        <w:snapToGrid w:val="0"/>
        <w:spacing w:after="120" w:line="360" w:lineRule="auto"/>
        <w:ind w:left="144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הרשעה קודמת אחת. יחד עם זאת, מדובר בהרשעה בעבירה מתחום אחר, בגין מעשה שנעשה לפני שנים, כך שלא ניתן לומר שמדובר בעבר רלוואנטי מכביד.</w:t>
      </w:r>
    </w:p>
    <w:p w14:paraId="7A0C9AFE" w14:textId="77777777" w:rsidR="00247C9B" w:rsidRDefault="00247C9B" w:rsidP="00247C9B">
      <w:pPr>
        <w:snapToGrid w:val="0"/>
        <w:spacing w:after="120" w:line="360" w:lineRule="auto"/>
        <w:ind w:left="144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יחד עם זאת, הטלת עונש מאסר בפועל, שניתן לשאתו בדרך של עבודות שירות, תגבש פגיעה מתונה בלבד.</w:t>
      </w:r>
    </w:p>
    <w:p w14:paraId="50A2FD15" w14:textId="77777777" w:rsidR="00247C9B" w:rsidRDefault="00247C9B" w:rsidP="00247C9B">
      <w:pPr>
        <w:snapToGrid w:val="0"/>
        <w:spacing w:after="120" w:line="360" w:lineRule="auto"/>
        <w:ind w:left="1440"/>
        <w:jc w:val="both"/>
        <w:rPr>
          <w:rFonts w:ascii="Tahoma" w:hAnsi="Tahoma"/>
          <w:rtl/>
        </w:rPr>
      </w:pPr>
      <w:r w:rsidRPr="00627467">
        <w:rPr>
          <w:rFonts w:hint="cs"/>
          <w:b/>
          <w:bCs/>
          <w:rtl/>
        </w:rPr>
        <w:t xml:space="preserve">הודאה ונטילת אחריות </w:t>
      </w:r>
      <w:r>
        <w:rPr>
          <w:rtl/>
        </w:rPr>
        <w:t>–</w:t>
      </w:r>
      <w:r>
        <w:rPr>
          <w:rFonts w:hint="cs"/>
          <w:rtl/>
        </w:rPr>
        <w:t xml:space="preserve"> </w:t>
      </w:r>
      <w:r>
        <w:rPr>
          <w:rFonts w:ascii="Tahoma" w:hAnsi="Tahoma" w:hint="cs"/>
          <w:rtl/>
        </w:rPr>
        <w:t xml:space="preserve">הנאשם כפר בעובדות כתב האישום ועמד על ניהול הליך שמיעת ראיות מלא. זוהי כמובן זכותו הבסיסית של הנאשם, ככל נאשם אחר, לעמוד על ניהול משפטו במלואו ופשיטא כי אין לזקוף זאת לחובתו (ור' גם בהוראות </w:t>
      </w:r>
      <w:hyperlink r:id="rId28" w:history="1">
        <w:r w:rsidR="00DA697D" w:rsidRPr="00DA697D">
          <w:rPr>
            <w:rFonts w:ascii="Tahoma" w:hAnsi="Tahoma"/>
            <w:color w:val="0000FF"/>
            <w:u w:val="single"/>
            <w:rtl/>
          </w:rPr>
          <w:t>סעיף 40יא(6)</w:t>
        </w:r>
      </w:hyperlink>
      <w:r>
        <w:rPr>
          <w:rFonts w:ascii="Tahoma" w:hAnsi="Tahoma" w:hint="cs"/>
          <w:rtl/>
        </w:rPr>
        <w:t xml:space="preserve"> סיפא ל</w:t>
      </w:r>
      <w:hyperlink r:id="rId29" w:history="1">
        <w:r w:rsidR="00672690" w:rsidRPr="00672690">
          <w:rPr>
            <w:rStyle w:val="Hyperlink"/>
            <w:rFonts w:ascii="Tahoma" w:hAnsi="Tahoma" w:hint="eastAsia"/>
            <w:rtl/>
          </w:rPr>
          <w:t>חוק</w:t>
        </w:r>
        <w:r w:rsidR="00672690" w:rsidRPr="00672690">
          <w:rPr>
            <w:rStyle w:val="Hyperlink"/>
            <w:rFonts w:ascii="Tahoma" w:hAnsi="Tahoma"/>
            <w:rtl/>
          </w:rPr>
          <w:t xml:space="preserve"> העונשין</w:t>
        </w:r>
      </w:hyperlink>
      <w:r>
        <w:rPr>
          <w:rFonts w:ascii="Tahoma" w:hAnsi="Tahoma" w:hint="cs"/>
          <w:rtl/>
        </w:rPr>
        <w:t>). יחד עם זאת, בנסיבות אלה אין הנאשם זכאי להקלה, הניתנת למי שמודה באשמה, נוטל אחריות על מעשיו ומקבל עליו את הדין.</w:t>
      </w:r>
    </w:p>
    <w:p w14:paraId="17D3DD62" w14:textId="77777777" w:rsidR="00247C9B" w:rsidRDefault="00247C9B" w:rsidP="00247C9B">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הינו כאמור יליד שנת 1990, צעיר יחסית, נשוי ואב לילדה פעוטה.</w:t>
      </w:r>
    </w:p>
    <w:p w14:paraId="35E0A868" w14:textId="77777777" w:rsidR="00247C9B" w:rsidRPr="009D3238" w:rsidRDefault="00247C9B" w:rsidP="00247C9B">
      <w:pPr>
        <w:numPr>
          <w:ilvl w:val="0"/>
          <w:numId w:val="1"/>
        </w:numPr>
        <w:tabs>
          <w:tab w:val="num" w:pos="720"/>
        </w:tabs>
        <w:spacing w:after="120" w:line="360" w:lineRule="auto"/>
        <w:ind w:left="720"/>
        <w:jc w:val="both"/>
        <w:rPr>
          <w:rFonts w:ascii="Tahoma" w:hAnsi="Tahoma"/>
        </w:rPr>
      </w:pPr>
      <w:r>
        <w:rPr>
          <w:rFonts w:hint="cs"/>
          <w:rtl/>
        </w:rPr>
        <w:t>שקלול השיקולים הנ"ל מביא למסקנה כי יש למקם את הנאשם בחלקו התחתון של מתחם העונש ההולם, הגם שלא ברף התחתון של המתחם. ברכיב המאסר בפועל יש אפוא לגזור את דינו של הנאשם לחמישה חודשי מאסר, שניתן לשאתם בדרך של עבודות שירות. ברכיב הענישה הכלכלית יש כאמור להתחשב במצבו הכלכלי של הנאשם, אך גם בכך שמדובר בעבירה בעלת פן כלכלי אשר בוצעה לשם רווח ממון.</w:t>
      </w:r>
    </w:p>
    <w:p w14:paraId="06A97347" w14:textId="77777777" w:rsidR="00247C9B" w:rsidRPr="001A13AA" w:rsidRDefault="00247C9B" w:rsidP="00247C9B">
      <w:pPr>
        <w:numPr>
          <w:ilvl w:val="0"/>
          <w:numId w:val="1"/>
        </w:numPr>
        <w:tabs>
          <w:tab w:val="num" w:pos="720"/>
        </w:tabs>
        <w:spacing w:after="120" w:line="360" w:lineRule="auto"/>
        <w:ind w:left="720"/>
        <w:jc w:val="both"/>
        <w:rPr>
          <w:rFonts w:ascii="Tahoma" w:hAnsi="Tahoma"/>
        </w:rPr>
      </w:pPr>
      <w:r>
        <w:rPr>
          <w:rFonts w:hint="cs"/>
          <w:rtl/>
        </w:rPr>
        <w:t xml:space="preserve">עוד יש להעיר, בשולי הדברים, כי אין מקום במקרה דנא לגזור עונשי פסילה, בפועל או על תנאי, ובוודאי שאין מקום להקיש לכאן מהוראות </w:t>
      </w:r>
      <w:hyperlink r:id="rId30" w:history="1">
        <w:r w:rsidR="00672690" w:rsidRPr="00672690">
          <w:rPr>
            <w:rStyle w:val="Hyperlink"/>
            <w:rFonts w:hint="eastAsia"/>
            <w:rtl/>
          </w:rPr>
          <w:t>פקודת</w:t>
        </w:r>
        <w:r w:rsidR="00672690" w:rsidRPr="00672690">
          <w:rPr>
            <w:rStyle w:val="Hyperlink"/>
            <w:rtl/>
          </w:rPr>
          <w:t xml:space="preserve"> הסמים המסוכנים</w:t>
        </w:r>
      </w:hyperlink>
      <w:r>
        <w:rPr>
          <w:rFonts w:hint="cs"/>
          <w:rtl/>
        </w:rPr>
        <w:t>.</w:t>
      </w:r>
    </w:p>
    <w:p w14:paraId="2DB827F0" w14:textId="77777777" w:rsidR="00247C9B" w:rsidRDefault="00247C9B" w:rsidP="00247C9B">
      <w:pPr>
        <w:spacing w:after="120" w:line="360" w:lineRule="auto"/>
        <w:ind w:left="720"/>
        <w:jc w:val="both"/>
        <w:rPr>
          <w:rFonts w:ascii="Tahoma" w:hAnsi="Tahoma"/>
        </w:rPr>
      </w:pPr>
      <w:r>
        <w:rPr>
          <w:rFonts w:hint="cs"/>
          <w:rtl/>
        </w:rPr>
        <w:t xml:space="preserve">לבסוף יש לציין, כי לאחר תום הטיעונים לעונש הוסיף ב"כ המאשימה ועתר לחילוט סכום הכסף המזומן, שנתפס ברשות הנאשם בעת מעצרו. ואולם, </w:t>
      </w:r>
      <w:r>
        <w:rPr>
          <w:rFonts w:ascii="Tahoma" w:hAnsi="Tahoma" w:hint="cs"/>
          <w:rtl/>
        </w:rPr>
        <w:t xml:space="preserve">בנסיבות דנא </w:t>
      </w:r>
      <w:r>
        <w:rPr>
          <w:rFonts w:ascii="Tahoma" w:hAnsi="Tahoma"/>
          <w:rtl/>
        </w:rPr>
        <w:t>–</w:t>
      </w:r>
      <w:r>
        <w:rPr>
          <w:rFonts w:ascii="Tahoma" w:hAnsi="Tahoma" w:hint="cs"/>
          <w:rtl/>
        </w:rPr>
        <w:t xml:space="preserve"> שבהן חילוט לא התבקש בכתב האישום והסוגיה אף לא הועלתה במהלך המשפט </w:t>
      </w:r>
      <w:r>
        <w:rPr>
          <w:rFonts w:ascii="Tahoma" w:hAnsi="Tahoma"/>
          <w:rtl/>
        </w:rPr>
        <w:t>–</w:t>
      </w:r>
      <w:r>
        <w:rPr>
          <w:rFonts w:ascii="Tahoma" w:hAnsi="Tahoma" w:hint="cs"/>
          <w:rtl/>
        </w:rPr>
        <w:t xml:space="preserve"> לא הונחה לפני בית המשפט תשתית המצדיקה החלטה בדבר חילוט כאמור.</w:t>
      </w:r>
    </w:p>
    <w:p w14:paraId="0CE0DE0F" w14:textId="77777777" w:rsidR="00247C9B" w:rsidRPr="007F17F9" w:rsidRDefault="00247C9B" w:rsidP="00247C9B">
      <w:pPr>
        <w:spacing w:after="120" w:line="360" w:lineRule="auto"/>
        <w:jc w:val="both"/>
        <w:rPr>
          <w:rtl/>
        </w:rPr>
      </w:pPr>
    </w:p>
    <w:p w14:paraId="29B39DF2" w14:textId="77777777" w:rsidR="00247C9B" w:rsidRPr="00DE411D" w:rsidRDefault="00247C9B" w:rsidP="00247C9B">
      <w:pPr>
        <w:snapToGrid w:val="0"/>
        <w:spacing w:after="120" w:line="360" w:lineRule="auto"/>
        <w:jc w:val="both"/>
        <w:rPr>
          <w:b/>
          <w:bCs/>
          <w:u w:val="single"/>
          <w:rtl/>
        </w:rPr>
      </w:pPr>
      <w:r>
        <w:rPr>
          <w:rFonts w:hint="cs"/>
          <w:b/>
          <w:bCs/>
          <w:rtl/>
        </w:rPr>
        <w:t>ד</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6ABF251A" w14:textId="77777777" w:rsidR="00247C9B" w:rsidRPr="001A13AA" w:rsidRDefault="00247C9B" w:rsidP="00247C9B">
      <w:pPr>
        <w:numPr>
          <w:ilvl w:val="0"/>
          <w:numId w:val="1"/>
        </w:numPr>
        <w:tabs>
          <w:tab w:val="num" w:pos="720"/>
        </w:tabs>
        <w:spacing w:after="120" w:line="360" w:lineRule="auto"/>
        <w:ind w:left="720"/>
        <w:jc w:val="both"/>
        <w:rPr>
          <w:rFonts w:ascii="Tahoma" w:hAnsi="Tahoma"/>
          <w:rtl/>
        </w:rPr>
      </w:pPr>
      <w:r>
        <w:rPr>
          <w:rFonts w:hint="cs"/>
          <w:rtl/>
        </w:rPr>
        <w:t xml:space="preserve">לפיכך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41FF4EA1" w14:textId="77777777" w:rsidR="00247C9B" w:rsidRDefault="00247C9B" w:rsidP="00247C9B">
      <w:pPr>
        <w:spacing w:after="120" w:line="360" w:lineRule="auto"/>
        <w:ind w:left="720"/>
        <w:jc w:val="both"/>
        <w:rPr>
          <w:rtl/>
        </w:rPr>
      </w:pPr>
      <w:r>
        <w:rPr>
          <w:rFonts w:hint="cs"/>
          <w:rtl/>
        </w:rPr>
        <w:t>(א)</w:t>
      </w:r>
      <w:r>
        <w:rPr>
          <w:rtl/>
        </w:rPr>
        <w:tab/>
      </w:r>
      <w:r>
        <w:rPr>
          <w:rFonts w:hint="cs"/>
          <w:rtl/>
        </w:rPr>
        <w:t>חמישה חודשי מאסר בפועל.</w:t>
      </w:r>
    </w:p>
    <w:p w14:paraId="7A785DD0" w14:textId="77777777" w:rsidR="00247C9B" w:rsidRDefault="00247C9B" w:rsidP="00247C9B">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21.11.17.</w:t>
      </w:r>
    </w:p>
    <w:p w14:paraId="76B3E0E8" w14:textId="77777777" w:rsidR="00247C9B" w:rsidRDefault="00247C9B" w:rsidP="00247C9B">
      <w:pPr>
        <w:spacing w:after="120" w:line="360" w:lineRule="auto"/>
        <w:ind w:left="1440"/>
        <w:jc w:val="both"/>
        <w:rPr>
          <w:rFonts w:ascii="Tahoma" w:hAnsi="Tahoma"/>
          <w:rtl/>
        </w:rPr>
      </w:pPr>
      <w:r>
        <w:rPr>
          <w:rFonts w:ascii="Tahoma" w:hAnsi="Tahoma" w:hint="cs"/>
          <w:rtl/>
        </w:rPr>
        <w:t>נוכח האמור בחוות דעת זו (והקודמות לה) נקבע בזה, כחלק מתנאי עבודות השירות, תנאי של ניקיון מסמים. לצורך כך יהא הנאשם חייב למסור לממונה דגימות שתן, בהתאם לדרישות הממונה.</w:t>
      </w:r>
    </w:p>
    <w:p w14:paraId="6DC8174B" w14:textId="77777777" w:rsidR="00247C9B" w:rsidRDefault="00247C9B" w:rsidP="00247C9B">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14.2.18 עד השעה 08:00.</w:t>
      </w:r>
    </w:p>
    <w:p w14:paraId="3032918E" w14:textId="77777777" w:rsidR="00247C9B" w:rsidRPr="00D27F56" w:rsidRDefault="00247C9B" w:rsidP="00247C9B">
      <w:pPr>
        <w:spacing w:after="120" w:line="360" w:lineRule="auto"/>
        <w:ind w:left="1440"/>
        <w:jc w:val="both"/>
        <w:rPr>
          <w:rFonts w:ascii="Tahoma" w:hAnsi="Tahoma"/>
          <w:b/>
          <w:bCs/>
          <w:rtl/>
        </w:rPr>
      </w:pPr>
      <w:r>
        <w:rPr>
          <w:rFonts w:ascii="Tahoma" w:hAnsi="Tahoma" w:hint="cs"/>
          <w:rtl/>
        </w:rPr>
        <w:t xml:space="preserve">מובהר בזה לנאשם כי בכל הקשור לעבודות השירות עליו לציית להוראות הממונה על עבודות השירות, או למי שהוסמך לכך מטעמו. </w:t>
      </w:r>
      <w:r w:rsidRPr="00D27F56">
        <w:rPr>
          <w:rFonts w:ascii="Tahoma" w:hAnsi="Tahoma" w:hint="cs"/>
          <w:b/>
          <w:bCs/>
          <w:rtl/>
        </w:rPr>
        <w:t xml:space="preserve">עוד מובהר לנאשם, כי במידה ולא יציית להוראות כאמור </w:t>
      </w:r>
      <w:r w:rsidRPr="00D27F56">
        <w:rPr>
          <w:rFonts w:ascii="Tahoma" w:hAnsi="Tahoma"/>
          <w:b/>
          <w:bCs/>
          <w:rtl/>
        </w:rPr>
        <w:t>–</w:t>
      </w:r>
      <w:r w:rsidRPr="00D27F56">
        <w:rPr>
          <w:rFonts w:ascii="Tahoma" w:hAnsi="Tahoma" w:hint="cs"/>
          <w:b/>
          <w:bCs/>
          <w:rtl/>
        </w:rPr>
        <w:t xml:space="preserve"> לרבות בכך שיתגלה שימוש בסמים או </w:t>
      </w:r>
      <w:r>
        <w:rPr>
          <w:rFonts w:ascii="Tahoma" w:hAnsi="Tahoma" w:hint="cs"/>
          <w:b/>
          <w:bCs/>
          <w:rtl/>
        </w:rPr>
        <w:t xml:space="preserve">שיבוש או </w:t>
      </w:r>
      <w:r w:rsidRPr="00D27F56">
        <w:rPr>
          <w:rFonts w:ascii="Tahoma" w:hAnsi="Tahoma" w:hint="cs"/>
          <w:b/>
          <w:bCs/>
          <w:rtl/>
        </w:rPr>
        <w:t>ניסיון לש</w:t>
      </w:r>
      <w:r>
        <w:rPr>
          <w:rFonts w:ascii="Tahoma" w:hAnsi="Tahoma" w:hint="cs"/>
          <w:b/>
          <w:bCs/>
          <w:rtl/>
        </w:rPr>
        <w:t>י</w:t>
      </w:r>
      <w:r w:rsidRPr="00D27F56">
        <w:rPr>
          <w:rFonts w:ascii="Tahoma" w:hAnsi="Tahoma" w:hint="cs"/>
          <w:b/>
          <w:bCs/>
          <w:rtl/>
        </w:rPr>
        <w:t>ב</w:t>
      </w:r>
      <w:r>
        <w:rPr>
          <w:rFonts w:ascii="Tahoma" w:hAnsi="Tahoma" w:hint="cs"/>
          <w:b/>
          <w:bCs/>
          <w:rtl/>
        </w:rPr>
        <w:t>ו</w:t>
      </w:r>
      <w:r w:rsidRPr="00D27F56">
        <w:rPr>
          <w:rFonts w:ascii="Tahoma" w:hAnsi="Tahoma" w:hint="cs"/>
          <w:b/>
          <w:bCs/>
          <w:rtl/>
        </w:rPr>
        <w:t xml:space="preserve">ש בדיקות </w:t>
      </w:r>
      <w:r>
        <w:rPr>
          <w:rFonts w:ascii="Tahoma" w:hAnsi="Tahoma" w:hint="cs"/>
          <w:b/>
          <w:bCs/>
          <w:rtl/>
        </w:rPr>
        <w:t>ה</w:t>
      </w:r>
      <w:r w:rsidRPr="00D27F56">
        <w:rPr>
          <w:rFonts w:ascii="Tahoma" w:hAnsi="Tahoma" w:hint="cs"/>
          <w:b/>
          <w:bCs/>
          <w:rtl/>
        </w:rPr>
        <w:t xml:space="preserve">שתן </w:t>
      </w:r>
      <w:r w:rsidRPr="00D27F56">
        <w:rPr>
          <w:rFonts w:ascii="Tahoma" w:hAnsi="Tahoma"/>
          <w:b/>
          <w:bCs/>
          <w:rtl/>
        </w:rPr>
        <w:t>–</w:t>
      </w:r>
      <w:r w:rsidRPr="00D27F56">
        <w:rPr>
          <w:rFonts w:ascii="Tahoma" w:hAnsi="Tahoma" w:hint="cs"/>
          <w:b/>
          <w:bCs/>
          <w:rtl/>
        </w:rPr>
        <w:t xml:space="preserve"> ה</w:t>
      </w:r>
      <w:r>
        <w:rPr>
          <w:rFonts w:ascii="Tahoma" w:hAnsi="Tahoma" w:hint="cs"/>
          <w:b/>
          <w:bCs/>
          <w:rtl/>
        </w:rPr>
        <w:t xml:space="preserve">וא </w:t>
      </w:r>
      <w:r w:rsidRPr="00D27F56">
        <w:rPr>
          <w:rFonts w:ascii="Tahoma" w:hAnsi="Tahoma" w:hint="cs"/>
          <w:b/>
          <w:bCs/>
          <w:rtl/>
        </w:rPr>
        <w:t>עשוי לשאת את מאסרו, או את יתרת מאסרו, במאסר מאחורי סורג ובריח בבית סוהר.</w:t>
      </w:r>
    </w:p>
    <w:p w14:paraId="1F06D16D" w14:textId="77777777" w:rsidR="00247C9B" w:rsidRDefault="00247C9B" w:rsidP="00247C9B">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4 חודשים, אותו לא יישא הנאשם אלא אם כן יעבור, תוך שלוש שנים מהיום, עבירה </w:t>
      </w:r>
      <w:r>
        <w:rPr>
          <w:rFonts w:ascii="Tahoma" w:hAnsi="Tahoma" w:hint="cs"/>
          <w:rtl/>
        </w:rPr>
        <w:t xml:space="preserve">של סחר בחומר אסור להפצה לפי </w:t>
      </w:r>
      <w:hyperlink r:id="rId31" w:history="1">
        <w:r w:rsidR="00672690" w:rsidRPr="00672690">
          <w:rPr>
            <w:rStyle w:val="Hyperlink"/>
            <w:rFonts w:ascii="Tahoma" w:hAnsi="Tahoma" w:hint="eastAsia"/>
            <w:rtl/>
          </w:rPr>
          <w:t>חוק</w:t>
        </w:r>
        <w:r w:rsidR="00672690" w:rsidRPr="00672690">
          <w:rPr>
            <w:rStyle w:val="Hyperlink"/>
            <w:rFonts w:ascii="Tahoma" w:hAnsi="Tahoma"/>
            <w:rtl/>
          </w:rPr>
          <w:t xml:space="preserve"> המאבק בתופעת השימוש בחומרים מסכנים</w:t>
        </w:r>
      </w:hyperlink>
      <w:r>
        <w:rPr>
          <w:rFonts w:ascii="Tahoma" w:hAnsi="Tahoma" w:hint="cs"/>
          <w:rtl/>
        </w:rPr>
        <w:t xml:space="preserve"> או עבירה מסוג פשע לפי הוראות </w:t>
      </w:r>
      <w:hyperlink r:id="rId32" w:history="1">
        <w:r w:rsidR="00672690" w:rsidRPr="00672690">
          <w:rPr>
            <w:rStyle w:val="Hyperlink"/>
            <w:rFonts w:ascii="Tahoma" w:hAnsi="Tahoma" w:hint="eastAsia"/>
            <w:rtl/>
          </w:rPr>
          <w:t>פקודת</w:t>
        </w:r>
        <w:r w:rsidR="00672690" w:rsidRPr="00672690">
          <w:rPr>
            <w:rStyle w:val="Hyperlink"/>
            <w:rFonts w:ascii="Tahoma" w:hAnsi="Tahoma"/>
            <w:rtl/>
          </w:rPr>
          <w:t xml:space="preserve"> הסמים המסוכנים</w:t>
        </w:r>
      </w:hyperlink>
      <w:r>
        <w:rPr>
          <w:rFonts w:ascii="Tahoma" w:hAnsi="Tahoma" w:hint="cs"/>
          <w:rtl/>
        </w:rPr>
        <w:t>.</w:t>
      </w:r>
    </w:p>
    <w:p w14:paraId="639CF818" w14:textId="77777777" w:rsidR="00247C9B" w:rsidRPr="00E0628E" w:rsidRDefault="00247C9B" w:rsidP="00247C9B">
      <w:pPr>
        <w:spacing w:after="120" w:line="360" w:lineRule="auto"/>
        <w:ind w:left="720"/>
        <w:jc w:val="both"/>
        <w:rPr>
          <w:rFonts w:ascii="Tahoma" w:hAnsi="Tahoma"/>
        </w:rPr>
      </w:pPr>
      <w:r>
        <w:rPr>
          <w:rFonts w:hint="cs"/>
          <w:rtl/>
        </w:rPr>
        <w:t>(ג)</w:t>
      </w:r>
      <w:r>
        <w:rPr>
          <w:rtl/>
        </w:rPr>
        <w:tab/>
      </w:r>
      <w:r>
        <w:rPr>
          <w:rFonts w:hint="cs"/>
          <w:rtl/>
        </w:rPr>
        <w:t>קנס בסך של 3,000 ₪, או 20 ימי מאסר תמורתו.</w:t>
      </w:r>
    </w:p>
    <w:p w14:paraId="17E6A516" w14:textId="77777777" w:rsidR="00247C9B" w:rsidRDefault="00247C9B" w:rsidP="00247C9B">
      <w:pPr>
        <w:spacing w:after="120" w:line="360" w:lineRule="auto"/>
        <w:ind w:left="1440"/>
        <w:jc w:val="both"/>
        <w:rPr>
          <w:rFonts w:ascii="Tahoma" w:hAnsi="Tahoma"/>
        </w:rPr>
      </w:pPr>
      <w:r>
        <w:rPr>
          <w:rFonts w:hint="cs"/>
          <w:rtl/>
        </w:rPr>
        <w:t>הקנס ישולם בשישה תשלומים חודשיים, שווים ורצופים, החל מיום 1.7.18 ובכל ראשון לחודש שלאחריו. היה והנאשם לא ישלם את אחד התשלומים במועד תועמד כל יתרת הקנס לפירעון מידי.</w:t>
      </w:r>
    </w:p>
    <w:p w14:paraId="0657F3D8" w14:textId="77777777" w:rsidR="00247C9B" w:rsidRDefault="00247C9B" w:rsidP="00247C9B">
      <w:pPr>
        <w:spacing w:after="120" w:line="360" w:lineRule="auto"/>
        <w:jc w:val="both"/>
        <w:rPr>
          <w:rtl/>
        </w:rPr>
      </w:pPr>
      <w:r>
        <w:rPr>
          <w:rFonts w:hint="cs"/>
          <w:rtl/>
        </w:rPr>
        <w:t>הכסף המזומן, מכשיר הטלפון הנייד והמחשב הנייד, אשר נתפסו ברשות הנאשם, יושבו לנאשם. החומרים המסכנים שנתפסו, וכליהם, יושמדו.</w:t>
      </w:r>
    </w:p>
    <w:p w14:paraId="77325771" w14:textId="77777777" w:rsidR="00247C9B" w:rsidRDefault="00247C9B" w:rsidP="00247C9B">
      <w:pPr>
        <w:snapToGrid w:val="0"/>
        <w:spacing w:after="120" w:line="360" w:lineRule="auto"/>
        <w:jc w:val="both"/>
        <w:rPr>
          <w:rtl/>
        </w:rPr>
      </w:pPr>
      <w:r>
        <w:rPr>
          <w:rFonts w:hint="cs"/>
          <w:rtl/>
        </w:rPr>
        <w:t>זכות ערעור בתוך 45 יום מהיום.</w:t>
      </w:r>
    </w:p>
    <w:p w14:paraId="6151902C" w14:textId="77777777" w:rsidR="00247C9B" w:rsidRPr="00250B83" w:rsidRDefault="00672690" w:rsidP="00247C9B">
      <w:pPr>
        <w:spacing w:line="360" w:lineRule="auto"/>
        <w:jc w:val="both"/>
        <w:rPr>
          <w:rFonts w:ascii="Arial" w:hAnsi="Arial"/>
        </w:rPr>
      </w:pPr>
      <w:r w:rsidRPr="00672690">
        <w:rPr>
          <w:rFonts w:ascii="Arial" w:hAnsi="Arial"/>
          <w:color w:val="FFFFFF"/>
          <w:sz w:val="2"/>
          <w:szCs w:val="2"/>
          <w:rtl/>
        </w:rPr>
        <w:t>5129371</w:t>
      </w:r>
      <w:r>
        <w:rPr>
          <w:rFonts w:ascii="Arial" w:hAnsi="Arial"/>
          <w:rtl/>
        </w:rPr>
        <w:t xml:space="preserve">ניתן היום, כ"ה כסלו תשע"ח, 13 דצמבר 2017, במעמד הצדדים. </w:t>
      </w:r>
    </w:p>
    <w:p w14:paraId="1114C739" w14:textId="77777777" w:rsidR="00247C9B" w:rsidRPr="00672690" w:rsidRDefault="00672690" w:rsidP="00247C9B">
      <w:pPr>
        <w:rPr>
          <w:color w:val="FFFFFF"/>
          <w:sz w:val="2"/>
          <w:szCs w:val="2"/>
          <w:rtl/>
        </w:rPr>
      </w:pPr>
      <w:r w:rsidRPr="00672690">
        <w:rPr>
          <w:color w:val="FFFFFF"/>
          <w:sz w:val="2"/>
          <w:szCs w:val="2"/>
          <w:rtl/>
        </w:rPr>
        <w:t>54678313</w:t>
      </w:r>
    </w:p>
    <w:p w14:paraId="652B8403" w14:textId="77777777" w:rsidR="00247C9B" w:rsidRPr="00250B83" w:rsidRDefault="00247C9B" w:rsidP="00247C9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1744AAB" w14:textId="77777777" w:rsidR="00247C9B" w:rsidRPr="00250B83" w:rsidRDefault="00247C9B" w:rsidP="00247C9B">
      <w:pPr>
        <w:jc w:val="center"/>
        <w:rPr>
          <w:rFonts w:ascii="Arial" w:hAnsi="Arial"/>
          <w:rtl/>
        </w:rPr>
      </w:pPr>
    </w:p>
    <w:p w14:paraId="75616B51" w14:textId="77777777" w:rsidR="00247C9B" w:rsidRPr="00250B83" w:rsidRDefault="00247C9B" w:rsidP="00247C9B">
      <w:pPr>
        <w:rPr>
          <w:rtl/>
        </w:rPr>
      </w:pPr>
    </w:p>
    <w:p w14:paraId="355F0387" w14:textId="77777777" w:rsidR="00247C9B" w:rsidRDefault="00247C9B" w:rsidP="00247C9B">
      <w:pPr>
        <w:pStyle w:val="a3"/>
        <w:jc w:val="center"/>
        <w:rPr>
          <w:rtl/>
        </w:rPr>
      </w:pPr>
    </w:p>
    <w:p w14:paraId="19172AB0" w14:textId="77777777" w:rsidR="00672690" w:rsidRPr="00672690" w:rsidRDefault="00672690" w:rsidP="00672690">
      <w:pPr>
        <w:keepNext/>
        <w:rPr>
          <w:rFonts w:ascii="David" w:hAnsi="David"/>
          <w:color w:val="000000"/>
          <w:sz w:val="22"/>
          <w:szCs w:val="22"/>
          <w:rtl/>
        </w:rPr>
      </w:pPr>
    </w:p>
    <w:p w14:paraId="28CD50D8" w14:textId="77777777" w:rsidR="00672690" w:rsidRPr="00672690" w:rsidRDefault="00672690" w:rsidP="00672690">
      <w:pPr>
        <w:keepNext/>
        <w:rPr>
          <w:rFonts w:ascii="David" w:hAnsi="David"/>
          <w:color w:val="000000"/>
          <w:sz w:val="22"/>
          <w:szCs w:val="22"/>
          <w:rtl/>
        </w:rPr>
      </w:pPr>
      <w:r w:rsidRPr="00672690">
        <w:rPr>
          <w:rFonts w:ascii="David" w:hAnsi="David"/>
          <w:color w:val="000000"/>
          <w:sz w:val="22"/>
          <w:szCs w:val="22"/>
          <w:rtl/>
        </w:rPr>
        <w:t>שאול אבינור 54678313</w:t>
      </w:r>
    </w:p>
    <w:p w14:paraId="67A33D11" w14:textId="77777777" w:rsidR="00672690" w:rsidRDefault="00672690" w:rsidP="00672690">
      <w:pPr>
        <w:rPr>
          <w:color w:val="000000"/>
          <w:rtl/>
        </w:rPr>
      </w:pPr>
      <w:r w:rsidRPr="00672690">
        <w:rPr>
          <w:color w:val="000000"/>
          <w:rtl/>
        </w:rPr>
        <w:t>נוסח מסמך זה כפוף לשינויי ניסוח ועריכה</w:t>
      </w:r>
    </w:p>
    <w:p w14:paraId="7C6AA3C4" w14:textId="77777777" w:rsidR="00672690" w:rsidRDefault="00672690" w:rsidP="00672690">
      <w:pPr>
        <w:rPr>
          <w:rtl/>
        </w:rPr>
      </w:pPr>
    </w:p>
    <w:p w14:paraId="22199A4E" w14:textId="77777777" w:rsidR="00672690" w:rsidRDefault="00672690" w:rsidP="00672690">
      <w:pPr>
        <w:jc w:val="center"/>
        <w:rPr>
          <w:color w:val="0000FF"/>
          <w:u w:val="single"/>
          <w:rtl/>
        </w:rPr>
      </w:pPr>
      <w:hyperlink r:id="rId33" w:history="1">
        <w:r>
          <w:rPr>
            <w:rStyle w:val="Hyperlink"/>
            <w:rtl/>
          </w:rPr>
          <w:t>בעניין עריכה ושינויים במסמכי פסיקה, חקיקה ועוד באתר נבו – הקש כאן</w:t>
        </w:r>
      </w:hyperlink>
      <w:r w:rsidR="00926CEE">
        <w:rPr>
          <w:rFonts w:hint="cs"/>
          <w:color w:val="0000FF"/>
          <w:u w:val="single"/>
          <w:rtl/>
        </w:rPr>
        <w:t xml:space="preserve"> </w:t>
      </w:r>
    </w:p>
    <w:p w14:paraId="4B415ECD" w14:textId="77777777" w:rsidR="002D7B2F" w:rsidRPr="00672690" w:rsidRDefault="002D7B2F" w:rsidP="00672690">
      <w:pPr>
        <w:jc w:val="center"/>
        <w:rPr>
          <w:color w:val="0000FF"/>
          <w:u w:val="single"/>
        </w:rPr>
      </w:pPr>
    </w:p>
    <w:sectPr w:rsidR="002D7B2F" w:rsidRPr="00672690" w:rsidSect="0067269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77C18" w14:textId="77777777" w:rsidR="00EA22AB" w:rsidRDefault="00EA22AB">
      <w:r>
        <w:separator/>
      </w:r>
    </w:p>
  </w:endnote>
  <w:endnote w:type="continuationSeparator" w:id="0">
    <w:p w14:paraId="5364F3FA" w14:textId="77777777" w:rsidR="00EA22AB" w:rsidRDefault="00EA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B5AB" w14:textId="77777777" w:rsidR="00555AA3" w:rsidRDefault="00555AA3" w:rsidP="006726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B260CD" w14:textId="77777777" w:rsidR="00555AA3" w:rsidRPr="00672690" w:rsidRDefault="00555AA3" w:rsidP="00672690">
    <w:pPr>
      <w:pStyle w:val="a5"/>
      <w:pBdr>
        <w:top w:val="single" w:sz="4" w:space="1" w:color="auto"/>
        <w:between w:val="single" w:sz="4" w:space="0" w:color="auto"/>
      </w:pBdr>
      <w:spacing w:after="60"/>
      <w:jc w:val="center"/>
      <w:rPr>
        <w:rFonts w:ascii="FrankRuehl" w:hAnsi="FrankRuehl" w:cs="FrankRuehl"/>
        <w:color w:val="000000"/>
      </w:rPr>
    </w:pPr>
    <w:r w:rsidRPr="006726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D58CF" w14:textId="77777777" w:rsidR="00555AA3" w:rsidRDefault="00555AA3" w:rsidP="006726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7F37">
      <w:rPr>
        <w:rFonts w:ascii="FrankRuehl" w:hAnsi="FrankRuehl" w:cs="FrankRuehl"/>
        <w:noProof/>
        <w:rtl/>
      </w:rPr>
      <w:t>1</w:t>
    </w:r>
    <w:r>
      <w:rPr>
        <w:rFonts w:ascii="FrankRuehl" w:hAnsi="FrankRuehl" w:cs="FrankRuehl"/>
        <w:rtl/>
      </w:rPr>
      <w:fldChar w:fldCharType="end"/>
    </w:r>
  </w:p>
  <w:p w14:paraId="6E04C8CD" w14:textId="77777777" w:rsidR="00555AA3" w:rsidRPr="00672690" w:rsidRDefault="00555AA3" w:rsidP="00672690">
    <w:pPr>
      <w:pStyle w:val="a5"/>
      <w:pBdr>
        <w:top w:val="single" w:sz="4" w:space="1" w:color="auto"/>
        <w:between w:val="single" w:sz="4" w:space="0" w:color="auto"/>
      </w:pBdr>
      <w:spacing w:after="60"/>
      <w:jc w:val="center"/>
      <w:rPr>
        <w:rFonts w:ascii="FrankRuehl" w:hAnsi="FrankRuehl" w:cs="FrankRuehl"/>
        <w:color w:val="000000"/>
      </w:rPr>
    </w:pPr>
    <w:r w:rsidRPr="00672690">
      <w:rPr>
        <w:rFonts w:ascii="FrankRuehl" w:hAnsi="FrankRuehl" w:cs="FrankRuehl"/>
        <w:color w:val="000000"/>
      </w:rPr>
      <w:pict w14:anchorId="06DFB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D2010" w14:textId="77777777" w:rsidR="00EA22AB" w:rsidRDefault="00EA22AB">
      <w:r>
        <w:separator/>
      </w:r>
    </w:p>
  </w:footnote>
  <w:footnote w:type="continuationSeparator" w:id="0">
    <w:p w14:paraId="179701CB" w14:textId="77777777" w:rsidR="00EA22AB" w:rsidRDefault="00EA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5A5E3" w14:textId="77777777" w:rsidR="00555AA3" w:rsidRPr="00672690" w:rsidRDefault="00555AA3" w:rsidP="006726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53952-06-15</w:t>
    </w:r>
    <w:r>
      <w:rPr>
        <w:rFonts w:ascii="David" w:hAnsi="David"/>
        <w:color w:val="000000"/>
        <w:sz w:val="22"/>
        <w:szCs w:val="22"/>
        <w:rtl/>
      </w:rPr>
      <w:tab/>
      <w:t xml:space="preserve"> מדינת ישראל נ' ניר גרבי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D20C8" w14:textId="77777777" w:rsidR="00555AA3" w:rsidRPr="00672690" w:rsidRDefault="00555AA3" w:rsidP="006726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53952-06-15</w:t>
    </w:r>
    <w:r>
      <w:rPr>
        <w:rFonts w:ascii="David" w:hAnsi="David"/>
        <w:color w:val="000000"/>
        <w:sz w:val="22"/>
        <w:szCs w:val="22"/>
        <w:rtl/>
      </w:rPr>
      <w:tab/>
      <w:t xml:space="preserve"> מדינת ישראל נ' ניר גרבי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82237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7C9B"/>
    <w:rsid w:val="000A1485"/>
    <w:rsid w:val="00163174"/>
    <w:rsid w:val="002125F7"/>
    <w:rsid w:val="00247C9B"/>
    <w:rsid w:val="002D7B2F"/>
    <w:rsid w:val="00555AA3"/>
    <w:rsid w:val="00672690"/>
    <w:rsid w:val="00857F37"/>
    <w:rsid w:val="008F22D3"/>
    <w:rsid w:val="00926CEE"/>
    <w:rsid w:val="00AA3DBD"/>
    <w:rsid w:val="00B5686E"/>
    <w:rsid w:val="00BA16A0"/>
    <w:rsid w:val="00DA697D"/>
    <w:rsid w:val="00EA22AB"/>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CA8B90A"/>
  <w15:chartTrackingRefBased/>
  <w15:docId w15:val="{A1B0F29E-89D9-49EA-9ADE-3F88C18E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7C9B"/>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47C9B"/>
    <w:pPr>
      <w:tabs>
        <w:tab w:val="center" w:pos="4153"/>
        <w:tab w:val="right" w:pos="8306"/>
      </w:tabs>
    </w:pPr>
  </w:style>
  <w:style w:type="character" w:customStyle="1" w:styleId="a4">
    <w:name w:val="כותרת עליונה תו"/>
    <w:link w:val="a3"/>
    <w:rsid w:val="00247C9B"/>
    <w:rPr>
      <w:rFonts w:ascii="Times New Roman" w:eastAsia="Times New Roman" w:hAnsi="Times New Roman" w:cs="David"/>
      <w:sz w:val="24"/>
      <w:szCs w:val="24"/>
    </w:rPr>
  </w:style>
  <w:style w:type="paragraph" w:styleId="a5">
    <w:name w:val="footer"/>
    <w:basedOn w:val="a"/>
    <w:link w:val="a6"/>
    <w:rsid w:val="00247C9B"/>
    <w:pPr>
      <w:tabs>
        <w:tab w:val="center" w:pos="4153"/>
        <w:tab w:val="right" w:pos="8306"/>
      </w:tabs>
    </w:pPr>
  </w:style>
  <w:style w:type="character" w:customStyle="1" w:styleId="a6">
    <w:name w:val="כותרת תחתונה תו"/>
    <w:link w:val="a5"/>
    <w:rsid w:val="00247C9B"/>
    <w:rPr>
      <w:rFonts w:ascii="Times New Roman" w:eastAsia="Times New Roman" w:hAnsi="Times New Roman" w:cs="David"/>
      <w:sz w:val="24"/>
      <w:szCs w:val="24"/>
    </w:rPr>
  </w:style>
  <w:style w:type="table" w:styleId="a7">
    <w:name w:val="Table Grid"/>
    <w:basedOn w:val="a1"/>
    <w:rsid w:val="00247C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7C9B"/>
  </w:style>
  <w:style w:type="character" w:styleId="Hyperlink">
    <w:name w:val="Hyperlink"/>
    <w:rsid w:val="00672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ja" TargetMode="External"/><Relationship Id="rId39" Type="http://schemas.openxmlformats.org/officeDocument/2006/relationships/theme" Target="theme/theme1.xml"/><Relationship Id="rId21" Type="http://schemas.openxmlformats.org/officeDocument/2006/relationships/hyperlink" Target="http://www.nevo.co.il/law/4216" TargetMode="External"/><Relationship Id="rId34" Type="http://schemas.openxmlformats.org/officeDocument/2006/relationships/header" Target="header1.xml"/><Relationship Id="rId7" Type="http://schemas.openxmlformats.org/officeDocument/2006/relationships/hyperlink" Target="http://www.nevo.co.il/law/127622"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127622" TargetMode="External"/><Relationship Id="rId20" Type="http://schemas.openxmlformats.org/officeDocument/2006/relationships/hyperlink" Target="http://www.nevo.co.il/case/22754690"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127622/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ja.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12930824" TargetMode="External"/><Relationship Id="rId31"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40ja.6" TargetMode="External"/><Relationship Id="rId22" Type="http://schemas.openxmlformats.org/officeDocument/2006/relationships/hyperlink" Target="http://www.nevo.co.il/law/70301/40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127622/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1749</Words>
  <Characters>8749</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10478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4980820</vt:i4>
      </vt:variant>
      <vt:variant>
        <vt:i4>72</vt:i4>
      </vt:variant>
      <vt:variant>
        <vt:i4>0</vt:i4>
      </vt:variant>
      <vt:variant>
        <vt:i4>5</vt:i4>
      </vt:variant>
      <vt:variant>
        <vt:lpwstr>http://www.nevo.co.il/law/127622</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3276837</vt:i4>
      </vt:variant>
      <vt:variant>
        <vt:i4>63</vt:i4>
      </vt:variant>
      <vt:variant>
        <vt:i4>0</vt:i4>
      </vt:variant>
      <vt:variant>
        <vt:i4>5</vt:i4>
      </vt:variant>
      <vt:variant>
        <vt:lpwstr>http://www.nevo.co.il/law/70301/40ja.6</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8257637</vt:i4>
      </vt:variant>
      <vt:variant>
        <vt:i4>42</vt:i4>
      </vt:variant>
      <vt:variant>
        <vt:i4>0</vt:i4>
      </vt:variant>
      <vt:variant>
        <vt:i4>5</vt:i4>
      </vt:variant>
      <vt:variant>
        <vt:lpwstr>http://www.nevo.co.il/law/4216</vt:lpwstr>
      </vt:variant>
      <vt:variant>
        <vt:lpwstr/>
      </vt:variant>
      <vt:variant>
        <vt:i4>3670133</vt:i4>
      </vt:variant>
      <vt:variant>
        <vt:i4>39</vt:i4>
      </vt:variant>
      <vt:variant>
        <vt:i4>0</vt:i4>
      </vt:variant>
      <vt:variant>
        <vt:i4>5</vt:i4>
      </vt:variant>
      <vt:variant>
        <vt:lpwstr>http://www.nevo.co.il/case/22754690</vt:lpwstr>
      </vt:variant>
      <vt:variant>
        <vt:lpwstr/>
      </vt:variant>
      <vt:variant>
        <vt:i4>3801213</vt:i4>
      </vt:variant>
      <vt:variant>
        <vt:i4>36</vt:i4>
      </vt:variant>
      <vt:variant>
        <vt:i4>0</vt:i4>
      </vt:variant>
      <vt:variant>
        <vt:i4>5</vt:i4>
      </vt:variant>
      <vt:variant>
        <vt:lpwstr>http://www.nevo.co.il/case/12930824</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4980820</vt:i4>
      </vt:variant>
      <vt:variant>
        <vt:i4>27</vt:i4>
      </vt:variant>
      <vt:variant>
        <vt:i4>0</vt:i4>
      </vt:variant>
      <vt:variant>
        <vt:i4>5</vt:i4>
      </vt:variant>
      <vt:variant>
        <vt:lpwstr>http://www.nevo.co.il/law/127622</vt:lpwstr>
      </vt:variant>
      <vt:variant>
        <vt:lpwstr/>
      </vt:variant>
      <vt:variant>
        <vt:i4>1704021</vt:i4>
      </vt:variant>
      <vt:variant>
        <vt:i4>24</vt:i4>
      </vt:variant>
      <vt:variant>
        <vt:i4>0</vt:i4>
      </vt:variant>
      <vt:variant>
        <vt:i4>5</vt:i4>
      </vt:variant>
      <vt:variant>
        <vt:lpwstr>http://www.nevo.co.il/law/127622/7.a</vt:lpwstr>
      </vt:variant>
      <vt:variant>
        <vt:lpwstr/>
      </vt:variant>
      <vt:variant>
        <vt:i4>3276837</vt:i4>
      </vt:variant>
      <vt:variant>
        <vt:i4>21</vt:i4>
      </vt:variant>
      <vt:variant>
        <vt:i4>0</vt:i4>
      </vt:variant>
      <vt:variant>
        <vt:i4>5</vt:i4>
      </vt:variant>
      <vt:variant>
        <vt:lpwstr>http://www.nevo.co.il/law/70301/40ja.6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53952</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ניר גרבי</vt:lpwstr>
  </property>
  <property fmtid="{D5CDD505-2E9C-101B-9397-08002B2CF9AE}" pid="10" name="LAWYER">
    <vt:lpwstr>אלברט זמנסקי;רותי סינואני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20171213</vt:lpwstr>
  </property>
  <property fmtid="{D5CDD505-2E9C-101B-9397-08002B2CF9AE}" pid="14" name="TYPE_N_DATE">
    <vt:lpwstr>38020171213</vt:lpwstr>
  </property>
  <property fmtid="{D5CDD505-2E9C-101B-9397-08002B2CF9AE}" pid="15" name="CASESLISTTMP1">
    <vt:lpwstr>12930824;22754690</vt:lpwstr>
  </property>
  <property fmtid="{D5CDD505-2E9C-101B-9397-08002B2CF9AE}" pid="16" name="WORDNUMPAGES">
    <vt:lpwstr>6</vt:lpwstr>
  </property>
  <property fmtid="{D5CDD505-2E9C-101B-9397-08002B2CF9AE}" pid="17" name="TYPE_ABS_DATE">
    <vt:lpwstr>380020171213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127622/007.a</vt:lpwstr>
  </property>
  <property fmtid="{D5CDD505-2E9C-101B-9397-08002B2CF9AE}" pid="37" name="LAWLISTTMP2">
    <vt:lpwstr>4216:5</vt:lpwstr>
  </property>
  <property fmtid="{D5CDD505-2E9C-101B-9397-08002B2CF9AE}" pid="38" name="LAWLISTTMP3">
    <vt:lpwstr>70301/040c;040i;40ja;40ja.6</vt:lpwstr>
  </property>
</Properties>
</file>