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270083" w:rsidRPr="00DC790C" w14:paraId="2D26D4F2" w14:textId="77777777">
        <w:trPr>
          <w:trHeight w:hRule="exact" w:val="418"/>
          <w:jc w:val="center"/>
        </w:trPr>
        <w:tc>
          <w:tcPr>
            <w:tcW w:w="8721" w:type="dxa"/>
            <w:gridSpan w:val="2"/>
          </w:tcPr>
          <w:p w14:paraId="413519AD" w14:textId="77777777" w:rsidR="00270083" w:rsidRPr="00DC790C" w:rsidRDefault="00270083" w:rsidP="00DC790C">
            <w:pPr>
              <w:pStyle w:val="a3"/>
              <w:jc w:val="center"/>
              <w:rPr>
                <w:rFonts w:ascii="Tahoma" w:hAnsi="Tahoma" w:cs="Tahoma"/>
                <w:color w:val="000080"/>
                <w:rtl/>
              </w:rPr>
            </w:pPr>
            <w:r w:rsidRPr="00DC790C">
              <w:rPr>
                <w:rFonts w:ascii="Tahoma" w:hAnsi="Tahoma" w:cs="Tahoma"/>
                <w:b/>
                <w:bCs/>
                <w:color w:val="000080"/>
                <w:rtl/>
              </w:rPr>
              <w:t>בית משפט השלום בירושלים</w:t>
            </w:r>
          </w:p>
        </w:tc>
      </w:tr>
      <w:tr w:rsidR="00270083" w:rsidRPr="00DC790C" w14:paraId="4157115D" w14:textId="77777777">
        <w:trPr>
          <w:trHeight w:val="337"/>
          <w:jc w:val="center"/>
        </w:trPr>
        <w:tc>
          <w:tcPr>
            <w:tcW w:w="5056" w:type="dxa"/>
          </w:tcPr>
          <w:p w14:paraId="45C40C40" w14:textId="77777777" w:rsidR="00270083" w:rsidRPr="00DC790C" w:rsidRDefault="00270083" w:rsidP="00DC790C">
            <w:pPr>
              <w:rPr>
                <w:rFonts w:cs="FrankRuehl"/>
                <w:sz w:val="28"/>
                <w:szCs w:val="28"/>
                <w:rtl/>
              </w:rPr>
            </w:pPr>
            <w:r w:rsidRPr="00DC790C">
              <w:rPr>
                <w:rFonts w:cs="FrankRuehl"/>
                <w:sz w:val="28"/>
                <w:szCs w:val="28"/>
                <w:rtl/>
              </w:rPr>
              <w:t>ת"פ</w:t>
            </w:r>
            <w:r w:rsidRPr="00DC790C">
              <w:rPr>
                <w:rFonts w:cs="FrankRuehl" w:hint="cs"/>
                <w:sz w:val="28"/>
                <w:szCs w:val="28"/>
                <w:rtl/>
              </w:rPr>
              <w:t xml:space="preserve"> </w:t>
            </w:r>
            <w:r w:rsidRPr="00DC790C">
              <w:rPr>
                <w:rFonts w:cs="FrankRuehl"/>
                <w:sz w:val="28"/>
                <w:szCs w:val="28"/>
                <w:rtl/>
              </w:rPr>
              <w:t>56842-06-15</w:t>
            </w:r>
            <w:r w:rsidRPr="00DC790C">
              <w:rPr>
                <w:rFonts w:cs="FrankRuehl" w:hint="cs"/>
                <w:sz w:val="28"/>
                <w:szCs w:val="28"/>
                <w:rtl/>
              </w:rPr>
              <w:t xml:space="preserve"> </w:t>
            </w:r>
            <w:r w:rsidRPr="00DC790C">
              <w:rPr>
                <w:rFonts w:cs="FrankRuehl"/>
                <w:sz w:val="28"/>
                <w:szCs w:val="28"/>
                <w:rtl/>
              </w:rPr>
              <w:t>מדינת ישראל נ' רוזנבלום(עציר)</w:t>
            </w:r>
          </w:p>
          <w:p w14:paraId="0D16BFE8" w14:textId="77777777" w:rsidR="00270083" w:rsidRPr="00DC790C" w:rsidRDefault="00270083" w:rsidP="00DC790C">
            <w:pPr>
              <w:pStyle w:val="a3"/>
              <w:rPr>
                <w:rtl/>
              </w:rPr>
            </w:pPr>
          </w:p>
          <w:p w14:paraId="3CCCD3CA" w14:textId="77777777" w:rsidR="00270083" w:rsidRPr="00DC790C" w:rsidRDefault="00270083" w:rsidP="00DC790C">
            <w:pPr>
              <w:pStyle w:val="a3"/>
              <w:rPr>
                <w:rFonts w:cs="FrankRuehl"/>
                <w:sz w:val="28"/>
                <w:szCs w:val="28"/>
                <w:rtl/>
              </w:rPr>
            </w:pPr>
          </w:p>
        </w:tc>
        <w:tc>
          <w:tcPr>
            <w:tcW w:w="3665" w:type="dxa"/>
          </w:tcPr>
          <w:p w14:paraId="18E5C22E" w14:textId="77777777" w:rsidR="00270083" w:rsidRPr="00DC790C" w:rsidRDefault="00270083" w:rsidP="00DC790C">
            <w:pPr>
              <w:pStyle w:val="a3"/>
              <w:jc w:val="right"/>
              <w:rPr>
                <w:rFonts w:cs="FrankRuehl"/>
                <w:sz w:val="28"/>
                <w:szCs w:val="28"/>
                <w:rtl/>
              </w:rPr>
            </w:pPr>
            <w:r w:rsidRPr="00DC790C">
              <w:rPr>
                <w:rFonts w:cs="FrankRuehl"/>
                <w:sz w:val="28"/>
                <w:szCs w:val="28"/>
                <w:rtl/>
              </w:rPr>
              <w:t>20 ינואר 2016</w:t>
            </w:r>
          </w:p>
        </w:tc>
      </w:tr>
    </w:tbl>
    <w:p w14:paraId="4441EE88" w14:textId="77777777" w:rsidR="00270083" w:rsidRPr="00DC790C" w:rsidRDefault="00270083" w:rsidP="00270083">
      <w:pPr>
        <w:pStyle w:val="a3"/>
        <w:rPr>
          <w:rtl/>
        </w:rPr>
      </w:pPr>
      <w:r w:rsidRPr="00DC790C">
        <w:rPr>
          <w:rFonts w:hint="cs"/>
          <w:rtl/>
        </w:rPr>
        <w:t xml:space="preserve"> </w:t>
      </w:r>
    </w:p>
    <w:p w14:paraId="3068B7C4" w14:textId="77777777" w:rsidR="00270083" w:rsidRPr="00DC790C" w:rsidRDefault="00270083" w:rsidP="00270083">
      <w:pPr>
        <w:pStyle w:val="a3"/>
      </w:pPr>
      <w:r w:rsidRPr="00DC790C">
        <w:rPr>
          <w:rFonts w:cs="Times New Roman" w:hint="cs"/>
          <w:b/>
          <w:bCs/>
          <w:sz w:val="26"/>
          <w:szCs w:val="28"/>
          <w:rtl/>
        </w:rPr>
        <w:t xml:space="preserve"> </w:t>
      </w:r>
    </w:p>
    <w:p w14:paraId="3C5EA44F" w14:textId="77777777" w:rsidR="00270083" w:rsidRPr="00DC790C" w:rsidRDefault="00270083" w:rsidP="0027008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270083" w:rsidRPr="00DC790C" w14:paraId="35268D3C" w14:textId="77777777">
        <w:trPr>
          <w:trHeight w:val="295"/>
          <w:jc w:val="center"/>
        </w:trPr>
        <w:tc>
          <w:tcPr>
            <w:tcW w:w="945" w:type="dxa"/>
            <w:tcBorders>
              <w:top w:val="nil"/>
              <w:left w:val="nil"/>
              <w:bottom w:val="nil"/>
              <w:right w:val="nil"/>
            </w:tcBorders>
            <w:shd w:val="clear" w:color="auto" w:fill="auto"/>
          </w:tcPr>
          <w:p w14:paraId="15D236D4" w14:textId="77777777" w:rsidR="00270083" w:rsidRPr="00DC790C" w:rsidRDefault="00270083" w:rsidP="00DC790C">
            <w:pPr>
              <w:jc w:val="both"/>
              <w:rPr>
                <w:rFonts w:ascii="Arial" w:hAnsi="Arial" w:cs="FrankRuehl"/>
                <w:sz w:val="28"/>
                <w:szCs w:val="28"/>
              </w:rPr>
            </w:pPr>
            <w:r w:rsidRPr="00DC790C">
              <w:rPr>
                <w:rFonts w:ascii="Arial" w:hAnsi="Arial" w:cs="FrankRuehl" w:hint="cs"/>
                <w:sz w:val="28"/>
                <w:szCs w:val="28"/>
                <w:rtl/>
              </w:rPr>
              <w:t>ב</w:t>
            </w:r>
            <w:r w:rsidRPr="00DC790C">
              <w:rPr>
                <w:rFonts w:ascii="Arial" w:hAnsi="Arial" w:cs="FrankRuehl"/>
                <w:sz w:val="28"/>
                <w:szCs w:val="28"/>
                <w:rtl/>
              </w:rPr>
              <w:t xml:space="preserve">פני </w:t>
            </w:r>
          </w:p>
        </w:tc>
        <w:tc>
          <w:tcPr>
            <w:tcW w:w="7875" w:type="dxa"/>
            <w:gridSpan w:val="2"/>
            <w:tcBorders>
              <w:top w:val="nil"/>
              <w:left w:val="nil"/>
              <w:bottom w:val="nil"/>
              <w:right w:val="nil"/>
            </w:tcBorders>
            <w:shd w:val="clear" w:color="auto" w:fill="auto"/>
          </w:tcPr>
          <w:p w14:paraId="3C8E2B79" w14:textId="77777777" w:rsidR="00270083" w:rsidRPr="00DC790C" w:rsidRDefault="00270083" w:rsidP="00DC790C">
            <w:pPr>
              <w:rPr>
                <w:rFonts w:ascii="Arial" w:hAnsi="Arial"/>
                <w:b/>
                <w:bCs/>
              </w:rPr>
            </w:pPr>
            <w:r w:rsidRPr="00DC790C">
              <w:rPr>
                <w:rFonts w:ascii="Arial" w:hAnsi="Arial" w:hint="cs"/>
                <w:b/>
                <w:bCs/>
                <w:rtl/>
              </w:rPr>
              <w:t>כב' השופטת חגית מאק-קלמנוביץ, ס. נשיא</w:t>
            </w:r>
          </w:p>
        </w:tc>
      </w:tr>
      <w:tr w:rsidR="00270083" w:rsidRPr="00DC790C" w14:paraId="1FCA9110" w14:textId="77777777">
        <w:trPr>
          <w:trHeight w:val="355"/>
          <w:jc w:val="center"/>
        </w:trPr>
        <w:tc>
          <w:tcPr>
            <w:tcW w:w="945" w:type="dxa"/>
            <w:tcBorders>
              <w:top w:val="nil"/>
              <w:left w:val="nil"/>
              <w:bottom w:val="nil"/>
              <w:right w:val="nil"/>
            </w:tcBorders>
            <w:shd w:val="clear" w:color="auto" w:fill="auto"/>
          </w:tcPr>
          <w:p w14:paraId="23050D31" w14:textId="77777777" w:rsidR="00270083" w:rsidRPr="00DC790C" w:rsidRDefault="00270083" w:rsidP="00DC790C">
            <w:pPr>
              <w:jc w:val="both"/>
              <w:rPr>
                <w:rFonts w:ascii="Arial" w:hAnsi="Arial"/>
                <w:b/>
                <w:bCs/>
                <w:sz w:val="28"/>
                <w:szCs w:val="28"/>
                <w:rtl/>
              </w:rPr>
            </w:pPr>
            <w:bookmarkStart w:id="0" w:name="FirstAppellant"/>
            <w:bookmarkStart w:id="1" w:name="LastJudge"/>
            <w:bookmarkEnd w:id="1"/>
          </w:p>
          <w:p w14:paraId="13D7D4D7" w14:textId="77777777" w:rsidR="00270083" w:rsidRPr="00DC790C" w:rsidRDefault="00270083" w:rsidP="00DC790C">
            <w:pPr>
              <w:jc w:val="both"/>
              <w:rPr>
                <w:rFonts w:ascii="Arial" w:hAnsi="Arial"/>
                <w:b/>
                <w:bCs/>
                <w:sz w:val="28"/>
                <w:szCs w:val="28"/>
              </w:rPr>
            </w:pPr>
            <w:r w:rsidRPr="00DC790C">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5A0CECE2" w14:textId="77777777" w:rsidR="00270083" w:rsidRPr="00DC790C" w:rsidRDefault="00270083" w:rsidP="00DC790C">
            <w:pPr>
              <w:jc w:val="both"/>
              <w:rPr>
                <w:rFonts w:ascii="Arial" w:hAnsi="Arial"/>
                <w:b/>
                <w:bCs/>
                <w:sz w:val="28"/>
                <w:szCs w:val="28"/>
                <w:rtl/>
              </w:rPr>
            </w:pPr>
          </w:p>
          <w:p w14:paraId="3CE87D75" w14:textId="77777777" w:rsidR="00270083" w:rsidRPr="00DC790C" w:rsidRDefault="00270083" w:rsidP="00DC790C">
            <w:pPr>
              <w:rPr>
                <w:b/>
                <w:bCs/>
              </w:rPr>
            </w:pPr>
            <w:r w:rsidRPr="00DC790C">
              <w:rPr>
                <w:rFonts w:hint="cs"/>
                <w:b/>
                <w:bCs/>
                <w:rtl/>
              </w:rPr>
              <w:t>מדינת ישראל</w:t>
            </w:r>
          </w:p>
          <w:p w14:paraId="3E21C5CC" w14:textId="77777777" w:rsidR="00270083" w:rsidRPr="00DC790C" w:rsidRDefault="00270083" w:rsidP="00DC790C">
            <w:pPr>
              <w:jc w:val="both"/>
              <w:rPr>
                <w:rFonts w:ascii="Arial" w:hAnsi="Arial"/>
                <w:b/>
                <w:bCs/>
                <w:sz w:val="28"/>
                <w:szCs w:val="28"/>
              </w:rPr>
            </w:pPr>
            <w:r w:rsidRPr="00DC790C">
              <w:rPr>
                <w:rFonts w:ascii="Arial" w:hAnsi="Arial" w:hint="cs"/>
                <w:b/>
                <w:bCs/>
                <w:sz w:val="28"/>
                <w:szCs w:val="28"/>
                <w:rtl/>
              </w:rPr>
              <w:t>ע"י ענף תביעות ירושלים</w:t>
            </w:r>
          </w:p>
        </w:tc>
        <w:tc>
          <w:tcPr>
            <w:tcW w:w="3761" w:type="dxa"/>
            <w:tcBorders>
              <w:top w:val="nil"/>
              <w:left w:val="nil"/>
              <w:bottom w:val="nil"/>
              <w:right w:val="nil"/>
            </w:tcBorders>
            <w:shd w:val="clear" w:color="auto" w:fill="auto"/>
          </w:tcPr>
          <w:p w14:paraId="30AE0A36" w14:textId="77777777" w:rsidR="00270083" w:rsidRPr="00DC790C" w:rsidRDefault="00270083" w:rsidP="00DC790C">
            <w:pPr>
              <w:jc w:val="both"/>
              <w:rPr>
                <w:rFonts w:ascii="Arial" w:hAnsi="Arial"/>
                <w:b/>
                <w:bCs/>
                <w:sz w:val="28"/>
                <w:szCs w:val="28"/>
              </w:rPr>
            </w:pPr>
          </w:p>
        </w:tc>
      </w:tr>
      <w:bookmarkEnd w:id="0"/>
      <w:tr w:rsidR="00270083" w:rsidRPr="00DC790C" w14:paraId="630FD868" w14:textId="77777777">
        <w:trPr>
          <w:trHeight w:val="355"/>
          <w:jc w:val="center"/>
        </w:trPr>
        <w:tc>
          <w:tcPr>
            <w:tcW w:w="945" w:type="dxa"/>
            <w:tcBorders>
              <w:top w:val="nil"/>
              <w:left w:val="nil"/>
              <w:bottom w:val="nil"/>
              <w:right w:val="nil"/>
            </w:tcBorders>
            <w:shd w:val="clear" w:color="auto" w:fill="auto"/>
          </w:tcPr>
          <w:p w14:paraId="392BC551" w14:textId="77777777" w:rsidR="00270083" w:rsidRPr="00DC790C" w:rsidRDefault="00270083" w:rsidP="00DC790C">
            <w:pPr>
              <w:jc w:val="both"/>
              <w:rPr>
                <w:rFonts w:ascii="Arial" w:hAnsi="Arial"/>
                <w:b/>
                <w:bCs/>
                <w:sz w:val="28"/>
                <w:szCs w:val="28"/>
                <w:rtl/>
              </w:rPr>
            </w:pPr>
          </w:p>
        </w:tc>
        <w:tc>
          <w:tcPr>
            <w:tcW w:w="4114" w:type="dxa"/>
            <w:tcBorders>
              <w:top w:val="nil"/>
              <w:left w:val="nil"/>
              <w:bottom w:val="nil"/>
              <w:right w:val="nil"/>
            </w:tcBorders>
            <w:shd w:val="clear" w:color="auto" w:fill="auto"/>
          </w:tcPr>
          <w:p w14:paraId="5F3D783C" w14:textId="77777777" w:rsidR="00270083" w:rsidRPr="00DC790C" w:rsidRDefault="00270083" w:rsidP="00DC790C">
            <w:pPr>
              <w:jc w:val="both"/>
              <w:rPr>
                <w:b/>
                <w:bCs/>
                <w:rtl/>
              </w:rPr>
            </w:pPr>
          </w:p>
        </w:tc>
        <w:tc>
          <w:tcPr>
            <w:tcW w:w="3761" w:type="dxa"/>
            <w:tcBorders>
              <w:top w:val="nil"/>
              <w:left w:val="nil"/>
              <w:bottom w:val="nil"/>
              <w:right w:val="nil"/>
            </w:tcBorders>
            <w:shd w:val="clear" w:color="auto" w:fill="auto"/>
          </w:tcPr>
          <w:p w14:paraId="543A7E65" w14:textId="77777777" w:rsidR="00270083" w:rsidRPr="00DC790C" w:rsidRDefault="00270083" w:rsidP="00DC790C">
            <w:pPr>
              <w:jc w:val="right"/>
              <w:rPr>
                <w:rFonts w:ascii="Arial" w:hAnsi="Arial"/>
                <w:b/>
                <w:bCs/>
                <w:sz w:val="28"/>
                <w:szCs w:val="28"/>
                <w:rtl/>
              </w:rPr>
            </w:pPr>
            <w:r w:rsidRPr="00DC790C">
              <w:rPr>
                <w:rFonts w:ascii="Arial" w:hAnsi="Arial" w:hint="cs"/>
                <w:b/>
                <w:bCs/>
                <w:sz w:val="28"/>
                <w:szCs w:val="28"/>
                <w:rtl/>
              </w:rPr>
              <w:t>ה</w:t>
            </w:r>
            <w:r w:rsidRPr="00DC790C">
              <w:rPr>
                <w:rFonts w:hint="cs"/>
                <w:b/>
                <w:bCs/>
                <w:rtl/>
              </w:rPr>
              <w:t>מאשימה</w:t>
            </w:r>
          </w:p>
        </w:tc>
      </w:tr>
      <w:tr w:rsidR="00270083" w:rsidRPr="00DC790C" w14:paraId="6929A77B" w14:textId="77777777">
        <w:trPr>
          <w:trHeight w:val="355"/>
          <w:jc w:val="center"/>
        </w:trPr>
        <w:tc>
          <w:tcPr>
            <w:tcW w:w="945" w:type="dxa"/>
            <w:tcBorders>
              <w:top w:val="nil"/>
              <w:left w:val="nil"/>
              <w:bottom w:val="nil"/>
              <w:right w:val="nil"/>
            </w:tcBorders>
            <w:shd w:val="clear" w:color="auto" w:fill="auto"/>
          </w:tcPr>
          <w:p w14:paraId="71EE0750" w14:textId="77777777" w:rsidR="00270083" w:rsidRPr="00DC790C" w:rsidRDefault="00270083" w:rsidP="00DC790C">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539B79BA" w14:textId="77777777" w:rsidR="00270083" w:rsidRPr="00DC790C" w:rsidRDefault="00270083" w:rsidP="00DC790C">
            <w:pPr>
              <w:jc w:val="center"/>
              <w:rPr>
                <w:rFonts w:ascii="Arial" w:hAnsi="Arial"/>
                <w:b/>
                <w:bCs/>
                <w:sz w:val="28"/>
                <w:szCs w:val="28"/>
                <w:rtl/>
              </w:rPr>
            </w:pPr>
          </w:p>
          <w:p w14:paraId="0E99C38B" w14:textId="77777777" w:rsidR="00270083" w:rsidRPr="00DC790C" w:rsidRDefault="00270083" w:rsidP="00DC790C">
            <w:pPr>
              <w:jc w:val="center"/>
              <w:rPr>
                <w:rFonts w:ascii="Arial" w:hAnsi="Arial"/>
                <w:b/>
                <w:bCs/>
                <w:sz w:val="28"/>
                <w:szCs w:val="28"/>
                <w:rtl/>
              </w:rPr>
            </w:pPr>
            <w:r w:rsidRPr="00DC790C">
              <w:rPr>
                <w:rFonts w:ascii="Arial" w:hAnsi="Arial"/>
                <w:b/>
                <w:bCs/>
                <w:sz w:val="28"/>
                <w:szCs w:val="28"/>
                <w:rtl/>
              </w:rPr>
              <w:t>נגד</w:t>
            </w:r>
          </w:p>
          <w:p w14:paraId="3BEF5F59" w14:textId="77777777" w:rsidR="00270083" w:rsidRPr="00DC790C" w:rsidRDefault="00270083" w:rsidP="00DC790C">
            <w:pPr>
              <w:jc w:val="both"/>
              <w:rPr>
                <w:rFonts w:ascii="Arial" w:hAnsi="Arial"/>
                <w:b/>
                <w:bCs/>
                <w:sz w:val="28"/>
                <w:szCs w:val="28"/>
              </w:rPr>
            </w:pPr>
          </w:p>
        </w:tc>
      </w:tr>
      <w:tr w:rsidR="00270083" w:rsidRPr="00DC790C" w14:paraId="53F5EBED" w14:textId="77777777">
        <w:trPr>
          <w:trHeight w:val="355"/>
          <w:jc w:val="center"/>
        </w:trPr>
        <w:tc>
          <w:tcPr>
            <w:tcW w:w="945" w:type="dxa"/>
            <w:tcBorders>
              <w:top w:val="nil"/>
              <w:left w:val="nil"/>
              <w:bottom w:val="nil"/>
              <w:right w:val="nil"/>
            </w:tcBorders>
            <w:shd w:val="clear" w:color="auto" w:fill="auto"/>
          </w:tcPr>
          <w:p w14:paraId="7E0B04D4" w14:textId="77777777" w:rsidR="00270083" w:rsidRPr="00DC790C" w:rsidRDefault="00270083" w:rsidP="00DC790C">
            <w:pPr>
              <w:jc w:val="both"/>
              <w:rPr>
                <w:rFonts w:ascii="Arial" w:hAnsi="Arial"/>
                <w:b/>
                <w:bCs/>
                <w:sz w:val="28"/>
                <w:szCs w:val="28"/>
                <w:rtl/>
              </w:rPr>
            </w:pPr>
          </w:p>
        </w:tc>
        <w:tc>
          <w:tcPr>
            <w:tcW w:w="4114" w:type="dxa"/>
            <w:tcBorders>
              <w:top w:val="nil"/>
              <w:left w:val="nil"/>
              <w:bottom w:val="nil"/>
              <w:right w:val="nil"/>
            </w:tcBorders>
            <w:shd w:val="clear" w:color="auto" w:fill="auto"/>
          </w:tcPr>
          <w:p w14:paraId="07C52F7B" w14:textId="77777777" w:rsidR="00270083" w:rsidRPr="00DC790C" w:rsidRDefault="00270083" w:rsidP="00DC790C">
            <w:pPr>
              <w:jc w:val="both"/>
              <w:rPr>
                <w:b/>
                <w:bCs/>
                <w:rtl/>
              </w:rPr>
            </w:pPr>
            <w:r w:rsidRPr="00DC790C">
              <w:rPr>
                <w:rFonts w:hint="cs"/>
                <w:b/>
                <w:bCs/>
                <w:rtl/>
              </w:rPr>
              <w:t>אליהו רוזנבלום (עציר)</w:t>
            </w:r>
          </w:p>
        </w:tc>
        <w:tc>
          <w:tcPr>
            <w:tcW w:w="3761" w:type="dxa"/>
            <w:tcBorders>
              <w:top w:val="nil"/>
              <w:left w:val="nil"/>
              <w:bottom w:val="nil"/>
              <w:right w:val="nil"/>
            </w:tcBorders>
            <w:shd w:val="clear" w:color="auto" w:fill="auto"/>
          </w:tcPr>
          <w:p w14:paraId="32BB3BE7" w14:textId="77777777" w:rsidR="00270083" w:rsidRPr="00DC790C" w:rsidRDefault="00270083" w:rsidP="00DC790C">
            <w:pPr>
              <w:jc w:val="right"/>
              <w:rPr>
                <w:rFonts w:ascii="Arial" w:hAnsi="Arial"/>
                <w:b/>
                <w:bCs/>
                <w:sz w:val="28"/>
                <w:szCs w:val="28"/>
              </w:rPr>
            </w:pPr>
          </w:p>
        </w:tc>
      </w:tr>
      <w:tr w:rsidR="00270083" w:rsidRPr="00DC790C" w14:paraId="4E87CD9E" w14:textId="77777777">
        <w:trPr>
          <w:trHeight w:val="355"/>
          <w:jc w:val="center"/>
        </w:trPr>
        <w:tc>
          <w:tcPr>
            <w:tcW w:w="945" w:type="dxa"/>
            <w:tcBorders>
              <w:top w:val="nil"/>
              <w:left w:val="nil"/>
              <w:bottom w:val="nil"/>
              <w:right w:val="nil"/>
            </w:tcBorders>
            <w:shd w:val="clear" w:color="auto" w:fill="auto"/>
          </w:tcPr>
          <w:p w14:paraId="1C68C93A" w14:textId="77777777" w:rsidR="00270083" w:rsidRPr="00DC790C" w:rsidRDefault="00270083" w:rsidP="00DC790C">
            <w:pPr>
              <w:jc w:val="both"/>
              <w:rPr>
                <w:rFonts w:ascii="Arial" w:hAnsi="Arial"/>
                <w:b/>
                <w:bCs/>
                <w:sz w:val="28"/>
                <w:szCs w:val="28"/>
                <w:rtl/>
              </w:rPr>
            </w:pPr>
            <w:bookmarkStart w:id="2" w:name="FirstLawyer"/>
          </w:p>
        </w:tc>
        <w:tc>
          <w:tcPr>
            <w:tcW w:w="4114" w:type="dxa"/>
            <w:tcBorders>
              <w:top w:val="nil"/>
              <w:left w:val="nil"/>
              <w:bottom w:val="nil"/>
              <w:right w:val="nil"/>
            </w:tcBorders>
            <w:shd w:val="clear" w:color="auto" w:fill="auto"/>
          </w:tcPr>
          <w:p w14:paraId="7AFC7FA6" w14:textId="77777777" w:rsidR="00270083" w:rsidRPr="00DC790C" w:rsidRDefault="00270083" w:rsidP="00DC790C">
            <w:pPr>
              <w:jc w:val="both"/>
              <w:rPr>
                <w:b/>
                <w:bCs/>
                <w:rtl/>
              </w:rPr>
            </w:pPr>
            <w:r w:rsidRPr="00DC790C">
              <w:rPr>
                <w:rFonts w:hint="cs"/>
                <w:b/>
                <w:bCs/>
                <w:sz w:val="28"/>
                <w:szCs w:val="28"/>
                <w:rtl/>
              </w:rPr>
              <w:t>ע"י ב"כ עו"ד דוד ונטורה</w:t>
            </w:r>
          </w:p>
        </w:tc>
        <w:tc>
          <w:tcPr>
            <w:tcW w:w="3761" w:type="dxa"/>
            <w:tcBorders>
              <w:top w:val="nil"/>
              <w:left w:val="nil"/>
              <w:bottom w:val="nil"/>
              <w:right w:val="nil"/>
            </w:tcBorders>
            <w:shd w:val="clear" w:color="auto" w:fill="auto"/>
          </w:tcPr>
          <w:p w14:paraId="43B9EB61" w14:textId="77777777" w:rsidR="00270083" w:rsidRPr="00DC790C" w:rsidRDefault="00270083" w:rsidP="00DC790C">
            <w:pPr>
              <w:jc w:val="right"/>
              <w:rPr>
                <w:rFonts w:ascii="Arial" w:hAnsi="Arial"/>
                <w:b/>
                <w:bCs/>
                <w:sz w:val="28"/>
                <w:szCs w:val="28"/>
              </w:rPr>
            </w:pPr>
            <w:r w:rsidRPr="00DC790C">
              <w:rPr>
                <w:rFonts w:ascii="Arial" w:hAnsi="Arial" w:hint="cs"/>
                <w:b/>
                <w:bCs/>
                <w:sz w:val="28"/>
                <w:szCs w:val="28"/>
                <w:rtl/>
              </w:rPr>
              <w:t>ה</w:t>
            </w:r>
            <w:r w:rsidRPr="00DC790C">
              <w:rPr>
                <w:rFonts w:hint="cs"/>
                <w:b/>
                <w:bCs/>
                <w:rtl/>
              </w:rPr>
              <w:t>נאשם</w:t>
            </w:r>
          </w:p>
        </w:tc>
      </w:tr>
      <w:tr w:rsidR="00270083" w:rsidRPr="00FA2A38" w14:paraId="0DBEB966" w14:textId="77777777">
        <w:trPr>
          <w:trHeight w:val="355"/>
          <w:jc w:val="center"/>
        </w:trPr>
        <w:tc>
          <w:tcPr>
            <w:tcW w:w="8820" w:type="dxa"/>
            <w:gridSpan w:val="3"/>
            <w:tcBorders>
              <w:top w:val="nil"/>
              <w:left w:val="nil"/>
              <w:bottom w:val="nil"/>
              <w:right w:val="nil"/>
            </w:tcBorders>
            <w:shd w:val="clear" w:color="auto" w:fill="auto"/>
          </w:tcPr>
          <w:p w14:paraId="4AE7F705" w14:textId="77777777" w:rsidR="004A650B" w:rsidRDefault="004A650B" w:rsidP="00DC790C">
            <w:pPr>
              <w:jc w:val="center"/>
              <w:rPr>
                <w:rFonts w:ascii="Arial" w:hAnsi="Arial"/>
                <w:sz w:val="32"/>
                <w:szCs w:val="32"/>
                <w:rtl/>
              </w:rPr>
            </w:pPr>
            <w:bookmarkStart w:id="3" w:name="PsakDin" w:colFirst="0" w:colLast="0"/>
            <w:bookmarkStart w:id="4" w:name="LawTable"/>
            <w:bookmarkEnd w:id="2"/>
            <w:bookmarkEnd w:id="4"/>
          </w:p>
          <w:p w14:paraId="3FFC65BD" w14:textId="77777777" w:rsidR="004A650B" w:rsidRPr="004A650B" w:rsidRDefault="004A650B" w:rsidP="004A650B">
            <w:pPr>
              <w:spacing w:after="120" w:line="240" w:lineRule="exact"/>
              <w:ind w:left="283" w:hanging="283"/>
              <w:jc w:val="both"/>
              <w:rPr>
                <w:rFonts w:ascii="FrankRuehl" w:hAnsi="FrankRuehl" w:cs="FrankRuehl"/>
                <w:rtl/>
              </w:rPr>
            </w:pPr>
          </w:p>
          <w:p w14:paraId="50D7E537" w14:textId="77777777" w:rsidR="004A650B" w:rsidRPr="004A650B" w:rsidRDefault="004A650B" w:rsidP="004A650B">
            <w:pPr>
              <w:spacing w:after="120" w:line="240" w:lineRule="exact"/>
              <w:ind w:left="283" w:hanging="283"/>
              <w:jc w:val="both"/>
              <w:rPr>
                <w:rFonts w:ascii="FrankRuehl" w:hAnsi="FrankRuehl" w:cs="FrankRuehl"/>
                <w:rtl/>
              </w:rPr>
            </w:pPr>
            <w:r w:rsidRPr="004A650B">
              <w:rPr>
                <w:rFonts w:ascii="FrankRuehl" w:hAnsi="FrankRuehl" w:cs="FrankRuehl"/>
                <w:rtl/>
              </w:rPr>
              <w:t xml:space="preserve">חקיקה שאוזכרה: </w:t>
            </w:r>
          </w:p>
          <w:p w14:paraId="05815BDB" w14:textId="77777777" w:rsidR="004A650B" w:rsidRPr="004A650B" w:rsidRDefault="004A650B" w:rsidP="004A650B">
            <w:pPr>
              <w:spacing w:after="120" w:line="240" w:lineRule="exact"/>
              <w:ind w:left="283" w:hanging="283"/>
              <w:jc w:val="both"/>
              <w:rPr>
                <w:rFonts w:ascii="FrankRuehl" w:hAnsi="FrankRuehl" w:cs="FrankRuehl"/>
                <w:rtl/>
              </w:rPr>
            </w:pPr>
            <w:hyperlink r:id="rId6" w:history="1">
              <w:r w:rsidRPr="004A650B">
                <w:rPr>
                  <w:rFonts w:ascii="FrankRuehl" w:hAnsi="FrankRuehl" w:cs="FrankRuehl"/>
                  <w:color w:val="0000FF"/>
                  <w:u w:val="single"/>
                  <w:rtl/>
                </w:rPr>
                <w:t>פקודת הסמים המסוכנים [נוסח חדש], תשל"ג-1973</w:t>
              </w:r>
            </w:hyperlink>
            <w:r w:rsidRPr="004A650B">
              <w:rPr>
                <w:rFonts w:ascii="FrankRuehl" w:hAnsi="FrankRuehl" w:cs="FrankRuehl"/>
                <w:rtl/>
              </w:rPr>
              <w:t xml:space="preserve">: סע'  </w:t>
            </w:r>
            <w:hyperlink r:id="rId7" w:history="1">
              <w:r w:rsidRPr="004A650B">
                <w:rPr>
                  <w:rFonts w:ascii="FrankRuehl" w:hAnsi="FrankRuehl" w:cs="FrankRuehl"/>
                  <w:color w:val="0000FF"/>
                  <w:u w:val="single"/>
                  <w:rtl/>
                </w:rPr>
                <w:t>31</w:t>
              </w:r>
            </w:hyperlink>
            <w:r w:rsidRPr="004A650B">
              <w:rPr>
                <w:rFonts w:ascii="FrankRuehl" w:hAnsi="FrankRuehl" w:cs="FrankRuehl"/>
                <w:rtl/>
              </w:rPr>
              <w:t xml:space="preserve">, </w:t>
            </w:r>
            <w:hyperlink r:id="rId8" w:history="1">
              <w:r w:rsidRPr="004A650B">
                <w:rPr>
                  <w:rFonts w:ascii="FrankRuehl" w:hAnsi="FrankRuehl" w:cs="FrankRuehl"/>
                  <w:color w:val="0000FF"/>
                  <w:u w:val="single"/>
                  <w:rtl/>
                </w:rPr>
                <w:t>36 א</w:t>
              </w:r>
            </w:hyperlink>
            <w:r w:rsidRPr="004A650B">
              <w:rPr>
                <w:rFonts w:ascii="FrankRuehl" w:hAnsi="FrankRuehl" w:cs="FrankRuehl"/>
                <w:rtl/>
              </w:rPr>
              <w:t xml:space="preserve">, </w:t>
            </w:r>
            <w:hyperlink r:id="rId9" w:history="1">
              <w:r w:rsidRPr="004A650B">
                <w:rPr>
                  <w:rFonts w:ascii="FrankRuehl" w:hAnsi="FrankRuehl" w:cs="FrankRuehl"/>
                  <w:color w:val="0000FF"/>
                  <w:u w:val="single"/>
                  <w:rtl/>
                </w:rPr>
                <w:t>36א(א)</w:t>
              </w:r>
            </w:hyperlink>
            <w:r w:rsidRPr="004A650B">
              <w:rPr>
                <w:rFonts w:ascii="FrankRuehl" w:hAnsi="FrankRuehl" w:cs="FrankRuehl"/>
                <w:rtl/>
              </w:rPr>
              <w:t xml:space="preserve">, </w:t>
            </w:r>
            <w:hyperlink r:id="rId10" w:history="1">
              <w:r w:rsidRPr="004A650B">
                <w:rPr>
                  <w:rFonts w:ascii="FrankRuehl" w:hAnsi="FrankRuehl" w:cs="FrankRuehl"/>
                  <w:color w:val="0000FF"/>
                  <w:u w:val="single"/>
                  <w:rtl/>
                </w:rPr>
                <w:t>36א(ב).</w:t>
              </w:r>
            </w:hyperlink>
          </w:p>
          <w:p w14:paraId="4EAD911D" w14:textId="77777777" w:rsidR="004A650B" w:rsidRPr="004A650B" w:rsidRDefault="004A650B" w:rsidP="004A650B">
            <w:pPr>
              <w:spacing w:after="120" w:line="240" w:lineRule="exact"/>
              <w:ind w:left="283" w:hanging="283"/>
              <w:jc w:val="both"/>
              <w:rPr>
                <w:rFonts w:ascii="FrankRuehl" w:hAnsi="FrankRuehl" w:cs="FrankRuehl"/>
                <w:rtl/>
              </w:rPr>
            </w:pPr>
          </w:p>
          <w:p w14:paraId="73A4D3FB" w14:textId="77777777" w:rsidR="004A650B" w:rsidRPr="004A650B" w:rsidRDefault="004A650B" w:rsidP="00DC790C">
            <w:pPr>
              <w:jc w:val="center"/>
              <w:rPr>
                <w:rFonts w:ascii="Arial" w:hAnsi="Arial"/>
                <w:sz w:val="32"/>
                <w:szCs w:val="32"/>
                <w:rtl/>
              </w:rPr>
            </w:pPr>
            <w:bookmarkStart w:id="5" w:name="LawTable_End"/>
            <w:bookmarkEnd w:id="5"/>
          </w:p>
          <w:p w14:paraId="15654B35" w14:textId="77777777" w:rsidR="00DC790C" w:rsidRPr="00DC790C" w:rsidRDefault="00DC790C" w:rsidP="00DC790C">
            <w:pPr>
              <w:jc w:val="center"/>
              <w:rPr>
                <w:rFonts w:ascii="Arial" w:hAnsi="Arial"/>
                <w:b/>
                <w:bCs/>
                <w:sz w:val="32"/>
                <w:szCs w:val="32"/>
                <w:u w:val="single"/>
                <w:rtl/>
              </w:rPr>
            </w:pPr>
            <w:r w:rsidRPr="00DC790C">
              <w:rPr>
                <w:rFonts w:ascii="Arial" w:hAnsi="Arial"/>
                <w:b/>
                <w:bCs/>
                <w:sz w:val="32"/>
                <w:szCs w:val="32"/>
                <w:u w:val="single"/>
                <w:rtl/>
              </w:rPr>
              <w:t>גזר דין</w:t>
            </w:r>
          </w:p>
          <w:p w14:paraId="6A02F004" w14:textId="77777777" w:rsidR="00270083" w:rsidRPr="00DC790C" w:rsidRDefault="00270083" w:rsidP="00DC790C">
            <w:pPr>
              <w:jc w:val="center"/>
              <w:rPr>
                <w:rFonts w:ascii="Arial" w:hAnsi="Arial"/>
                <w:b/>
                <w:bCs/>
                <w:sz w:val="32"/>
                <w:szCs w:val="32"/>
                <w:u w:val="single"/>
                <w:rtl/>
              </w:rPr>
            </w:pPr>
          </w:p>
        </w:tc>
      </w:tr>
      <w:bookmarkEnd w:id="3"/>
    </w:tbl>
    <w:p w14:paraId="68DB3FC4" w14:textId="77777777" w:rsidR="00270083" w:rsidRPr="00FA2A38" w:rsidRDefault="00270083" w:rsidP="00270083">
      <w:pPr>
        <w:rPr>
          <w:rFonts w:ascii="Arial" w:hAnsi="Arial"/>
          <w:b/>
          <w:bCs/>
          <w:sz w:val="28"/>
          <w:szCs w:val="28"/>
          <w:rtl/>
        </w:rPr>
      </w:pPr>
    </w:p>
    <w:p w14:paraId="3E2A2782" w14:textId="77777777" w:rsidR="00270083" w:rsidRPr="0008193E" w:rsidRDefault="00270083" w:rsidP="00270083">
      <w:pPr>
        <w:spacing w:line="360" w:lineRule="auto"/>
        <w:jc w:val="both"/>
        <w:rPr>
          <w:rFonts w:ascii="Arial" w:hAnsi="Arial"/>
          <w:b/>
          <w:bCs/>
          <w:sz w:val="28"/>
          <w:szCs w:val="28"/>
          <w:u w:val="single"/>
          <w:rtl/>
        </w:rPr>
      </w:pPr>
      <w:r w:rsidRPr="0008193E">
        <w:rPr>
          <w:rFonts w:ascii="Arial" w:hAnsi="Arial" w:hint="cs"/>
          <w:b/>
          <w:bCs/>
          <w:sz w:val="26"/>
          <w:szCs w:val="26"/>
          <w:u w:val="single"/>
          <w:rtl/>
        </w:rPr>
        <w:t>העובדות וטיעוני הצדדים</w:t>
      </w:r>
    </w:p>
    <w:p w14:paraId="723A6FE1" w14:textId="77777777" w:rsidR="00270083" w:rsidRPr="0008193E" w:rsidRDefault="00270083" w:rsidP="00270083">
      <w:pPr>
        <w:spacing w:line="360" w:lineRule="auto"/>
        <w:jc w:val="both"/>
        <w:rPr>
          <w:rFonts w:ascii="Arial" w:hAnsi="Arial"/>
          <w:sz w:val="28"/>
          <w:szCs w:val="28"/>
          <w:rtl/>
        </w:rPr>
      </w:pPr>
    </w:p>
    <w:p w14:paraId="46E2F9C8" w14:textId="77777777" w:rsidR="00270083" w:rsidRPr="004D249E" w:rsidRDefault="00270083" w:rsidP="00270083">
      <w:pPr>
        <w:spacing w:line="360" w:lineRule="auto"/>
        <w:ind w:left="720" w:hanging="720"/>
        <w:jc w:val="both"/>
        <w:rPr>
          <w:sz w:val="26"/>
          <w:szCs w:val="26"/>
          <w:rtl/>
        </w:rPr>
      </w:pPr>
      <w:r>
        <w:rPr>
          <w:rFonts w:hint="cs"/>
          <w:sz w:val="26"/>
          <w:szCs w:val="26"/>
          <w:rtl/>
        </w:rPr>
        <w:t>1.</w:t>
      </w:r>
      <w:r>
        <w:rPr>
          <w:rFonts w:hint="cs"/>
          <w:sz w:val="26"/>
          <w:szCs w:val="26"/>
          <w:rtl/>
        </w:rPr>
        <w:tab/>
      </w:r>
      <w:bookmarkStart w:id="6" w:name="ABSTRACT_START"/>
      <w:bookmarkEnd w:id="6"/>
      <w:r w:rsidRPr="004D249E">
        <w:rPr>
          <w:rFonts w:hint="cs"/>
          <w:sz w:val="26"/>
          <w:szCs w:val="26"/>
          <w:rtl/>
        </w:rPr>
        <w:t xml:space="preserve">הנאשם הורשע לאחר ניהול הוכחות בעבירה של החזקת סם שלא לשימוש עצמי ובשתי עבירות של סחר בסם מסוכן. על פי כתב האישום והכרעת הדין הנאשם החזיק סם מסוכן מסוג קנבוס במקומות שונים בביתו, ברכבו ובבגדיו, במשקל כולל של כ-280 גרם נטו. כמו כן מכר לשכנו בשתי הזדמנויות שונות, בחודש מרץ ובחודש מאי 2015, סם מסוג קנבוס, במקרה אחד כמות של שלושה גרם תמורת 330 ₪, ובמקרה אחר כמות של חמישה גרם תמורת 550 ₪. </w:t>
      </w:r>
    </w:p>
    <w:p w14:paraId="0C954EFE" w14:textId="77777777" w:rsidR="00270083" w:rsidRPr="004D249E" w:rsidRDefault="00270083" w:rsidP="00270083">
      <w:pPr>
        <w:spacing w:line="360" w:lineRule="auto"/>
        <w:ind w:firstLine="720"/>
        <w:jc w:val="both"/>
        <w:rPr>
          <w:sz w:val="26"/>
          <w:szCs w:val="26"/>
          <w:rtl/>
        </w:rPr>
      </w:pPr>
      <w:bookmarkStart w:id="7" w:name="ABSTRACT_END"/>
      <w:bookmarkEnd w:id="7"/>
    </w:p>
    <w:p w14:paraId="570417E0" w14:textId="77777777" w:rsidR="00270083" w:rsidRPr="004D249E" w:rsidRDefault="00270083" w:rsidP="00270083">
      <w:pPr>
        <w:spacing w:line="360" w:lineRule="auto"/>
        <w:ind w:left="720" w:hanging="720"/>
        <w:jc w:val="both"/>
        <w:rPr>
          <w:sz w:val="26"/>
          <w:szCs w:val="26"/>
          <w:rtl/>
        </w:rPr>
      </w:pPr>
      <w:r>
        <w:rPr>
          <w:rFonts w:hint="cs"/>
          <w:sz w:val="26"/>
          <w:szCs w:val="26"/>
          <w:rtl/>
        </w:rPr>
        <w:t>2.</w:t>
      </w:r>
      <w:r>
        <w:rPr>
          <w:rFonts w:hint="cs"/>
          <w:sz w:val="26"/>
          <w:szCs w:val="26"/>
          <w:rtl/>
        </w:rPr>
        <w:tab/>
      </w:r>
      <w:r w:rsidRPr="004D249E">
        <w:rPr>
          <w:rFonts w:hint="cs"/>
          <w:sz w:val="26"/>
          <w:szCs w:val="26"/>
          <w:rtl/>
        </w:rPr>
        <w:t>ב"כ המאשימה בטיעוניו לעונש ציין את נסיבות ביצוע העבירה, כאשר הסם הוחזק רובו במכונת הכביסה של הנאשם, חלקו בכיסי מעילו וכמות קטנה ממנו בתא המטען של הרכב, והתייחס גם לכך שהנאשם החזיק גם שני משקלים דגיטליים, מספר מכשירי טלפון סלולריים וסכומי כסף גדולים, כאשר סכום של 101,000 ₪ הוחזק במכונת הכביסה של הנאשם יחד עם אחד המשקלים הדיגיטליים, וסכום נוסף של 9,440 ₪ הוחזק בכיסו של הנאשם.</w:t>
      </w:r>
    </w:p>
    <w:p w14:paraId="5314CFA7" w14:textId="77777777" w:rsidR="00270083" w:rsidRPr="004D249E" w:rsidRDefault="00270083" w:rsidP="00270083">
      <w:pPr>
        <w:spacing w:line="360" w:lineRule="auto"/>
        <w:ind w:firstLine="720"/>
        <w:jc w:val="both"/>
        <w:rPr>
          <w:sz w:val="26"/>
          <w:szCs w:val="26"/>
          <w:rtl/>
        </w:rPr>
      </w:pPr>
    </w:p>
    <w:p w14:paraId="606F2D5B" w14:textId="77777777" w:rsidR="00270083" w:rsidRPr="004D249E" w:rsidRDefault="00270083" w:rsidP="00270083">
      <w:pPr>
        <w:spacing w:line="360" w:lineRule="auto"/>
        <w:ind w:left="720" w:hanging="720"/>
        <w:jc w:val="both"/>
        <w:rPr>
          <w:sz w:val="26"/>
          <w:szCs w:val="26"/>
          <w:rtl/>
        </w:rPr>
      </w:pPr>
      <w:r>
        <w:rPr>
          <w:rFonts w:hint="cs"/>
          <w:sz w:val="26"/>
          <w:szCs w:val="26"/>
          <w:rtl/>
        </w:rPr>
        <w:t>3.</w:t>
      </w:r>
      <w:r>
        <w:rPr>
          <w:rFonts w:hint="cs"/>
          <w:sz w:val="26"/>
          <w:szCs w:val="26"/>
          <w:rtl/>
        </w:rPr>
        <w:tab/>
      </w:r>
      <w:r w:rsidRPr="004D249E">
        <w:rPr>
          <w:rFonts w:hint="cs"/>
          <w:sz w:val="26"/>
          <w:szCs w:val="26"/>
          <w:rtl/>
        </w:rPr>
        <w:t xml:space="preserve">לעניין מתחם הענישה טען התובע כי יש לראות כל אחד מהאישומים כאירוע נפרד לצורך קביעת המתחם. הוא טען כי עבירות הסמים בהן הורשע הנאשם הן בגדר מחולל פשיעה ראשי, כאשר הפצת הסם גורמת לעבירות נוספות, כולל עבירת רכוש. לדבריו, הכמות הגדולה של סם שהחזיק הנאשם בביתו מצביעה על כך שזהו עיסוקו הראשי והעיקרי של הנאשם, ועל פי המחירים שבהם נמכר הסם בעסקאות נשוא כתב האישום, הערך הכספי של הסם שנתפס אצל הנאשם מגיע למאות אלפי ₪. ב"כ המאשימה הפנה למספר פסקי דין, וטען כי מתחם הענישה נע בין שישה לבין שנים עשר חודשי מאסר בפועל. </w:t>
      </w:r>
    </w:p>
    <w:p w14:paraId="242BE748" w14:textId="77777777" w:rsidR="00270083" w:rsidRPr="004D249E" w:rsidRDefault="00270083" w:rsidP="00270083">
      <w:pPr>
        <w:spacing w:line="360" w:lineRule="auto"/>
        <w:ind w:firstLine="720"/>
        <w:jc w:val="both"/>
        <w:rPr>
          <w:sz w:val="26"/>
          <w:szCs w:val="26"/>
          <w:rtl/>
        </w:rPr>
      </w:pPr>
    </w:p>
    <w:p w14:paraId="43548C39" w14:textId="77777777" w:rsidR="00270083" w:rsidRPr="004D249E" w:rsidRDefault="00270083" w:rsidP="00270083">
      <w:pPr>
        <w:spacing w:line="360" w:lineRule="auto"/>
        <w:ind w:left="720"/>
        <w:jc w:val="both"/>
        <w:rPr>
          <w:sz w:val="26"/>
          <w:szCs w:val="26"/>
          <w:rtl/>
        </w:rPr>
      </w:pPr>
      <w:r w:rsidRPr="004D249E">
        <w:rPr>
          <w:rFonts w:hint="cs"/>
          <w:sz w:val="26"/>
          <w:szCs w:val="26"/>
          <w:rtl/>
        </w:rPr>
        <w:t xml:space="preserve">לנאשם הרשעה קודמת בעבירה דומה. לנוכח עברו של הנאשם והעובדה שמדובר בעיסוק עיקרי שלו ביקש ב"כ המאשימה להטיל על הנאשם עונש ברף הגבוה של המתחם, ובגין כל אחת מהעבירות לגזור עליו עונש שלא יפחת משנים עשר חודשי מאסר. </w:t>
      </w:r>
    </w:p>
    <w:p w14:paraId="1D944319" w14:textId="77777777" w:rsidR="00270083" w:rsidRPr="004D249E" w:rsidRDefault="00270083" w:rsidP="00270083">
      <w:pPr>
        <w:spacing w:line="360" w:lineRule="auto"/>
        <w:ind w:firstLine="720"/>
        <w:jc w:val="both"/>
        <w:rPr>
          <w:sz w:val="26"/>
          <w:szCs w:val="26"/>
          <w:rtl/>
        </w:rPr>
      </w:pPr>
    </w:p>
    <w:p w14:paraId="5BDEC822" w14:textId="77777777" w:rsidR="00270083" w:rsidRPr="004D249E" w:rsidRDefault="00270083" w:rsidP="00270083">
      <w:pPr>
        <w:spacing w:line="360" w:lineRule="auto"/>
        <w:ind w:left="720" w:hanging="720"/>
        <w:jc w:val="both"/>
        <w:rPr>
          <w:sz w:val="26"/>
          <w:szCs w:val="26"/>
          <w:rtl/>
        </w:rPr>
      </w:pPr>
      <w:r>
        <w:rPr>
          <w:rFonts w:hint="cs"/>
          <w:sz w:val="26"/>
          <w:szCs w:val="26"/>
          <w:rtl/>
        </w:rPr>
        <w:t>4.</w:t>
      </w:r>
      <w:r>
        <w:rPr>
          <w:rFonts w:hint="cs"/>
          <w:sz w:val="26"/>
          <w:szCs w:val="26"/>
          <w:rtl/>
        </w:rPr>
        <w:tab/>
      </w:r>
      <w:r w:rsidRPr="004D249E">
        <w:rPr>
          <w:rFonts w:hint="cs"/>
          <w:sz w:val="26"/>
          <w:szCs w:val="26"/>
          <w:rtl/>
        </w:rPr>
        <w:t xml:space="preserve">ב"כ המאשימה חזר על הבקשה שהעלתה התביעה עוד בכתב האישום ובסיכומים לפני הכרעת הדין, לחלט את הכסף שנמצא ברשות הנאשם. הוא ציין כי טענת הנאשם שמדובר בכסף ששימש לשכר דירה אינה מתיישבת עם המציאות וכי הנאשם מסר גירסה רק בשלב ההוכחות, כך שמדובר בגירסה כבושה. לדברי התובע גם הטענה שהנאשם קיבל כסף ממשפחתו אינה נתמכת בשום ראיה, ואין כל הסבר להחזקת הכסף במכונת הכביסה. </w:t>
      </w:r>
    </w:p>
    <w:p w14:paraId="0CB0A715" w14:textId="77777777" w:rsidR="00270083" w:rsidRDefault="00270083" w:rsidP="00270083">
      <w:pPr>
        <w:spacing w:line="360" w:lineRule="auto"/>
        <w:jc w:val="both"/>
        <w:rPr>
          <w:sz w:val="26"/>
          <w:szCs w:val="26"/>
          <w:rtl/>
        </w:rPr>
      </w:pPr>
      <w:r w:rsidRPr="004D249E">
        <w:rPr>
          <w:sz w:val="26"/>
          <w:szCs w:val="26"/>
          <w:rtl/>
        </w:rPr>
        <w:tab/>
      </w:r>
    </w:p>
    <w:p w14:paraId="7006853A" w14:textId="77777777" w:rsidR="00270083" w:rsidRPr="004D249E" w:rsidRDefault="00270083" w:rsidP="00270083">
      <w:pPr>
        <w:spacing w:line="360" w:lineRule="auto"/>
        <w:ind w:left="720" w:hanging="720"/>
        <w:jc w:val="both"/>
        <w:rPr>
          <w:sz w:val="26"/>
          <w:szCs w:val="26"/>
          <w:rtl/>
        </w:rPr>
      </w:pPr>
      <w:r>
        <w:rPr>
          <w:rFonts w:hint="cs"/>
          <w:sz w:val="26"/>
          <w:szCs w:val="26"/>
          <w:rtl/>
        </w:rPr>
        <w:t>5.</w:t>
      </w:r>
      <w:r>
        <w:rPr>
          <w:rFonts w:hint="cs"/>
          <w:sz w:val="26"/>
          <w:szCs w:val="26"/>
          <w:rtl/>
        </w:rPr>
        <w:tab/>
      </w:r>
      <w:r w:rsidRPr="004D249E">
        <w:rPr>
          <w:rFonts w:hint="cs"/>
          <w:sz w:val="26"/>
          <w:szCs w:val="26"/>
          <w:rtl/>
        </w:rPr>
        <w:t xml:space="preserve">במסגרת פרשת העונש העידו שני עדים מטעם הנאשם. גיסו של הנאשם הסביר כי המשפחה היתה מודעת להרשעתו הקודמת של הנאשם, אך לא היתה מעורה בפרטים בנוגע למצבו בתקופה האחרונה. הוא העיד כי המשפחה מבקשת להירתם ולסייע לנאשם, והציע לאפשר לנאשם להתגורר ביחידת דיור בצמוד לביתו, על מנת להרחיק אותו מסביבתו הקודמת ולאפשר לו לעבור הליך גמילה. הגיס התייחס גם למצבו המשפחתי של הנאשם, לכך שאמו חולה מאד והגיעה בימים אלה מארה"ב לישראל, כאשר ימיה ספורים ואם מאסרו של נאשם יתארך יתכן שלא יספיק לפגוש אותה. עד נוסף מטעם הנאשם הוא מר חיים טבסקי, העובד לדבריו כמטפל נרטיבי והחל לטפל בנאשם כשנה לפני מעצרו. העד העיד כי ראה אצל הנאשם רצון גדול לקבע את חייו ולהעבירם לפסים "פחות צפים ויותר נורמטיביים, לכיוון של בניית משפחה". </w:t>
      </w:r>
    </w:p>
    <w:p w14:paraId="4531EF8A" w14:textId="77777777" w:rsidR="00270083" w:rsidRPr="004D249E" w:rsidRDefault="00270083" w:rsidP="00270083">
      <w:pPr>
        <w:spacing w:line="360" w:lineRule="auto"/>
        <w:jc w:val="both"/>
        <w:rPr>
          <w:sz w:val="26"/>
          <w:szCs w:val="26"/>
          <w:rtl/>
        </w:rPr>
      </w:pPr>
    </w:p>
    <w:p w14:paraId="27BF6982" w14:textId="77777777" w:rsidR="00270083" w:rsidRDefault="00270083" w:rsidP="00270083">
      <w:pPr>
        <w:spacing w:line="360" w:lineRule="auto"/>
        <w:ind w:left="720" w:hanging="720"/>
        <w:jc w:val="both"/>
        <w:rPr>
          <w:sz w:val="26"/>
          <w:szCs w:val="26"/>
          <w:rtl/>
        </w:rPr>
      </w:pPr>
      <w:r>
        <w:rPr>
          <w:rFonts w:hint="cs"/>
          <w:sz w:val="26"/>
          <w:szCs w:val="26"/>
          <w:rtl/>
        </w:rPr>
        <w:t>6.</w:t>
      </w:r>
      <w:r>
        <w:rPr>
          <w:rFonts w:hint="cs"/>
          <w:sz w:val="26"/>
          <w:szCs w:val="26"/>
          <w:rtl/>
        </w:rPr>
        <w:tab/>
      </w:r>
      <w:r w:rsidRPr="004D249E">
        <w:rPr>
          <w:rFonts w:hint="cs"/>
          <w:sz w:val="26"/>
          <w:szCs w:val="26"/>
          <w:rtl/>
        </w:rPr>
        <w:t xml:space="preserve">ב"כ הנאשם </w:t>
      </w:r>
      <w:r>
        <w:rPr>
          <w:rFonts w:hint="cs"/>
          <w:sz w:val="26"/>
          <w:szCs w:val="26"/>
          <w:rtl/>
        </w:rPr>
        <w:t xml:space="preserve">טען כי עבירות הסחר בהן הורשע הנאשם לא היו עבירות סחר "קלאסיות" אלא שימוש משותף על ידי שני אנשים, שכנים, שנהגו להשתמש בסמים יחד וחלקו ביניהם את העלויות. הוא ציין כי כמויות הסם שנמכר קטנות יחסית. עוד </w:t>
      </w:r>
      <w:r>
        <w:rPr>
          <w:rFonts w:hint="cs"/>
          <w:sz w:val="26"/>
          <w:szCs w:val="26"/>
          <w:rtl/>
        </w:rPr>
        <w:lastRenderedPageBreak/>
        <w:t xml:space="preserve">טען ב"כ הנאשם כי הנאשם החל להשתמש בסמים על רקע נסיבות חיים קשות </w:t>
      </w:r>
      <w:r>
        <w:rPr>
          <w:sz w:val="26"/>
          <w:szCs w:val="26"/>
          <w:rtl/>
        </w:rPr>
        <w:t>–</w:t>
      </w:r>
      <w:r>
        <w:rPr>
          <w:rFonts w:hint="cs"/>
          <w:sz w:val="26"/>
          <w:szCs w:val="26"/>
          <w:rtl/>
        </w:rPr>
        <w:t xml:space="preserve"> הוא גר לבדו בישראל כאשר בני משפחתו התגוררו בארצות הברית, נישא והתגרש, השתמש בסם כמדכא רגשות והידרדר לשימוש שהובל לסחר בסם. לטענת הסניגור, מאסר ממושך לא ירתיע את הנאשם, והשהיה הממושכת בבית הסוהר תגרום לו נזק. גם הסניגור התייחס למצבה הקשה של אמו של הנאשם, וכן לסבל שנגרם לבתו בת השלוש עשרה של הנאשם, אשר לא ראתה את אביה שבעה חודשים. הוא טען כי יש לקבוע לשלושת העבירות מתחם אחד, כי המתחם נמוך מהמתחם שלו טענה המאשימה, וביקש להסתפק בתקופת מעצרו של הנאשם. </w:t>
      </w:r>
    </w:p>
    <w:p w14:paraId="753F7B09" w14:textId="77777777" w:rsidR="00270083" w:rsidRDefault="00270083" w:rsidP="00270083">
      <w:pPr>
        <w:spacing w:line="360" w:lineRule="auto"/>
        <w:ind w:left="720" w:hanging="720"/>
        <w:jc w:val="both"/>
        <w:rPr>
          <w:sz w:val="26"/>
          <w:szCs w:val="26"/>
          <w:rtl/>
        </w:rPr>
      </w:pPr>
    </w:p>
    <w:p w14:paraId="1F600E2B" w14:textId="77777777" w:rsidR="00270083" w:rsidRDefault="00270083" w:rsidP="00270083">
      <w:pPr>
        <w:spacing w:line="360" w:lineRule="auto"/>
        <w:ind w:left="720" w:hanging="720"/>
        <w:jc w:val="both"/>
        <w:rPr>
          <w:sz w:val="26"/>
          <w:szCs w:val="26"/>
          <w:rtl/>
        </w:rPr>
      </w:pPr>
      <w:r>
        <w:rPr>
          <w:rFonts w:hint="cs"/>
          <w:sz w:val="26"/>
          <w:szCs w:val="26"/>
          <w:rtl/>
        </w:rPr>
        <w:t>7.</w:t>
      </w:r>
      <w:r>
        <w:rPr>
          <w:rFonts w:hint="cs"/>
          <w:sz w:val="26"/>
          <w:szCs w:val="26"/>
          <w:rtl/>
        </w:rPr>
        <w:tab/>
        <w:t xml:space="preserve">באשר לבקשת החילוט טען ב"כ הנאשם כי הנאשם מסר הסבר לפיו מקור הכסף שהחזיק בהעברות בנקאיות שהעביר לו אביו מארה"ב, וכי ההסבר אינו כבוש. לדברי הסניגור הסכום שהועבר קרוב מאד לסכום שנתפס בחזקת הנאשם, אם לא מעבר לכך. בנוסף הנאשם עבד כמוזיקאי וכמטפל הוליסטי והשתכר. באשר למקום החזקת הכסף טען הסניגור כי הנאשם לא היה מעוניין להחזיק את כספו בבנק מאחר שקיימים עיקולים על חשבונותיו. לפיכך הוא פרט את השיקים שקיבל בצ'יינג'ים והחזיק בכסף המזומן. עוד טען ב"כ הנאשם כי הנאשם הורשע בשתי מכירות בלבד, וכי אין בסיס להניח שכל הכסף שנתפס ברשות הנאשם מקורו בסחר בסמים. </w:t>
      </w:r>
    </w:p>
    <w:p w14:paraId="430C51E0" w14:textId="77777777" w:rsidR="00270083" w:rsidRDefault="00270083" w:rsidP="00270083">
      <w:pPr>
        <w:spacing w:line="360" w:lineRule="auto"/>
        <w:ind w:firstLine="720"/>
        <w:jc w:val="both"/>
        <w:rPr>
          <w:sz w:val="26"/>
          <w:szCs w:val="26"/>
          <w:rtl/>
        </w:rPr>
      </w:pPr>
    </w:p>
    <w:p w14:paraId="4AADD870" w14:textId="77777777" w:rsidR="00270083" w:rsidRDefault="00270083" w:rsidP="00270083">
      <w:pPr>
        <w:spacing w:line="360" w:lineRule="auto"/>
        <w:ind w:left="720" w:hanging="720"/>
        <w:jc w:val="both"/>
        <w:rPr>
          <w:sz w:val="26"/>
          <w:szCs w:val="26"/>
          <w:rtl/>
        </w:rPr>
      </w:pPr>
      <w:r>
        <w:rPr>
          <w:rFonts w:hint="cs"/>
          <w:sz w:val="26"/>
          <w:szCs w:val="26"/>
          <w:rtl/>
        </w:rPr>
        <w:t>8.</w:t>
      </w:r>
      <w:r>
        <w:rPr>
          <w:rFonts w:hint="cs"/>
          <w:sz w:val="26"/>
          <w:szCs w:val="26"/>
          <w:rtl/>
        </w:rPr>
        <w:tab/>
        <w:t xml:space="preserve">הנאשם עצמו הודה בכך שעישן קנביס, בעקבות גירושיו ומשברים נוספים שעבר. הוא טען שהחזיק את הכמות הגדולה של הסם במטרה לחסוך בהוצאות וגם כדי להימנע ממפגשים תכופים עם סוחרי סמים. הנאשם הביע צער על הנזק שנגרם לו ולבתו בתקופת מעצרו, והביע רצון למצוא "איזשהו כיוון מסלול של טיפול, אם זה פגישות או שיחות פרטניות או מרכז יום, מה שנחליט ביחד עם המשפחה או הגורמים המוסמכים בנושא...". הוא ביקש הזדמנות נוספת לקחת אחריות ולשקם את חייו. </w:t>
      </w:r>
    </w:p>
    <w:p w14:paraId="0A552745" w14:textId="77777777" w:rsidR="00270083" w:rsidRDefault="00270083" w:rsidP="00270083">
      <w:pPr>
        <w:spacing w:line="360" w:lineRule="auto"/>
        <w:ind w:left="720" w:hanging="720"/>
        <w:jc w:val="both"/>
        <w:rPr>
          <w:sz w:val="26"/>
          <w:szCs w:val="26"/>
          <w:rtl/>
        </w:rPr>
      </w:pPr>
    </w:p>
    <w:p w14:paraId="7FD028BA" w14:textId="77777777" w:rsidR="00270083" w:rsidRDefault="00270083" w:rsidP="00270083">
      <w:pPr>
        <w:spacing w:line="360" w:lineRule="auto"/>
        <w:ind w:left="720" w:hanging="720"/>
        <w:jc w:val="both"/>
        <w:rPr>
          <w:b/>
          <w:bCs/>
          <w:sz w:val="26"/>
          <w:szCs w:val="26"/>
          <w:u w:val="single"/>
          <w:rtl/>
        </w:rPr>
      </w:pPr>
      <w:r>
        <w:rPr>
          <w:rFonts w:hint="cs"/>
          <w:b/>
          <w:bCs/>
          <w:sz w:val="26"/>
          <w:szCs w:val="26"/>
          <w:u w:val="single"/>
          <w:rtl/>
        </w:rPr>
        <w:t>מתחם העונש ההולם</w:t>
      </w:r>
    </w:p>
    <w:p w14:paraId="6FB75D48" w14:textId="77777777" w:rsidR="00270083" w:rsidRDefault="00270083" w:rsidP="00270083">
      <w:pPr>
        <w:spacing w:line="360" w:lineRule="auto"/>
        <w:ind w:left="720" w:hanging="720"/>
        <w:jc w:val="both"/>
        <w:rPr>
          <w:b/>
          <w:bCs/>
          <w:sz w:val="26"/>
          <w:szCs w:val="26"/>
          <w:u w:val="single"/>
          <w:rtl/>
        </w:rPr>
      </w:pPr>
    </w:p>
    <w:p w14:paraId="68827AC8" w14:textId="77777777" w:rsidR="00270083" w:rsidRDefault="00270083" w:rsidP="00270083">
      <w:pPr>
        <w:spacing w:line="360" w:lineRule="auto"/>
        <w:ind w:left="720" w:hanging="720"/>
        <w:jc w:val="both"/>
        <w:rPr>
          <w:sz w:val="26"/>
          <w:szCs w:val="26"/>
          <w:rtl/>
        </w:rPr>
      </w:pPr>
      <w:r>
        <w:rPr>
          <w:rFonts w:hint="cs"/>
          <w:sz w:val="26"/>
          <w:szCs w:val="26"/>
          <w:rtl/>
        </w:rPr>
        <w:t>9.</w:t>
      </w:r>
      <w:r>
        <w:rPr>
          <w:rFonts w:hint="cs"/>
          <w:sz w:val="26"/>
          <w:szCs w:val="26"/>
          <w:rtl/>
        </w:rPr>
        <w:tab/>
        <w:t xml:space="preserve">כל אחד מהאישומים בהם הורשע הנאשם מהווה אירוע העומד בפני עצמו, והם התרחשו במועדים ובמקומות שונים, על כן יש לקבוע מתחם נפרד לכל אירוע. </w:t>
      </w:r>
    </w:p>
    <w:p w14:paraId="70AD2C96" w14:textId="77777777" w:rsidR="00270083" w:rsidRDefault="00270083" w:rsidP="00270083">
      <w:pPr>
        <w:spacing w:line="360" w:lineRule="auto"/>
        <w:ind w:left="720" w:hanging="720"/>
        <w:jc w:val="both"/>
        <w:rPr>
          <w:sz w:val="26"/>
          <w:szCs w:val="26"/>
          <w:rtl/>
        </w:rPr>
      </w:pPr>
    </w:p>
    <w:p w14:paraId="3E945FD7" w14:textId="77777777" w:rsidR="00270083" w:rsidRDefault="00270083" w:rsidP="00270083">
      <w:pPr>
        <w:spacing w:line="360" w:lineRule="auto"/>
        <w:ind w:left="720" w:hanging="720"/>
        <w:jc w:val="both"/>
        <w:rPr>
          <w:sz w:val="26"/>
          <w:szCs w:val="26"/>
          <w:rtl/>
        </w:rPr>
      </w:pPr>
      <w:r>
        <w:rPr>
          <w:rFonts w:hint="cs"/>
          <w:sz w:val="26"/>
          <w:szCs w:val="26"/>
          <w:rtl/>
        </w:rPr>
        <w:t>10.</w:t>
      </w:r>
      <w:r>
        <w:rPr>
          <w:sz w:val="26"/>
          <w:szCs w:val="26"/>
          <w:rtl/>
        </w:rPr>
        <w:tab/>
      </w:r>
      <w:r>
        <w:rPr>
          <w:rFonts w:hint="cs"/>
          <w:sz w:val="26"/>
          <w:szCs w:val="26"/>
          <w:rtl/>
        </w:rPr>
        <w:t xml:space="preserve">עבירות הסמים גורמות נזק לשלומם ובריאותם של המשתמשים בהם, הן נזק בריאותי ישיר והן נזק הנגרם מעצם ההתמכרות. כפי שציין ב"כ המאשימה, הפגיעה עלולה להתרחב למעגלים נוספים, מעבר למשתמשים עצמם, בשל הפשיעה הנוצרת סביב צריכת הסמים, על מנת לממן את צריכתם של המשתמשים. הפגיעה בציבור חמורה במיוחד כאשר מדובר בעבירות של סחר או הפצה, המרחיבות את מעגל הנפגעים מעבר למשתמש עצמו. </w:t>
      </w:r>
    </w:p>
    <w:p w14:paraId="5D2DA3EE" w14:textId="77777777" w:rsidR="00270083" w:rsidRDefault="00270083" w:rsidP="00270083">
      <w:pPr>
        <w:spacing w:line="360" w:lineRule="auto"/>
        <w:ind w:left="720" w:hanging="720"/>
        <w:jc w:val="both"/>
        <w:rPr>
          <w:sz w:val="26"/>
          <w:szCs w:val="26"/>
          <w:rtl/>
        </w:rPr>
      </w:pPr>
    </w:p>
    <w:p w14:paraId="3AF6BFB9" w14:textId="77777777" w:rsidR="00270083" w:rsidRDefault="00270083" w:rsidP="00270083">
      <w:pPr>
        <w:spacing w:line="360" w:lineRule="auto"/>
        <w:ind w:left="720" w:hanging="720"/>
        <w:jc w:val="both"/>
        <w:rPr>
          <w:sz w:val="26"/>
          <w:szCs w:val="26"/>
          <w:rtl/>
        </w:rPr>
      </w:pPr>
      <w:r>
        <w:rPr>
          <w:rFonts w:hint="cs"/>
          <w:sz w:val="26"/>
          <w:szCs w:val="26"/>
          <w:rtl/>
        </w:rPr>
        <w:t>11.</w:t>
      </w:r>
      <w:r>
        <w:rPr>
          <w:rFonts w:hint="cs"/>
          <w:sz w:val="26"/>
          <w:szCs w:val="26"/>
          <w:rtl/>
        </w:rPr>
        <w:tab/>
        <w:t xml:space="preserve">במקרה הנדון, עבירות הסחר בסמים אינן מתאפיינות בנסיבות חמורות במיוחד. </w:t>
      </w:r>
      <w:r w:rsidRPr="0018798E">
        <w:rPr>
          <w:rFonts w:hint="cs"/>
          <w:sz w:val="26"/>
          <w:szCs w:val="26"/>
          <w:rtl/>
        </w:rPr>
        <w:t>מדובר בשתי מכירות לאותו אדם, כאשר אדם זה מוכר לנאשם ומצוי עמו בקשרי שכנות וידידות, כך שהעבירה חמורה פחות ממכירה ללקוח מזדמן המאפיינת מקרים רבים של מכירה לסוכני משטרה. הקונה הוא אדם נורמטיבי, כך שאין סיבה להניח שהמכירה במקרה זה קשורה למעגלי פשיעה</w:t>
      </w:r>
      <w:r>
        <w:rPr>
          <w:rFonts w:hint="cs"/>
          <w:sz w:val="26"/>
          <w:szCs w:val="26"/>
          <w:rtl/>
        </w:rPr>
        <w:t xml:space="preserve"> משניים. מבחינת העבירות עצמן</w:t>
      </w:r>
      <w:r w:rsidRPr="0018798E">
        <w:rPr>
          <w:rFonts w:hint="cs"/>
          <w:sz w:val="26"/>
          <w:szCs w:val="26"/>
          <w:rtl/>
        </w:rPr>
        <w:t xml:space="preserve"> מדובר בכמויות ובסכומים קטנים. הקונה הגדיר את המכירה כטובה שהנאשם עשה לו. על כן נסיבות ביצוע עבירות הסחר הן קלות יחסית. </w:t>
      </w:r>
    </w:p>
    <w:p w14:paraId="2725E304" w14:textId="77777777" w:rsidR="00270083" w:rsidRDefault="00270083" w:rsidP="00270083">
      <w:pPr>
        <w:spacing w:line="360" w:lineRule="auto"/>
        <w:ind w:left="720" w:hanging="720"/>
        <w:jc w:val="both"/>
        <w:rPr>
          <w:sz w:val="26"/>
          <w:szCs w:val="26"/>
          <w:rtl/>
        </w:rPr>
      </w:pPr>
    </w:p>
    <w:p w14:paraId="7382DCE1" w14:textId="77777777" w:rsidR="00270083" w:rsidRDefault="00270083" w:rsidP="00270083">
      <w:pPr>
        <w:spacing w:line="360" w:lineRule="auto"/>
        <w:ind w:left="720" w:hanging="720"/>
        <w:jc w:val="both"/>
        <w:rPr>
          <w:sz w:val="26"/>
          <w:szCs w:val="26"/>
          <w:rtl/>
        </w:rPr>
      </w:pPr>
      <w:r>
        <w:rPr>
          <w:rFonts w:hint="cs"/>
          <w:sz w:val="26"/>
          <w:szCs w:val="26"/>
          <w:rtl/>
        </w:rPr>
        <w:t>12.</w:t>
      </w:r>
      <w:r>
        <w:rPr>
          <w:rFonts w:hint="cs"/>
          <w:sz w:val="26"/>
          <w:szCs w:val="26"/>
          <w:rtl/>
        </w:rPr>
        <w:tab/>
        <w:t>עבירת ההחזקה של סם מסוכן שלא לצריכה עצמית היא עבירה שקיימת לגביה</w:t>
      </w:r>
      <w:r w:rsidRPr="0018798E">
        <w:rPr>
          <w:rFonts w:cs="FrankRuehl" w:hint="cs"/>
          <w:sz w:val="28"/>
          <w:szCs w:val="28"/>
          <w:rtl/>
        </w:rPr>
        <w:t xml:space="preserve"> </w:t>
      </w:r>
      <w:r w:rsidRPr="0018798E">
        <w:rPr>
          <w:rFonts w:hint="cs"/>
          <w:sz w:val="26"/>
          <w:szCs w:val="26"/>
          <w:rtl/>
        </w:rPr>
        <w:t xml:space="preserve">שונות רבה בנסיבות, בחומרה, ומכאן גם בענישה. במקרה זה, הנסיבות חמורות יחסית: </w:t>
      </w:r>
      <w:r>
        <w:rPr>
          <w:rFonts w:hint="cs"/>
          <w:sz w:val="26"/>
          <w:szCs w:val="26"/>
          <w:rtl/>
        </w:rPr>
        <w:t>כמות הסם ג</w:t>
      </w:r>
      <w:r w:rsidRPr="0018798E">
        <w:rPr>
          <w:rFonts w:hint="cs"/>
          <w:sz w:val="26"/>
          <w:szCs w:val="26"/>
          <w:rtl/>
        </w:rPr>
        <w:t>דול</w:t>
      </w:r>
      <w:r>
        <w:rPr>
          <w:rFonts w:hint="cs"/>
          <w:sz w:val="26"/>
          <w:szCs w:val="26"/>
          <w:rtl/>
        </w:rPr>
        <w:t>ה</w:t>
      </w:r>
      <w:r w:rsidRPr="0018798E">
        <w:rPr>
          <w:rFonts w:hint="cs"/>
          <w:sz w:val="26"/>
          <w:szCs w:val="26"/>
          <w:rtl/>
        </w:rPr>
        <w:t xml:space="preserve">. </w:t>
      </w:r>
      <w:r>
        <w:rPr>
          <w:rFonts w:hint="cs"/>
          <w:sz w:val="26"/>
          <w:szCs w:val="26"/>
          <w:rtl/>
        </w:rPr>
        <w:t xml:space="preserve">הסם הוחזק </w:t>
      </w:r>
      <w:r w:rsidRPr="0018798E">
        <w:rPr>
          <w:rFonts w:hint="cs"/>
          <w:sz w:val="26"/>
          <w:szCs w:val="26"/>
          <w:rtl/>
        </w:rPr>
        <w:t xml:space="preserve">בתוך מכונת כביסה, דהיינו במקום המצביע על ניסיון </w:t>
      </w:r>
      <w:r>
        <w:rPr>
          <w:rFonts w:hint="cs"/>
          <w:sz w:val="26"/>
          <w:szCs w:val="26"/>
          <w:rtl/>
        </w:rPr>
        <w:t>ל</w:t>
      </w:r>
      <w:r w:rsidRPr="0018798E">
        <w:rPr>
          <w:rFonts w:hint="cs"/>
          <w:sz w:val="26"/>
          <w:szCs w:val="26"/>
          <w:rtl/>
        </w:rPr>
        <w:t xml:space="preserve">הסתרה. </w:t>
      </w:r>
      <w:r>
        <w:rPr>
          <w:rFonts w:hint="cs"/>
          <w:sz w:val="26"/>
          <w:szCs w:val="26"/>
          <w:rtl/>
        </w:rPr>
        <w:t>הנאשם טען אמנם כי הוא משתמש בסמים וכי הכמות שהחזיק בה נועדה לשימוש העצמי, אולם לא הונחה תשתית עובדתית לכך ולא הוכח</w:t>
      </w:r>
      <w:r w:rsidRPr="0018798E">
        <w:rPr>
          <w:rFonts w:hint="cs"/>
          <w:sz w:val="26"/>
          <w:szCs w:val="26"/>
          <w:rtl/>
        </w:rPr>
        <w:t xml:space="preserve"> שהכמות שהחזיק </w:t>
      </w:r>
      <w:r>
        <w:rPr>
          <w:rFonts w:hint="cs"/>
          <w:sz w:val="26"/>
          <w:szCs w:val="26"/>
          <w:rtl/>
        </w:rPr>
        <w:t xml:space="preserve">הנאשם </w:t>
      </w:r>
      <w:r w:rsidRPr="0018798E">
        <w:rPr>
          <w:rFonts w:hint="cs"/>
          <w:sz w:val="26"/>
          <w:szCs w:val="26"/>
          <w:rtl/>
        </w:rPr>
        <w:t>היא כזו שסביר להניח שירכוש לשימושו העצמי. הסם הוחזק יחד עם משקל המהווה אינדיקציה לאפשרות של סחר</w:t>
      </w:r>
      <w:r>
        <w:rPr>
          <w:rFonts w:hint="cs"/>
          <w:sz w:val="26"/>
          <w:szCs w:val="26"/>
          <w:rtl/>
        </w:rPr>
        <w:t xml:space="preserve"> בסמים</w:t>
      </w:r>
      <w:r w:rsidRPr="0018798E">
        <w:rPr>
          <w:rFonts w:hint="cs"/>
          <w:sz w:val="26"/>
          <w:szCs w:val="26"/>
          <w:rtl/>
        </w:rPr>
        <w:t>. לאור זאת נסיבות עבירת ההח</w:t>
      </w:r>
      <w:r>
        <w:rPr>
          <w:rFonts w:hint="cs"/>
          <w:sz w:val="26"/>
          <w:szCs w:val="26"/>
          <w:rtl/>
        </w:rPr>
        <w:t>זקה חמורות יחסית</w:t>
      </w:r>
      <w:r w:rsidRPr="0018798E">
        <w:rPr>
          <w:rFonts w:hint="cs"/>
          <w:sz w:val="26"/>
          <w:szCs w:val="26"/>
          <w:rtl/>
        </w:rPr>
        <w:t>.</w:t>
      </w:r>
    </w:p>
    <w:p w14:paraId="7E608810" w14:textId="77777777" w:rsidR="00270083" w:rsidRDefault="00270083" w:rsidP="00270083">
      <w:pPr>
        <w:spacing w:line="360" w:lineRule="auto"/>
        <w:ind w:left="720" w:hanging="720"/>
        <w:jc w:val="both"/>
        <w:rPr>
          <w:sz w:val="26"/>
          <w:szCs w:val="26"/>
          <w:rtl/>
        </w:rPr>
      </w:pPr>
    </w:p>
    <w:p w14:paraId="5850D668" w14:textId="77777777" w:rsidR="00270083" w:rsidRDefault="00270083" w:rsidP="00270083">
      <w:pPr>
        <w:spacing w:line="360" w:lineRule="auto"/>
        <w:ind w:left="720"/>
        <w:jc w:val="both"/>
        <w:rPr>
          <w:sz w:val="26"/>
          <w:szCs w:val="26"/>
          <w:rtl/>
        </w:rPr>
      </w:pPr>
      <w:r>
        <w:rPr>
          <w:rFonts w:hint="cs"/>
          <w:sz w:val="26"/>
          <w:szCs w:val="26"/>
          <w:rtl/>
        </w:rPr>
        <w:t>13.</w:t>
      </w:r>
      <w:r>
        <w:rPr>
          <w:sz w:val="26"/>
          <w:szCs w:val="26"/>
          <w:rtl/>
        </w:rPr>
        <w:tab/>
      </w:r>
      <w:r>
        <w:rPr>
          <w:rFonts w:hint="cs"/>
          <w:sz w:val="26"/>
          <w:szCs w:val="26"/>
          <w:rtl/>
        </w:rPr>
        <w:t>עיינתי בפסקי הדין שהצדדים הפנו אליהם וכן בפסקי דין נוספים, ובין היתר ב</w:t>
      </w:r>
      <w:hyperlink r:id="rId11" w:history="1">
        <w:r w:rsidR="00DC790C" w:rsidRPr="00DC790C">
          <w:rPr>
            <w:color w:val="0000FF"/>
            <w:sz w:val="26"/>
            <w:szCs w:val="26"/>
            <w:u w:val="single"/>
            <w:rtl/>
          </w:rPr>
          <w:t>ת"פ (ת"א) 3629-11-11</w:t>
        </w:r>
      </w:hyperlink>
      <w:r>
        <w:rPr>
          <w:rFonts w:hint="cs"/>
          <w:sz w:val="26"/>
          <w:szCs w:val="26"/>
          <w:rtl/>
        </w:rPr>
        <w:t xml:space="preserve">, </w:t>
      </w:r>
      <w:r>
        <w:rPr>
          <w:rFonts w:hint="cs"/>
          <w:sz w:val="26"/>
          <w:szCs w:val="26"/>
          <w:u w:val="single"/>
          <w:rtl/>
        </w:rPr>
        <w:t>מדינת ישראל נגד יהושע פיצחדזה</w:t>
      </w:r>
      <w:hyperlink r:id="rId12" w:history="1">
        <w:r w:rsidR="000A53FA" w:rsidRPr="000A53FA">
          <w:rPr>
            <w:color w:val="0000FF"/>
            <w:sz w:val="26"/>
            <w:szCs w:val="26"/>
            <w:u w:val="single"/>
            <w:rtl/>
          </w:rPr>
          <w:t>; ת"פ (ב"ש) 1545/09</w:t>
        </w:r>
      </w:hyperlink>
      <w:r>
        <w:rPr>
          <w:rFonts w:hint="cs"/>
          <w:sz w:val="26"/>
          <w:szCs w:val="26"/>
          <w:rtl/>
        </w:rPr>
        <w:t xml:space="preserve">, </w:t>
      </w:r>
      <w:r>
        <w:rPr>
          <w:rFonts w:hint="cs"/>
          <w:sz w:val="26"/>
          <w:szCs w:val="26"/>
          <w:u w:val="single"/>
          <w:rtl/>
        </w:rPr>
        <w:t>מדינת ישראל נגד כהן אור</w:t>
      </w:r>
      <w:r>
        <w:rPr>
          <w:rFonts w:hint="cs"/>
          <w:sz w:val="26"/>
          <w:szCs w:val="26"/>
          <w:rtl/>
        </w:rPr>
        <w:t xml:space="preserve">; </w:t>
      </w:r>
      <w:hyperlink r:id="rId13" w:history="1">
        <w:r w:rsidR="00DC790C" w:rsidRPr="00DC790C">
          <w:rPr>
            <w:color w:val="0000FF"/>
            <w:sz w:val="26"/>
            <w:szCs w:val="26"/>
            <w:u w:val="single"/>
            <w:rtl/>
          </w:rPr>
          <w:t>ת"פ (י-ם) 726-01-14</w:t>
        </w:r>
      </w:hyperlink>
      <w:r>
        <w:rPr>
          <w:rFonts w:hint="cs"/>
          <w:sz w:val="26"/>
          <w:szCs w:val="26"/>
          <w:rtl/>
        </w:rPr>
        <w:t xml:space="preserve">, </w:t>
      </w:r>
      <w:r>
        <w:rPr>
          <w:rFonts w:hint="cs"/>
          <w:sz w:val="26"/>
          <w:szCs w:val="26"/>
          <w:u w:val="single"/>
          <w:rtl/>
        </w:rPr>
        <w:t>מדינת ישראל נגד עבד אל חלים זיתון</w:t>
      </w:r>
      <w:r>
        <w:rPr>
          <w:rFonts w:hint="cs"/>
          <w:sz w:val="26"/>
          <w:szCs w:val="26"/>
          <w:rtl/>
        </w:rPr>
        <w:t xml:space="preserve">, והערעור עליו </w:t>
      </w:r>
      <w:r>
        <w:rPr>
          <w:sz w:val="26"/>
          <w:szCs w:val="26"/>
          <w:rtl/>
        </w:rPr>
        <w:t>–</w:t>
      </w:r>
      <w:r>
        <w:rPr>
          <w:rFonts w:hint="cs"/>
          <w:sz w:val="26"/>
          <w:szCs w:val="26"/>
          <w:rtl/>
        </w:rPr>
        <w:t xml:space="preserve"> </w:t>
      </w:r>
      <w:hyperlink r:id="rId14" w:history="1">
        <w:r w:rsidR="00DC790C" w:rsidRPr="00DC790C">
          <w:rPr>
            <w:color w:val="0000FF"/>
            <w:sz w:val="26"/>
            <w:szCs w:val="26"/>
            <w:u w:val="single"/>
            <w:rtl/>
          </w:rPr>
          <w:t>עפ"ג 14888-09-14</w:t>
        </w:r>
      </w:hyperlink>
      <w:r>
        <w:rPr>
          <w:rFonts w:hint="cs"/>
          <w:sz w:val="26"/>
          <w:szCs w:val="26"/>
          <w:rtl/>
        </w:rPr>
        <w:t xml:space="preserve">, </w:t>
      </w:r>
      <w:r>
        <w:rPr>
          <w:rFonts w:hint="cs"/>
          <w:sz w:val="26"/>
          <w:szCs w:val="26"/>
          <w:u w:val="single"/>
          <w:rtl/>
        </w:rPr>
        <w:t>עבד אל חלים זיתון נגד מדינת ישראל</w:t>
      </w:r>
      <w:r>
        <w:rPr>
          <w:rFonts w:hint="cs"/>
          <w:sz w:val="26"/>
          <w:szCs w:val="26"/>
          <w:rtl/>
        </w:rPr>
        <w:t xml:space="preserve">; </w:t>
      </w:r>
      <w:hyperlink r:id="rId15" w:history="1">
        <w:r w:rsidR="00DC790C" w:rsidRPr="00DC790C">
          <w:rPr>
            <w:color w:val="0000FF"/>
            <w:sz w:val="26"/>
            <w:szCs w:val="26"/>
            <w:u w:val="single"/>
            <w:rtl/>
          </w:rPr>
          <w:t>ת"פ (י-ם)</w:t>
        </w:r>
        <w:r w:rsidR="00DC790C" w:rsidRPr="00DC790C">
          <w:rPr>
            <w:color w:val="0000FF"/>
            <w:sz w:val="26"/>
            <w:szCs w:val="26"/>
            <w:u w:val="single"/>
            <w:rtl/>
          </w:rPr>
          <w:cr/>
          <w:t>19057-06-14</w:t>
        </w:r>
      </w:hyperlink>
      <w:r>
        <w:rPr>
          <w:rFonts w:hint="cs"/>
          <w:sz w:val="26"/>
          <w:szCs w:val="26"/>
          <w:rtl/>
        </w:rPr>
        <w:t xml:space="preserve">, </w:t>
      </w:r>
      <w:r>
        <w:rPr>
          <w:rFonts w:hint="cs"/>
          <w:sz w:val="26"/>
          <w:szCs w:val="26"/>
          <w:u w:val="single"/>
          <w:rtl/>
        </w:rPr>
        <w:t>מדינת ישראל נגד ריאד אבו דיאב</w:t>
      </w:r>
      <w:r>
        <w:rPr>
          <w:rFonts w:hint="cs"/>
          <w:sz w:val="26"/>
          <w:szCs w:val="26"/>
          <w:rtl/>
        </w:rPr>
        <w:t xml:space="preserve">; </w:t>
      </w:r>
      <w:hyperlink r:id="rId16" w:history="1">
        <w:r w:rsidR="00DC790C" w:rsidRPr="00DC790C">
          <w:rPr>
            <w:color w:val="0000FF"/>
            <w:sz w:val="26"/>
            <w:szCs w:val="26"/>
            <w:u w:val="single"/>
            <w:rtl/>
          </w:rPr>
          <w:t>ת"פ (י-ם) 47156-02-14</w:t>
        </w:r>
      </w:hyperlink>
      <w:r>
        <w:rPr>
          <w:rFonts w:hint="cs"/>
          <w:sz w:val="26"/>
          <w:szCs w:val="26"/>
          <w:rtl/>
        </w:rPr>
        <w:t xml:space="preserve">, </w:t>
      </w:r>
      <w:r>
        <w:rPr>
          <w:rFonts w:hint="cs"/>
          <w:sz w:val="26"/>
          <w:szCs w:val="26"/>
          <w:u w:val="single"/>
          <w:rtl/>
        </w:rPr>
        <w:t>מדינת ישראל נגד רפאל נחום</w:t>
      </w:r>
      <w:r>
        <w:rPr>
          <w:rFonts w:hint="cs"/>
          <w:sz w:val="26"/>
          <w:szCs w:val="26"/>
          <w:rtl/>
        </w:rPr>
        <w:t xml:space="preserve">; </w:t>
      </w:r>
      <w:hyperlink r:id="rId17" w:history="1">
        <w:r w:rsidR="00DC790C" w:rsidRPr="00DC790C">
          <w:rPr>
            <w:color w:val="0000FF"/>
            <w:sz w:val="26"/>
            <w:szCs w:val="26"/>
            <w:u w:val="single"/>
            <w:rtl/>
          </w:rPr>
          <w:t>ת"פ (רמ') 10767-02-15</w:t>
        </w:r>
      </w:hyperlink>
      <w:r>
        <w:rPr>
          <w:rFonts w:hint="cs"/>
          <w:sz w:val="26"/>
          <w:szCs w:val="26"/>
          <w:rtl/>
        </w:rPr>
        <w:t>,</w:t>
      </w:r>
      <w:r w:rsidRPr="001870AB">
        <w:rPr>
          <w:sz w:val="26"/>
          <w:szCs w:val="26"/>
          <w:rtl/>
        </w:rPr>
        <w:t xml:space="preserve"> </w:t>
      </w:r>
      <w:r w:rsidRPr="001870AB">
        <w:rPr>
          <w:rFonts w:hint="eastAsia"/>
          <w:sz w:val="26"/>
          <w:szCs w:val="26"/>
          <w:u w:val="single"/>
          <w:rtl/>
        </w:rPr>
        <w:t>מ</w:t>
      </w:r>
      <w:r>
        <w:rPr>
          <w:rFonts w:hint="cs"/>
          <w:sz w:val="26"/>
          <w:szCs w:val="26"/>
          <w:u w:val="single"/>
          <w:rtl/>
        </w:rPr>
        <w:t>דינת ישראל</w:t>
      </w:r>
      <w:r w:rsidRPr="001870AB">
        <w:rPr>
          <w:sz w:val="26"/>
          <w:szCs w:val="26"/>
          <w:u w:val="single"/>
          <w:rtl/>
        </w:rPr>
        <w:t xml:space="preserve"> </w:t>
      </w:r>
      <w:r w:rsidRPr="001870AB">
        <w:rPr>
          <w:rFonts w:hint="eastAsia"/>
          <w:sz w:val="26"/>
          <w:szCs w:val="26"/>
          <w:u w:val="single"/>
          <w:rtl/>
        </w:rPr>
        <w:t>נ</w:t>
      </w:r>
      <w:r w:rsidRPr="001870AB">
        <w:rPr>
          <w:rFonts w:hint="cs"/>
          <w:sz w:val="26"/>
          <w:szCs w:val="26"/>
          <w:u w:val="single"/>
          <w:rtl/>
        </w:rPr>
        <w:t>גד</w:t>
      </w:r>
      <w:r w:rsidRPr="001870AB">
        <w:rPr>
          <w:sz w:val="26"/>
          <w:szCs w:val="26"/>
          <w:u w:val="single"/>
          <w:rtl/>
        </w:rPr>
        <w:t xml:space="preserve"> </w:t>
      </w:r>
      <w:r w:rsidRPr="001870AB">
        <w:rPr>
          <w:rFonts w:hint="eastAsia"/>
          <w:sz w:val="26"/>
          <w:szCs w:val="26"/>
          <w:u w:val="single"/>
          <w:rtl/>
        </w:rPr>
        <w:t>ערן</w:t>
      </w:r>
      <w:r w:rsidRPr="001870AB">
        <w:rPr>
          <w:sz w:val="26"/>
          <w:szCs w:val="26"/>
          <w:u w:val="single"/>
          <w:rtl/>
        </w:rPr>
        <w:t xml:space="preserve"> </w:t>
      </w:r>
      <w:r w:rsidRPr="001870AB">
        <w:rPr>
          <w:rFonts w:hint="eastAsia"/>
          <w:sz w:val="26"/>
          <w:szCs w:val="26"/>
          <w:u w:val="single"/>
          <w:rtl/>
        </w:rPr>
        <w:t>מזרחי</w:t>
      </w:r>
      <w:r>
        <w:rPr>
          <w:rFonts w:hint="cs"/>
          <w:sz w:val="26"/>
          <w:szCs w:val="26"/>
          <w:rtl/>
        </w:rPr>
        <w:t xml:space="preserve">; </w:t>
      </w:r>
      <w:hyperlink r:id="rId18" w:history="1">
        <w:r w:rsidR="00DC790C" w:rsidRPr="00DC790C">
          <w:rPr>
            <w:color w:val="0000FF"/>
            <w:sz w:val="26"/>
            <w:szCs w:val="26"/>
            <w:u w:val="single"/>
            <w:rtl/>
          </w:rPr>
          <w:t>ת"פ (רמ') 21873-05-14</w:t>
        </w:r>
      </w:hyperlink>
      <w:r>
        <w:rPr>
          <w:rFonts w:hint="cs"/>
          <w:sz w:val="26"/>
          <w:szCs w:val="26"/>
          <w:rtl/>
        </w:rPr>
        <w:t xml:space="preserve">, </w:t>
      </w:r>
      <w:r>
        <w:rPr>
          <w:rFonts w:hint="cs"/>
          <w:sz w:val="26"/>
          <w:szCs w:val="26"/>
          <w:u w:val="single"/>
          <w:rtl/>
        </w:rPr>
        <w:t>מדנת ישראל נגד</w:t>
      </w:r>
      <w:r w:rsidRPr="00333EB4">
        <w:rPr>
          <w:sz w:val="26"/>
          <w:szCs w:val="26"/>
          <w:u w:val="single"/>
          <w:rtl/>
        </w:rPr>
        <w:t xml:space="preserve"> </w:t>
      </w:r>
      <w:r w:rsidRPr="00333EB4">
        <w:rPr>
          <w:rFonts w:hint="eastAsia"/>
          <w:sz w:val="26"/>
          <w:szCs w:val="26"/>
          <w:u w:val="single"/>
          <w:rtl/>
        </w:rPr>
        <w:t>יצחק</w:t>
      </w:r>
      <w:r w:rsidRPr="00333EB4">
        <w:rPr>
          <w:sz w:val="26"/>
          <w:szCs w:val="26"/>
          <w:u w:val="single"/>
          <w:rtl/>
        </w:rPr>
        <w:t xml:space="preserve"> </w:t>
      </w:r>
      <w:r w:rsidRPr="00333EB4">
        <w:rPr>
          <w:rFonts w:hint="eastAsia"/>
          <w:sz w:val="26"/>
          <w:szCs w:val="26"/>
          <w:u w:val="single"/>
          <w:rtl/>
        </w:rPr>
        <w:t>דהאן</w:t>
      </w:r>
      <w:r>
        <w:rPr>
          <w:rFonts w:hint="cs"/>
          <w:sz w:val="26"/>
          <w:szCs w:val="26"/>
          <w:rtl/>
        </w:rPr>
        <w:t xml:space="preserve">; </w:t>
      </w:r>
      <w:hyperlink r:id="rId19" w:history="1">
        <w:r w:rsidR="00DC790C" w:rsidRPr="00DC790C">
          <w:rPr>
            <w:color w:val="0000FF"/>
            <w:sz w:val="26"/>
            <w:szCs w:val="26"/>
            <w:u w:val="single"/>
            <w:rtl/>
          </w:rPr>
          <w:t>ת"פ (פ"ת) 51123-01-12</w:t>
        </w:r>
      </w:hyperlink>
      <w:r w:rsidRPr="00BC4CCF">
        <w:rPr>
          <w:rFonts w:hint="cs"/>
          <w:sz w:val="26"/>
          <w:szCs w:val="26"/>
          <w:u w:val="single"/>
          <w:rtl/>
        </w:rPr>
        <w:t>,</w:t>
      </w:r>
      <w:r w:rsidRPr="00BC4CCF">
        <w:rPr>
          <w:sz w:val="26"/>
          <w:szCs w:val="26"/>
          <w:rtl/>
        </w:rPr>
        <w:t xml:space="preserve"> </w:t>
      </w:r>
      <w:r>
        <w:rPr>
          <w:sz w:val="26"/>
          <w:szCs w:val="26"/>
          <w:u w:val="single"/>
          <w:rtl/>
        </w:rPr>
        <w:t>מדינת ישראל נ</w:t>
      </w:r>
      <w:r>
        <w:rPr>
          <w:rFonts w:hint="cs"/>
          <w:sz w:val="26"/>
          <w:szCs w:val="26"/>
          <w:u w:val="single"/>
          <w:rtl/>
        </w:rPr>
        <w:t>גד</w:t>
      </w:r>
      <w:r w:rsidRPr="00BC4CCF">
        <w:rPr>
          <w:sz w:val="26"/>
          <w:szCs w:val="26"/>
          <w:u w:val="single"/>
          <w:rtl/>
        </w:rPr>
        <w:t xml:space="preserve"> חוטוריאנסקי</w:t>
      </w:r>
      <w:r>
        <w:rPr>
          <w:rFonts w:hint="cs"/>
          <w:sz w:val="26"/>
          <w:szCs w:val="26"/>
          <w:rtl/>
        </w:rPr>
        <w:t xml:space="preserve">; </w:t>
      </w:r>
      <w:r w:rsidRPr="00BC4CCF">
        <w:rPr>
          <w:rFonts w:hint="eastAsia"/>
          <w:sz w:val="26"/>
          <w:szCs w:val="26"/>
          <w:rtl/>
        </w:rPr>
        <w:t>תפ</w:t>
      </w:r>
      <w:r w:rsidRPr="00BC4CCF">
        <w:rPr>
          <w:sz w:val="26"/>
          <w:szCs w:val="26"/>
          <w:rtl/>
        </w:rPr>
        <w:t xml:space="preserve"> (</w:t>
      </w:r>
      <w:r w:rsidRPr="00BC4CCF">
        <w:rPr>
          <w:rFonts w:hint="eastAsia"/>
          <w:sz w:val="26"/>
          <w:szCs w:val="26"/>
          <w:rtl/>
        </w:rPr>
        <w:t>אי</w:t>
      </w:r>
      <w:r w:rsidRPr="00BC4CCF">
        <w:rPr>
          <w:sz w:val="26"/>
          <w:szCs w:val="26"/>
          <w:rtl/>
        </w:rPr>
        <w:t>') 1108-09</w:t>
      </w:r>
      <w:r>
        <w:rPr>
          <w:rFonts w:hint="cs"/>
          <w:sz w:val="26"/>
          <w:szCs w:val="26"/>
          <w:rtl/>
        </w:rPr>
        <w:t xml:space="preserve">, </w:t>
      </w:r>
      <w:r w:rsidRPr="00BC4CCF">
        <w:rPr>
          <w:rFonts w:hint="cs"/>
          <w:sz w:val="26"/>
          <w:szCs w:val="26"/>
          <w:u w:val="single"/>
          <w:rtl/>
        </w:rPr>
        <w:t>מדינת ישראל נגד</w:t>
      </w:r>
      <w:r w:rsidRPr="00BC4CCF">
        <w:rPr>
          <w:sz w:val="26"/>
          <w:szCs w:val="26"/>
          <w:u w:val="single"/>
          <w:rtl/>
        </w:rPr>
        <w:t xml:space="preserve"> </w:t>
      </w:r>
      <w:r w:rsidRPr="00BC4CCF">
        <w:rPr>
          <w:rFonts w:hint="eastAsia"/>
          <w:sz w:val="26"/>
          <w:szCs w:val="26"/>
          <w:u w:val="single"/>
          <w:rtl/>
        </w:rPr>
        <w:t>יבגני</w:t>
      </w:r>
      <w:r w:rsidRPr="00BC4CCF">
        <w:rPr>
          <w:sz w:val="26"/>
          <w:szCs w:val="26"/>
          <w:u w:val="single"/>
          <w:rtl/>
        </w:rPr>
        <w:t xml:space="preserve"> </w:t>
      </w:r>
      <w:r w:rsidRPr="00BC4CCF">
        <w:rPr>
          <w:rFonts w:hint="eastAsia"/>
          <w:sz w:val="26"/>
          <w:szCs w:val="26"/>
          <w:u w:val="single"/>
          <w:rtl/>
        </w:rPr>
        <w:t>וורנין</w:t>
      </w:r>
      <w:r>
        <w:rPr>
          <w:rFonts w:hint="cs"/>
          <w:sz w:val="26"/>
          <w:szCs w:val="26"/>
          <w:rtl/>
        </w:rPr>
        <w:t xml:space="preserve">; </w:t>
      </w:r>
      <w:hyperlink r:id="rId20" w:history="1">
        <w:r w:rsidR="00DC790C" w:rsidRPr="00DC790C">
          <w:rPr>
            <w:color w:val="0000FF"/>
            <w:sz w:val="26"/>
            <w:szCs w:val="26"/>
            <w:u w:val="single"/>
            <w:rtl/>
          </w:rPr>
          <w:t>תפ (ק"ג) 39579-01-14</w:t>
        </w:r>
      </w:hyperlink>
      <w:r>
        <w:rPr>
          <w:rFonts w:hint="cs"/>
          <w:sz w:val="26"/>
          <w:szCs w:val="26"/>
          <w:rtl/>
        </w:rPr>
        <w:t>,</w:t>
      </w:r>
      <w:r w:rsidRPr="00BC4CCF">
        <w:rPr>
          <w:sz w:val="26"/>
          <w:szCs w:val="26"/>
          <w:rtl/>
        </w:rPr>
        <w:t xml:space="preserve"> </w:t>
      </w:r>
      <w:r w:rsidRPr="00BC4CCF">
        <w:rPr>
          <w:rFonts w:hint="eastAsia"/>
          <w:sz w:val="26"/>
          <w:szCs w:val="26"/>
          <w:u w:val="single"/>
          <w:rtl/>
        </w:rPr>
        <w:t>מדינת</w:t>
      </w:r>
      <w:r w:rsidRPr="00BC4CCF">
        <w:rPr>
          <w:sz w:val="26"/>
          <w:szCs w:val="26"/>
          <w:u w:val="single"/>
          <w:rtl/>
        </w:rPr>
        <w:t xml:space="preserve"> </w:t>
      </w:r>
      <w:r w:rsidRPr="00BC4CCF">
        <w:rPr>
          <w:rFonts w:hint="eastAsia"/>
          <w:sz w:val="26"/>
          <w:szCs w:val="26"/>
          <w:u w:val="single"/>
          <w:rtl/>
        </w:rPr>
        <w:t>ישראל</w:t>
      </w:r>
      <w:r w:rsidRPr="00BC4CCF">
        <w:rPr>
          <w:sz w:val="26"/>
          <w:szCs w:val="26"/>
          <w:u w:val="single"/>
          <w:rtl/>
        </w:rPr>
        <w:t xml:space="preserve"> </w:t>
      </w:r>
      <w:r w:rsidRPr="00BC4CCF">
        <w:rPr>
          <w:rFonts w:hint="eastAsia"/>
          <w:sz w:val="26"/>
          <w:szCs w:val="26"/>
          <w:u w:val="single"/>
          <w:rtl/>
        </w:rPr>
        <w:t>נ</w:t>
      </w:r>
      <w:r>
        <w:rPr>
          <w:rFonts w:hint="cs"/>
          <w:sz w:val="26"/>
          <w:szCs w:val="26"/>
          <w:u w:val="single"/>
          <w:rtl/>
        </w:rPr>
        <w:t>גד</w:t>
      </w:r>
      <w:r w:rsidRPr="00BC4CCF">
        <w:rPr>
          <w:sz w:val="26"/>
          <w:szCs w:val="26"/>
          <w:u w:val="single"/>
          <w:rtl/>
        </w:rPr>
        <w:t xml:space="preserve"> </w:t>
      </w:r>
      <w:r w:rsidRPr="00BC4CCF">
        <w:rPr>
          <w:rFonts w:hint="eastAsia"/>
          <w:sz w:val="26"/>
          <w:szCs w:val="26"/>
          <w:u w:val="single"/>
          <w:rtl/>
        </w:rPr>
        <w:t>אולג</w:t>
      </w:r>
      <w:r w:rsidRPr="00BC4CCF">
        <w:rPr>
          <w:sz w:val="26"/>
          <w:szCs w:val="26"/>
          <w:u w:val="single"/>
          <w:rtl/>
        </w:rPr>
        <w:t xml:space="preserve"> </w:t>
      </w:r>
      <w:r w:rsidRPr="00BC4CCF">
        <w:rPr>
          <w:rFonts w:hint="eastAsia"/>
          <w:sz w:val="26"/>
          <w:szCs w:val="26"/>
          <w:u w:val="single"/>
          <w:rtl/>
        </w:rPr>
        <w:t>צ</w:t>
      </w:r>
      <w:r w:rsidRPr="00BC4CCF">
        <w:rPr>
          <w:sz w:val="26"/>
          <w:szCs w:val="26"/>
          <w:u w:val="single"/>
          <w:rtl/>
        </w:rPr>
        <w:t>'</w:t>
      </w:r>
      <w:r w:rsidRPr="00BC4CCF">
        <w:rPr>
          <w:rFonts w:hint="eastAsia"/>
          <w:sz w:val="26"/>
          <w:szCs w:val="26"/>
          <w:u w:val="single"/>
          <w:rtl/>
        </w:rPr>
        <w:t>רנוב</w:t>
      </w:r>
      <w:r>
        <w:rPr>
          <w:rFonts w:hint="cs"/>
          <w:sz w:val="26"/>
          <w:szCs w:val="26"/>
          <w:rtl/>
        </w:rPr>
        <w:t>.</w:t>
      </w:r>
    </w:p>
    <w:p w14:paraId="303E32B7" w14:textId="77777777" w:rsidR="00270083" w:rsidRDefault="00270083" w:rsidP="00270083">
      <w:pPr>
        <w:spacing w:line="360" w:lineRule="auto"/>
        <w:ind w:left="720"/>
        <w:jc w:val="both"/>
        <w:rPr>
          <w:sz w:val="26"/>
          <w:szCs w:val="26"/>
          <w:rtl/>
        </w:rPr>
      </w:pPr>
    </w:p>
    <w:p w14:paraId="5D2C75A3" w14:textId="77777777" w:rsidR="00270083" w:rsidRDefault="00270083" w:rsidP="00270083">
      <w:pPr>
        <w:spacing w:line="360" w:lineRule="auto"/>
        <w:ind w:left="720"/>
        <w:jc w:val="both"/>
        <w:rPr>
          <w:sz w:val="26"/>
          <w:szCs w:val="26"/>
          <w:rtl/>
        </w:rPr>
      </w:pPr>
      <w:r>
        <w:rPr>
          <w:rFonts w:hint="cs"/>
          <w:sz w:val="26"/>
          <w:szCs w:val="26"/>
          <w:rtl/>
        </w:rPr>
        <w:t xml:space="preserve"> </w:t>
      </w:r>
      <w:r w:rsidRPr="00B7192B">
        <w:rPr>
          <w:rFonts w:hint="cs"/>
          <w:sz w:val="26"/>
          <w:szCs w:val="26"/>
          <w:rtl/>
        </w:rPr>
        <w:t xml:space="preserve">לאור כל האמור אני סבורה שמתחם הענישה לכל אחד מהאישומים בהם הורשע הנאשם נע בין שלושה לבין תשעה חודשי מאסר.  </w:t>
      </w:r>
      <w:r>
        <w:rPr>
          <w:rFonts w:hint="cs"/>
          <w:sz w:val="26"/>
          <w:szCs w:val="26"/>
          <w:rtl/>
        </w:rPr>
        <w:t xml:space="preserve">בנוסף ראוי להטיל על הנאשם קנס כספי משמעותיים, בהתחשב בכך שמדובר בעבירות שבצידן טובת הנאה כספית, וכן בשים לב לסכומי הכסף הגדולים שהוחזקו על ידי הנאשם בנסיבות מחשידות בתוך מכונת הכביסה שבמחסן ביתו. </w:t>
      </w:r>
    </w:p>
    <w:p w14:paraId="0DA9E248" w14:textId="77777777" w:rsidR="00270083" w:rsidRPr="00BC4CCF" w:rsidRDefault="00270083" w:rsidP="00270083">
      <w:pPr>
        <w:spacing w:line="360" w:lineRule="auto"/>
        <w:ind w:left="720"/>
        <w:jc w:val="both"/>
        <w:rPr>
          <w:sz w:val="26"/>
          <w:szCs w:val="26"/>
          <w:rtl/>
        </w:rPr>
      </w:pPr>
    </w:p>
    <w:p w14:paraId="495AA57E" w14:textId="77777777" w:rsidR="00270083" w:rsidRDefault="00270083" w:rsidP="00270083">
      <w:pPr>
        <w:spacing w:line="360" w:lineRule="auto"/>
        <w:ind w:left="720" w:hanging="720"/>
        <w:jc w:val="both"/>
        <w:rPr>
          <w:b/>
          <w:bCs/>
          <w:sz w:val="26"/>
          <w:szCs w:val="26"/>
          <w:u w:val="single"/>
          <w:rtl/>
        </w:rPr>
      </w:pPr>
      <w:r>
        <w:rPr>
          <w:rFonts w:hint="cs"/>
          <w:sz w:val="26"/>
          <w:szCs w:val="26"/>
          <w:rtl/>
        </w:rPr>
        <w:t xml:space="preserve"> </w:t>
      </w:r>
      <w:r w:rsidRPr="009753B6">
        <w:rPr>
          <w:rFonts w:hint="cs"/>
          <w:b/>
          <w:bCs/>
          <w:sz w:val="26"/>
          <w:szCs w:val="26"/>
          <w:u w:val="single"/>
          <w:rtl/>
        </w:rPr>
        <w:t xml:space="preserve">העונש הראוי במקרה זה </w:t>
      </w:r>
    </w:p>
    <w:p w14:paraId="358BBB99" w14:textId="77777777" w:rsidR="00270083" w:rsidRPr="009753B6" w:rsidRDefault="00270083" w:rsidP="00270083">
      <w:pPr>
        <w:spacing w:line="360" w:lineRule="auto"/>
        <w:ind w:left="720" w:hanging="720"/>
        <w:jc w:val="both"/>
        <w:rPr>
          <w:b/>
          <w:bCs/>
          <w:sz w:val="26"/>
          <w:szCs w:val="26"/>
          <w:u w:val="single"/>
          <w:rtl/>
        </w:rPr>
      </w:pPr>
    </w:p>
    <w:p w14:paraId="4CA8BAD7" w14:textId="77777777" w:rsidR="00270083" w:rsidRDefault="00270083" w:rsidP="00270083">
      <w:pPr>
        <w:spacing w:line="360" w:lineRule="auto"/>
        <w:ind w:left="720" w:hanging="720"/>
        <w:jc w:val="both"/>
        <w:rPr>
          <w:sz w:val="26"/>
          <w:szCs w:val="26"/>
          <w:rtl/>
        </w:rPr>
      </w:pPr>
      <w:r>
        <w:rPr>
          <w:rFonts w:hint="cs"/>
          <w:sz w:val="26"/>
          <w:szCs w:val="26"/>
          <w:rtl/>
        </w:rPr>
        <w:t>14.</w:t>
      </w:r>
      <w:r>
        <w:rPr>
          <w:rFonts w:hint="cs"/>
          <w:sz w:val="26"/>
          <w:szCs w:val="26"/>
          <w:rtl/>
        </w:rPr>
        <w:tab/>
      </w:r>
      <w:r w:rsidRPr="009753B6">
        <w:rPr>
          <w:rFonts w:hint="cs"/>
          <w:sz w:val="26"/>
          <w:szCs w:val="26"/>
          <w:rtl/>
        </w:rPr>
        <w:t xml:space="preserve">ב"כ הנאשם טען לנסיבות חיים קשות של הנאשם. לדבריו הנאשם התרחק ממשפחתו, חי לבד בישראל, התגרש והוא עושה מאמץ לשמור על קשר עם הבת שנולדה לו בתקופת נישואיו, שהיא כיום בת 13. עוד נטען כי הנאשם סובל מקשיים רגשיים שונים. הוא הוגדר על ידי המטפל שהעיד מטעמו כאדם "צף". כמו כן נטען כי המעצר והמאסר גורמים סבל רב לנאשם עצמו, לבתו שעמה הוא מתאמץ, לדבריו, לשמור על קשר, וכן ליתר בני משפחתו. נטען כי אמו של הנאשם חולה ובמצב קשה מאד, אם כי לא הובאו מסמכים רפואיים (שניתן היה להביא גם מחו"ל) או ראיות אובייקטיביות בעניין זה. </w:t>
      </w:r>
    </w:p>
    <w:p w14:paraId="0014B748" w14:textId="77777777" w:rsidR="00270083" w:rsidRPr="009753B6" w:rsidRDefault="00270083" w:rsidP="00270083">
      <w:pPr>
        <w:spacing w:line="360" w:lineRule="auto"/>
        <w:ind w:left="720" w:hanging="720"/>
        <w:jc w:val="both"/>
        <w:rPr>
          <w:sz w:val="26"/>
          <w:szCs w:val="26"/>
          <w:rtl/>
        </w:rPr>
      </w:pPr>
    </w:p>
    <w:p w14:paraId="35C7EB39" w14:textId="77777777" w:rsidR="00270083" w:rsidRDefault="00270083" w:rsidP="00270083">
      <w:pPr>
        <w:spacing w:line="360" w:lineRule="auto"/>
        <w:ind w:left="720" w:hanging="720"/>
        <w:jc w:val="both"/>
        <w:rPr>
          <w:sz w:val="26"/>
          <w:szCs w:val="26"/>
          <w:rtl/>
        </w:rPr>
      </w:pPr>
      <w:r>
        <w:rPr>
          <w:rFonts w:hint="cs"/>
          <w:sz w:val="26"/>
          <w:szCs w:val="26"/>
          <w:rtl/>
        </w:rPr>
        <w:t>15.</w:t>
      </w:r>
      <w:r>
        <w:rPr>
          <w:rFonts w:hint="cs"/>
          <w:sz w:val="26"/>
          <w:szCs w:val="26"/>
          <w:rtl/>
        </w:rPr>
        <w:tab/>
      </w:r>
      <w:r w:rsidRPr="009753B6">
        <w:rPr>
          <w:rFonts w:hint="cs"/>
          <w:sz w:val="26"/>
          <w:szCs w:val="26"/>
          <w:rtl/>
        </w:rPr>
        <w:t xml:space="preserve">לעניין השיקום, גיסו של הנאשם הציע בשם בני המשפחה לתמוך בנאשם, ואף לאפשר לו לגור ביחידה סמוך לבית הגיס והאחות, על מנת להרחיקו מסביבתו. הירתמותה של המשפחה אכן ראויה להערכה, אולם הליך שיקום אינו יכול להצליח כאשר הוא מוכתב מבחוץ, ואינו מגיע מהנאשם עצמו. הנאשם בדבריו בסיום הטיעונים לעונש הביע אמנם רצון להשתקם, אולם לא היה שותף לרעיון של שינוי מקום מגוריו. הוא לא התחייב ואף לא הציע מסגרת או תכנית קונקרטית כלשהי. ראוי לציין כי ב"כ הנאשם לא ביקש להפנות את הנאשם לשירות המבחן, ואין בפני תסקיר. כך שכל שנאמר בנוגע לשיקום אינו יותר מדברים בעלמא. </w:t>
      </w:r>
    </w:p>
    <w:p w14:paraId="5197A7AC" w14:textId="77777777" w:rsidR="00270083" w:rsidRPr="009753B6" w:rsidRDefault="00270083" w:rsidP="00270083">
      <w:pPr>
        <w:spacing w:line="360" w:lineRule="auto"/>
        <w:ind w:left="720" w:hanging="720"/>
        <w:jc w:val="both"/>
        <w:rPr>
          <w:sz w:val="26"/>
          <w:szCs w:val="26"/>
          <w:rtl/>
        </w:rPr>
      </w:pPr>
    </w:p>
    <w:p w14:paraId="42086147" w14:textId="77777777" w:rsidR="00270083" w:rsidRPr="009753B6" w:rsidRDefault="00270083" w:rsidP="00270083">
      <w:pPr>
        <w:spacing w:line="360" w:lineRule="auto"/>
        <w:ind w:left="720" w:hanging="720"/>
        <w:jc w:val="both"/>
        <w:rPr>
          <w:sz w:val="26"/>
          <w:szCs w:val="26"/>
          <w:rtl/>
        </w:rPr>
      </w:pPr>
      <w:r>
        <w:rPr>
          <w:rFonts w:hint="cs"/>
          <w:sz w:val="26"/>
          <w:szCs w:val="26"/>
          <w:rtl/>
        </w:rPr>
        <w:t>16.</w:t>
      </w:r>
      <w:r>
        <w:rPr>
          <w:rFonts w:hint="cs"/>
          <w:sz w:val="26"/>
          <w:szCs w:val="26"/>
          <w:rtl/>
        </w:rPr>
        <w:tab/>
      </w:r>
      <w:r w:rsidRPr="009753B6">
        <w:rPr>
          <w:rFonts w:hint="cs"/>
          <w:sz w:val="26"/>
          <w:szCs w:val="26"/>
          <w:rtl/>
        </w:rPr>
        <w:t xml:space="preserve">לנאשם הרשעה קודמת בעבירה דומה. עם זאת, מדובר בהרשעה קודמת יחידה, ולא בעבר רצוף הרשעות. </w:t>
      </w:r>
    </w:p>
    <w:p w14:paraId="5688BAEE" w14:textId="77777777" w:rsidR="00270083" w:rsidRDefault="00270083" w:rsidP="00270083">
      <w:pPr>
        <w:spacing w:line="360" w:lineRule="auto"/>
        <w:jc w:val="both"/>
        <w:rPr>
          <w:sz w:val="26"/>
          <w:szCs w:val="26"/>
          <w:rtl/>
        </w:rPr>
      </w:pPr>
    </w:p>
    <w:p w14:paraId="56782A01" w14:textId="77777777" w:rsidR="00270083" w:rsidRDefault="00270083" w:rsidP="00270083">
      <w:pPr>
        <w:spacing w:line="360" w:lineRule="auto"/>
        <w:ind w:firstLine="720"/>
        <w:jc w:val="both"/>
        <w:rPr>
          <w:sz w:val="26"/>
          <w:szCs w:val="26"/>
          <w:rtl/>
        </w:rPr>
      </w:pPr>
      <w:r w:rsidRPr="009753B6">
        <w:rPr>
          <w:rFonts w:hint="cs"/>
          <w:sz w:val="26"/>
          <w:szCs w:val="26"/>
          <w:rtl/>
        </w:rPr>
        <w:t xml:space="preserve">לאור כל האמור, העונש הראוי במקרה זה מצוי באמצעו של מתחם הענישה. </w:t>
      </w:r>
    </w:p>
    <w:p w14:paraId="5AF057A1" w14:textId="77777777" w:rsidR="00270083" w:rsidRDefault="00270083" w:rsidP="00270083">
      <w:pPr>
        <w:spacing w:line="360" w:lineRule="auto"/>
        <w:jc w:val="both"/>
        <w:rPr>
          <w:sz w:val="26"/>
          <w:szCs w:val="26"/>
          <w:rtl/>
        </w:rPr>
      </w:pPr>
    </w:p>
    <w:p w14:paraId="515EB193" w14:textId="77777777" w:rsidR="00270083" w:rsidRDefault="00270083" w:rsidP="00270083">
      <w:pPr>
        <w:spacing w:line="360" w:lineRule="auto"/>
        <w:jc w:val="both"/>
        <w:rPr>
          <w:b/>
          <w:bCs/>
          <w:sz w:val="26"/>
          <w:szCs w:val="26"/>
          <w:u w:val="single"/>
          <w:rtl/>
        </w:rPr>
      </w:pPr>
      <w:r>
        <w:rPr>
          <w:rFonts w:hint="cs"/>
          <w:b/>
          <w:bCs/>
          <w:sz w:val="26"/>
          <w:szCs w:val="26"/>
          <w:u w:val="single"/>
          <w:rtl/>
        </w:rPr>
        <w:t>בקשת החילוט</w:t>
      </w:r>
    </w:p>
    <w:p w14:paraId="38CF386F" w14:textId="77777777" w:rsidR="00270083" w:rsidRDefault="00270083" w:rsidP="00270083">
      <w:pPr>
        <w:spacing w:line="360" w:lineRule="auto"/>
        <w:jc w:val="both"/>
        <w:rPr>
          <w:b/>
          <w:bCs/>
          <w:sz w:val="26"/>
          <w:szCs w:val="26"/>
          <w:u w:val="single"/>
          <w:rtl/>
        </w:rPr>
      </w:pPr>
    </w:p>
    <w:p w14:paraId="00B4C09C" w14:textId="77777777" w:rsidR="00270083" w:rsidRDefault="00270083" w:rsidP="00270083">
      <w:pPr>
        <w:spacing w:line="360" w:lineRule="auto"/>
        <w:ind w:left="720" w:hanging="720"/>
        <w:jc w:val="both"/>
        <w:rPr>
          <w:sz w:val="26"/>
          <w:szCs w:val="26"/>
          <w:rtl/>
        </w:rPr>
      </w:pPr>
      <w:r w:rsidRPr="00FA2A38">
        <w:rPr>
          <w:rFonts w:hint="cs"/>
          <w:b/>
          <w:bCs/>
          <w:sz w:val="26"/>
          <w:szCs w:val="26"/>
          <w:rtl/>
        </w:rPr>
        <w:t>17.</w:t>
      </w:r>
      <w:r w:rsidRPr="00FA2A38">
        <w:rPr>
          <w:rFonts w:hint="cs"/>
          <w:b/>
          <w:bCs/>
          <w:sz w:val="26"/>
          <w:szCs w:val="26"/>
          <w:rtl/>
        </w:rPr>
        <w:tab/>
      </w:r>
      <w:r>
        <w:rPr>
          <w:rFonts w:hint="cs"/>
          <w:sz w:val="26"/>
          <w:szCs w:val="26"/>
          <w:rtl/>
        </w:rPr>
        <w:t xml:space="preserve">כתב האישום שהוגש נגד הנאשם כלל בקשה לחלט רכוש שנתפס אצל הנאשם מכח סעיף </w:t>
      </w:r>
      <w:hyperlink r:id="rId21" w:history="1">
        <w:r w:rsidR="00562B7C" w:rsidRPr="00562B7C">
          <w:rPr>
            <w:color w:val="0000FF"/>
            <w:sz w:val="26"/>
            <w:szCs w:val="26"/>
            <w:u w:val="single"/>
            <w:rtl/>
          </w:rPr>
          <w:t>36 א</w:t>
        </w:r>
      </w:hyperlink>
      <w:r>
        <w:rPr>
          <w:rFonts w:hint="cs"/>
          <w:sz w:val="26"/>
          <w:szCs w:val="26"/>
          <w:rtl/>
        </w:rPr>
        <w:t xml:space="preserve"> ל</w:t>
      </w:r>
      <w:hyperlink r:id="rId22" w:history="1">
        <w:r w:rsidR="00DC790C" w:rsidRPr="00DC790C">
          <w:rPr>
            <w:color w:val="0000FF"/>
            <w:sz w:val="26"/>
            <w:szCs w:val="26"/>
            <w:u w:val="single"/>
            <w:rtl/>
          </w:rPr>
          <w:t>פקודת הסמים המסוכנים</w:t>
        </w:r>
      </w:hyperlink>
      <w:r>
        <w:rPr>
          <w:rFonts w:hint="cs"/>
          <w:sz w:val="26"/>
          <w:szCs w:val="26"/>
          <w:rtl/>
        </w:rPr>
        <w:t xml:space="preserve"> [נוסח חדש] התשל"ג-1973 (להלן: הפקודה). הרכוש שחילוטו התבקש כלל סכום כסף בסך 110,440 ₪, ארבעה מכשירי טלפון ניידים, רכב וציוד נוסף. </w:t>
      </w:r>
    </w:p>
    <w:p w14:paraId="314DE2AF" w14:textId="77777777" w:rsidR="00270083" w:rsidRDefault="00270083" w:rsidP="00270083">
      <w:pPr>
        <w:spacing w:line="360" w:lineRule="auto"/>
        <w:ind w:left="720" w:hanging="720"/>
        <w:jc w:val="both"/>
        <w:rPr>
          <w:sz w:val="26"/>
          <w:szCs w:val="26"/>
          <w:rtl/>
        </w:rPr>
      </w:pPr>
    </w:p>
    <w:p w14:paraId="13FE2E64" w14:textId="77777777" w:rsidR="00270083" w:rsidRPr="00BC45E0" w:rsidRDefault="00270083" w:rsidP="00270083">
      <w:pPr>
        <w:spacing w:line="360" w:lineRule="auto"/>
        <w:jc w:val="both"/>
        <w:rPr>
          <w:sz w:val="28"/>
          <w:szCs w:val="28"/>
          <w:rtl/>
        </w:rPr>
      </w:pPr>
      <w:r>
        <w:rPr>
          <w:rFonts w:hint="cs"/>
          <w:sz w:val="26"/>
          <w:szCs w:val="26"/>
          <w:rtl/>
        </w:rPr>
        <w:t>18.</w:t>
      </w:r>
      <w:r>
        <w:rPr>
          <w:rFonts w:hint="cs"/>
          <w:sz w:val="26"/>
          <w:szCs w:val="26"/>
          <w:rtl/>
        </w:rPr>
        <w:tab/>
      </w:r>
      <w:r w:rsidRPr="00BC45E0">
        <w:rPr>
          <w:rFonts w:hint="cs"/>
          <w:sz w:val="28"/>
          <w:szCs w:val="28"/>
          <w:rtl/>
        </w:rPr>
        <w:t xml:space="preserve">סעיף </w:t>
      </w:r>
      <w:hyperlink r:id="rId23" w:history="1">
        <w:r w:rsidR="00562B7C" w:rsidRPr="00562B7C">
          <w:rPr>
            <w:color w:val="0000FF"/>
            <w:sz w:val="28"/>
            <w:szCs w:val="28"/>
            <w:u w:val="single"/>
            <w:rtl/>
          </w:rPr>
          <w:t>36 א</w:t>
        </w:r>
      </w:hyperlink>
      <w:r w:rsidRPr="00BC45E0">
        <w:rPr>
          <w:rFonts w:hint="cs"/>
          <w:sz w:val="28"/>
          <w:szCs w:val="28"/>
          <w:rtl/>
        </w:rPr>
        <w:t xml:space="preserve"> לפקודה קובע: </w:t>
      </w:r>
    </w:p>
    <w:p w14:paraId="19467701" w14:textId="77777777" w:rsidR="00270083" w:rsidRPr="00D23BCD" w:rsidRDefault="00270083" w:rsidP="00270083">
      <w:pPr>
        <w:spacing w:line="360" w:lineRule="auto"/>
        <w:jc w:val="both"/>
        <w:rPr>
          <w:sz w:val="26"/>
          <w:szCs w:val="26"/>
          <w:rtl/>
        </w:rPr>
      </w:pPr>
    </w:p>
    <w:p w14:paraId="3F5013D4" w14:textId="77777777" w:rsidR="00270083" w:rsidRPr="00D23BCD" w:rsidRDefault="00270083" w:rsidP="00270083">
      <w:pPr>
        <w:spacing w:line="360" w:lineRule="auto"/>
        <w:ind w:left="1440"/>
        <w:jc w:val="both"/>
        <w:rPr>
          <w:b/>
          <w:bCs/>
          <w:sz w:val="26"/>
          <w:szCs w:val="26"/>
          <w:rtl/>
        </w:rPr>
      </w:pPr>
      <w:r w:rsidRPr="00D23BCD">
        <w:rPr>
          <w:rFonts w:hint="cs"/>
          <w:b/>
          <w:bCs/>
          <w:sz w:val="26"/>
          <w:szCs w:val="26"/>
          <w:rtl/>
        </w:rPr>
        <w:t>"</w:t>
      </w:r>
      <w:r w:rsidRPr="00D23BCD">
        <w:rPr>
          <w:b/>
          <w:bCs/>
          <w:sz w:val="26"/>
          <w:szCs w:val="26"/>
          <w:rtl/>
        </w:rPr>
        <w:t>36א.</w:t>
      </w:r>
      <w:r w:rsidRPr="00D23BCD">
        <w:rPr>
          <w:b/>
          <w:bCs/>
          <w:sz w:val="26"/>
          <w:szCs w:val="26"/>
          <w:rtl/>
        </w:rPr>
        <w:tab/>
        <w:t>(א)</w:t>
      </w:r>
      <w:r w:rsidRPr="00D23BCD">
        <w:rPr>
          <w:b/>
          <w:bCs/>
          <w:sz w:val="26"/>
          <w:szCs w:val="26"/>
          <w:rtl/>
        </w:rPr>
        <w:tab/>
        <w:t>הורשע אדם בעבירה של עסקת סמים, יצווה בית המשפט, זולת אם סבר שלא לעשות כן מנימוקים מיוחדים שיפרט, כי בנוסף לכל עונש יחולט לאוצר המדינה כל רכוש שהוא –</w:t>
      </w:r>
    </w:p>
    <w:p w14:paraId="7E157F85" w14:textId="77777777" w:rsidR="00270083" w:rsidRPr="00D23BCD" w:rsidRDefault="00270083" w:rsidP="00270083">
      <w:pPr>
        <w:spacing w:line="360" w:lineRule="auto"/>
        <w:ind w:left="1440" w:firstLine="720"/>
        <w:jc w:val="both"/>
        <w:rPr>
          <w:b/>
          <w:bCs/>
          <w:sz w:val="26"/>
          <w:szCs w:val="26"/>
          <w:rtl/>
        </w:rPr>
      </w:pPr>
      <w:r w:rsidRPr="00D23BCD">
        <w:rPr>
          <w:b/>
          <w:bCs/>
          <w:sz w:val="26"/>
          <w:szCs w:val="26"/>
          <w:rtl/>
        </w:rPr>
        <w:t>(1)</w:t>
      </w:r>
      <w:r w:rsidRPr="00D23BCD">
        <w:rPr>
          <w:b/>
          <w:bCs/>
          <w:sz w:val="26"/>
          <w:szCs w:val="26"/>
          <w:rtl/>
        </w:rPr>
        <w:tab/>
        <w:t>רכוש ששימש או נועד לשמש כאמצעי לביצוע העבירה או ששימש או נועד לשמש כדי לאפשר את ביצוע העבירה;</w:t>
      </w:r>
    </w:p>
    <w:p w14:paraId="19CA0F33" w14:textId="77777777" w:rsidR="00270083" w:rsidRPr="00D23BCD" w:rsidRDefault="00270083" w:rsidP="00270083">
      <w:pPr>
        <w:spacing w:line="360" w:lineRule="auto"/>
        <w:ind w:left="1440" w:firstLine="720"/>
        <w:jc w:val="both"/>
        <w:rPr>
          <w:b/>
          <w:bCs/>
          <w:sz w:val="26"/>
          <w:szCs w:val="26"/>
          <w:rtl/>
        </w:rPr>
      </w:pPr>
      <w:r w:rsidRPr="00D23BCD">
        <w:rPr>
          <w:b/>
          <w:bCs/>
          <w:sz w:val="26"/>
          <w:szCs w:val="26"/>
          <w:rtl/>
        </w:rPr>
        <w:t>(2)</w:t>
      </w:r>
      <w:r w:rsidRPr="00D23BCD">
        <w:rPr>
          <w:b/>
          <w:bCs/>
          <w:sz w:val="26"/>
          <w:szCs w:val="26"/>
          <w:rtl/>
        </w:rPr>
        <w:tab/>
        <w:t>רכוש שהושג, במישרין או בעקיפין, כשכר העבירה או כתוצאה מביצוע העבירה, או שיועד לכך.</w:t>
      </w:r>
    </w:p>
    <w:p w14:paraId="77B5D0FF" w14:textId="77777777" w:rsidR="00270083" w:rsidRPr="00D23BCD" w:rsidRDefault="00270083" w:rsidP="00270083">
      <w:pPr>
        <w:spacing w:line="360" w:lineRule="auto"/>
        <w:ind w:left="720" w:firstLine="720"/>
        <w:jc w:val="both"/>
        <w:rPr>
          <w:b/>
          <w:bCs/>
          <w:sz w:val="26"/>
          <w:szCs w:val="26"/>
          <w:rtl/>
        </w:rPr>
      </w:pPr>
      <w:r w:rsidRPr="00D23BCD">
        <w:rPr>
          <w:b/>
          <w:bCs/>
          <w:sz w:val="26"/>
          <w:szCs w:val="26"/>
          <w:rtl/>
        </w:rPr>
        <w:t>לענין פסקאות (1) ו-(2) –</w:t>
      </w:r>
    </w:p>
    <w:p w14:paraId="151FACB1" w14:textId="77777777" w:rsidR="00270083" w:rsidRPr="00D23BCD" w:rsidRDefault="00270083" w:rsidP="00270083">
      <w:pPr>
        <w:spacing w:line="360" w:lineRule="auto"/>
        <w:ind w:left="1440"/>
        <w:jc w:val="both"/>
        <w:rPr>
          <w:b/>
          <w:bCs/>
          <w:sz w:val="26"/>
          <w:szCs w:val="26"/>
          <w:rtl/>
        </w:rPr>
      </w:pPr>
      <w:r w:rsidRPr="00D23BCD">
        <w:rPr>
          <w:b/>
          <w:bCs/>
          <w:sz w:val="26"/>
          <w:szCs w:val="26"/>
          <w:rtl/>
        </w:rPr>
        <w:t>"ביצוע העבירה" – לרבות ביצוע כל עבירה אחרת של עסקת סמים, אף אם לא הורשע בה הנידון, ובלבד שהיא קשורה לעבירה שבה הוא הורשע.</w:t>
      </w:r>
    </w:p>
    <w:p w14:paraId="7B30C50F" w14:textId="77777777" w:rsidR="00270083" w:rsidRPr="00D23BCD" w:rsidRDefault="00270083" w:rsidP="00270083">
      <w:pPr>
        <w:spacing w:line="360" w:lineRule="auto"/>
        <w:ind w:left="1440" w:firstLine="720"/>
        <w:jc w:val="both"/>
        <w:rPr>
          <w:b/>
          <w:bCs/>
          <w:sz w:val="26"/>
          <w:szCs w:val="26"/>
          <w:rtl/>
        </w:rPr>
      </w:pPr>
      <w:r w:rsidRPr="00D23BCD">
        <w:rPr>
          <w:b/>
          <w:bCs/>
          <w:sz w:val="26"/>
          <w:szCs w:val="26"/>
          <w:rtl/>
        </w:rPr>
        <w:t>(ב)</w:t>
      </w:r>
      <w:r w:rsidRPr="00D23BCD">
        <w:rPr>
          <w:b/>
          <w:bCs/>
          <w:sz w:val="26"/>
          <w:szCs w:val="26"/>
          <w:rtl/>
        </w:rPr>
        <w:tab/>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p>
    <w:p w14:paraId="1904CA96" w14:textId="77777777" w:rsidR="00270083" w:rsidRPr="00D23BCD" w:rsidRDefault="00270083" w:rsidP="00270083">
      <w:pPr>
        <w:spacing w:line="360" w:lineRule="auto"/>
        <w:ind w:left="1440" w:firstLine="720"/>
        <w:jc w:val="both"/>
        <w:rPr>
          <w:b/>
          <w:bCs/>
          <w:sz w:val="26"/>
          <w:szCs w:val="26"/>
          <w:rtl/>
        </w:rPr>
      </w:pPr>
      <w:r w:rsidRPr="00D23BCD">
        <w:rPr>
          <w:b/>
          <w:bCs/>
          <w:sz w:val="26"/>
          <w:szCs w:val="26"/>
          <w:rtl/>
        </w:rPr>
        <w:t>(ג)</w:t>
      </w:r>
      <w:r w:rsidRPr="00D23BCD">
        <w:rPr>
          <w:b/>
          <w:bCs/>
          <w:sz w:val="26"/>
          <w:szCs w:val="26"/>
          <w:rtl/>
        </w:rPr>
        <w:tab/>
        <w:t>לא יצווה בית משפט על חילוט כאמור בסעיף זה אלא לאחר שנתן לנידון וכן אם הם ידועים לבעל הרכוש, למי שהרכוש נמצא בחזקתו או בשליטתו ולמי שטוען לזכות ברכוש (להלן – הטוען לזכות ברכוש), הזדמנות להשמיע את טענותיהם.</w:t>
      </w:r>
      <w:r w:rsidRPr="00D23BCD">
        <w:rPr>
          <w:rFonts w:hint="cs"/>
          <w:b/>
          <w:bCs/>
          <w:sz w:val="26"/>
          <w:szCs w:val="26"/>
          <w:rtl/>
        </w:rPr>
        <w:t>"</w:t>
      </w:r>
    </w:p>
    <w:p w14:paraId="67DC92F7" w14:textId="77777777" w:rsidR="00270083" w:rsidRPr="00D23BCD" w:rsidRDefault="00270083" w:rsidP="00270083">
      <w:pPr>
        <w:spacing w:line="360" w:lineRule="auto"/>
        <w:jc w:val="both"/>
        <w:rPr>
          <w:b/>
          <w:bCs/>
          <w:sz w:val="26"/>
          <w:szCs w:val="26"/>
          <w:rtl/>
        </w:rPr>
      </w:pPr>
    </w:p>
    <w:p w14:paraId="13FEE998" w14:textId="77777777" w:rsidR="00270083" w:rsidRPr="003E09D9" w:rsidRDefault="00562B7C" w:rsidP="00270083">
      <w:pPr>
        <w:spacing w:line="360" w:lineRule="auto"/>
        <w:jc w:val="both"/>
        <w:rPr>
          <w:sz w:val="26"/>
          <w:szCs w:val="26"/>
          <w:rtl/>
        </w:rPr>
      </w:pPr>
      <w:hyperlink r:id="rId24" w:history="1">
        <w:r w:rsidRPr="00562B7C">
          <w:rPr>
            <w:color w:val="0000FF"/>
            <w:sz w:val="26"/>
            <w:szCs w:val="26"/>
            <w:u w:val="single"/>
            <w:rtl/>
          </w:rPr>
          <w:t>סעיף 31</w:t>
        </w:r>
      </w:hyperlink>
      <w:r w:rsidR="00270083" w:rsidRPr="003E09D9">
        <w:rPr>
          <w:rFonts w:hint="cs"/>
          <w:sz w:val="26"/>
          <w:szCs w:val="26"/>
          <w:rtl/>
        </w:rPr>
        <w:t xml:space="preserve"> לפקודה קובע: </w:t>
      </w:r>
    </w:p>
    <w:p w14:paraId="35543A38" w14:textId="77777777" w:rsidR="00270083" w:rsidRPr="00D23BCD" w:rsidRDefault="00270083" w:rsidP="00270083">
      <w:pPr>
        <w:spacing w:line="360" w:lineRule="auto"/>
        <w:ind w:left="720" w:firstLine="720"/>
        <w:jc w:val="both"/>
        <w:rPr>
          <w:b/>
          <w:bCs/>
          <w:sz w:val="26"/>
          <w:szCs w:val="26"/>
          <w:rtl/>
        </w:rPr>
      </w:pPr>
      <w:r w:rsidRPr="00D23BCD">
        <w:rPr>
          <w:rFonts w:hint="cs"/>
          <w:b/>
          <w:bCs/>
          <w:sz w:val="26"/>
          <w:szCs w:val="26"/>
          <w:rtl/>
        </w:rPr>
        <w:t>"....</w:t>
      </w:r>
    </w:p>
    <w:p w14:paraId="7B4A538D" w14:textId="77777777" w:rsidR="00270083" w:rsidRPr="00D23BCD" w:rsidRDefault="00270083" w:rsidP="00270083">
      <w:pPr>
        <w:spacing w:line="360" w:lineRule="auto"/>
        <w:ind w:left="720" w:firstLine="720"/>
        <w:jc w:val="both"/>
        <w:rPr>
          <w:b/>
          <w:bCs/>
          <w:sz w:val="26"/>
          <w:szCs w:val="26"/>
          <w:rtl/>
        </w:rPr>
      </w:pPr>
      <w:r w:rsidRPr="00D23BCD">
        <w:rPr>
          <w:b/>
          <w:bCs/>
          <w:sz w:val="26"/>
          <w:szCs w:val="26"/>
          <w:rtl/>
        </w:rPr>
        <w:t>(6)</w:t>
      </w:r>
      <w:r w:rsidRPr="00D23BCD">
        <w:rPr>
          <w:b/>
          <w:bCs/>
          <w:sz w:val="26"/>
          <w:szCs w:val="26"/>
          <w:rtl/>
        </w:rPr>
        <w:tab/>
        <w:t>קבע בית המשפט לפי סעיף 36א(ב) שנידון הוא סוחר סמים –</w:t>
      </w:r>
    </w:p>
    <w:p w14:paraId="6D7446ED" w14:textId="77777777" w:rsidR="00270083" w:rsidRPr="00D23BCD" w:rsidRDefault="00270083" w:rsidP="00270083">
      <w:pPr>
        <w:spacing w:line="360" w:lineRule="auto"/>
        <w:ind w:left="1440" w:firstLine="720"/>
        <w:jc w:val="both"/>
        <w:rPr>
          <w:b/>
          <w:bCs/>
          <w:sz w:val="26"/>
          <w:szCs w:val="26"/>
          <w:rtl/>
        </w:rPr>
      </w:pPr>
      <w:r w:rsidRPr="00D23BCD">
        <w:rPr>
          <w:b/>
          <w:bCs/>
          <w:sz w:val="26"/>
          <w:szCs w:val="26"/>
          <w:rtl/>
        </w:rPr>
        <w:t>(א)</w:t>
      </w:r>
      <w:r w:rsidRPr="00D23BCD">
        <w:rPr>
          <w:b/>
          <w:bCs/>
          <w:sz w:val="26"/>
          <w:szCs w:val="26"/>
          <w:rtl/>
        </w:rPr>
        <w:tab/>
        <w:t>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20D1D1EF" w14:textId="77777777" w:rsidR="00270083" w:rsidRPr="00D23BCD" w:rsidRDefault="00270083" w:rsidP="00270083">
      <w:pPr>
        <w:spacing w:line="360" w:lineRule="auto"/>
        <w:ind w:left="1440" w:firstLine="720"/>
        <w:jc w:val="both"/>
        <w:rPr>
          <w:b/>
          <w:bCs/>
          <w:sz w:val="26"/>
          <w:szCs w:val="26"/>
          <w:rtl/>
        </w:rPr>
      </w:pPr>
      <w:r w:rsidRPr="00D23BCD">
        <w:rPr>
          <w:b/>
          <w:bCs/>
          <w:sz w:val="26"/>
          <w:szCs w:val="26"/>
          <w:rtl/>
        </w:rPr>
        <w:t>(אא)</w:t>
      </w:r>
      <w:r w:rsidRPr="00D23BCD">
        <w:rPr>
          <w:b/>
          <w:bCs/>
          <w:sz w:val="26"/>
          <w:szCs w:val="26"/>
          <w:rtl/>
        </w:rPr>
        <w:tab/>
        <w:t>האמצעים להשגת הרכוש היו חוקיים;</w:t>
      </w:r>
    </w:p>
    <w:p w14:paraId="2C6F7D97" w14:textId="77777777" w:rsidR="00270083" w:rsidRPr="00D23BCD" w:rsidRDefault="00270083" w:rsidP="00270083">
      <w:pPr>
        <w:spacing w:line="360" w:lineRule="auto"/>
        <w:ind w:left="1440" w:firstLine="720"/>
        <w:jc w:val="both"/>
        <w:rPr>
          <w:b/>
          <w:bCs/>
          <w:sz w:val="26"/>
          <w:szCs w:val="26"/>
          <w:rtl/>
        </w:rPr>
      </w:pPr>
      <w:r w:rsidRPr="00D23BCD">
        <w:rPr>
          <w:b/>
          <w:bCs/>
          <w:sz w:val="26"/>
          <w:szCs w:val="26"/>
          <w:rtl/>
        </w:rPr>
        <w:t>(בב)</w:t>
      </w:r>
      <w:r w:rsidRPr="00D23BCD">
        <w:rPr>
          <w:b/>
          <w:bCs/>
          <w:sz w:val="26"/>
          <w:szCs w:val="26"/>
          <w:rtl/>
        </w:rPr>
        <w:tab/>
        <w:t>הרכוש הגיע לידיו או לידי בעליו לא מאוחר משמונה שנים שקדמו ליום הגשת כתב האישום בשל העבירה שעליה נדון;</w:t>
      </w:r>
    </w:p>
    <w:p w14:paraId="4C31D36F" w14:textId="77777777" w:rsidR="00270083" w:rsidRPr="00D23BCD" w:rsidRDefault="00270083" w:rsidP="00270083">
      <w:pPr>
        <w:spacing w:line="360" w:lineRule="auto"/>
        <w:ind w:left="1440" w:firstLine="720"/>
        <w:jc w:val="both"/>
        <w:rPr>
          <w:b/>
          <w:bCs/>
          <w:sz w:val="26"/>
          <w:szCs w:val="26"/>
          <w:rtl/>
        </w:rPr>
      </w:pPr>
      <w:r w:rsidRPr="00D23BCD">
        <w:rPr>
          <w:b/>
          <w:bCs/>
          <w:sz w:val="26"/>
          <w:szCs w:val="26"/>
          <w:rtl/>
        </w:rPr>
        <w:t>(ב)</w:t>
      </w:r>
      <w:r w:rsidRPr="00D23BCD">
        <w:rPr>
          <w:b/>
          <w:bCs/>
          <w:sz w:val="26"/>
          <w:szCs w:val="26"/>
          <w:rtl/>
        </w:rPr>
        <w:tab/>
        <w:t>כל רכוש שנמצא בחזקתו או בחשבונו של הנידון ייראה כרכוש שלו אלא אם כן הוכיח שהרכוש הוא של זולתו, שאינו אחד האנשים המפורטים בפסקה (א)</w:t>
      </w:r>
      <w:r w:rsidRPr="00D23BCD">
        <w:rPr>
          <w:rFonts w:hint="cs"/>
          <w:b/>
          <w:bCs/>
          <w:sz w:val="26"/>
          <w:szCs w:val="26"/>
          <w:rtl/>
        </w:rPr>
        <w:t>"</w:t>
      </w:r>
      <w:r w:rsidRPr="00D23BCD">
        <w:rPr>
          <w:b/>
          <w:bCs/>
          <w:sz w:val="26"/>
          <w:szCs w:val="26"/>
          <w:rtl/>
        </w:rPr>
        <w:t>.</w:t>
      </w:r>
    </w:p>
    <w:p w14:paraId="2E893167" w14:textId="77777777" w:rsidR="00270083" w:rsidRPr="00D23BCD" w:rsidRDefault="00270083" w:rsidP="00270083">
      <w:pPr>
        <w:spacing w:line="360" w:lineRule="auto"/>
        <w:jc w:val="both"/>
        <w:rPr>
          <w:sz w:val="28"/>
          <w:szCs w:val="28"/>
          <w:rtl/>
        </w:rPr>
      </w:pPr>
    </w:p>
    <w:p w14:paraId="6038FB5B" w14:textId="77777777" w:rsidR="00270083" w:rsidRPr="00D23BCD" w:rsidRDefault="00270083" w:rsidP="00270083">
      <w:pPr>
        <w:spacing w:line="360" w:lineRule="auto"/>
        <w:ind w:left="720" w:hanging="720"/>
        <w:jc w:val="both"/>
        <w:rPr>
          <w:sz w:val="26"/>
          <w:szCs w:val="26"/>
          <w:rtl/>
        </w:rPr>
      </w:pPr>
      <w:r w:rsidRPr="00D23BCD">
        <w:rPr>
          <w:rFonts w:hint="cs"/>
          <w:sz w:val="26"/>
          <w:szCs w:val="26"/>
          <w:rtl/>
        </w:rPr>
        <w:t>19.</w:t>
      </w:r>
      <w:r w:rsidRPr="00D23BCD">
        <w:rPr>
          <w:rFonts w:hint="cs"/>
          <w:sz w:val="26"/>
          <w:szCs w:val="26"/>
          <w:rtl/>
        </w:rPr>
        <w:tab/>
      </w:r>
      <w:hyperlink r:id="rId25" w:history="1">
        <w:r w:rsidR="00562B7C" w:rsidRPr="00562B7C">
          <w:rPr>
            <w:color w:val="0000FF"/>
            <w:sz w:val="26"/>
            <w:szCs w:val="26"/>
            <w:u w:val="single"/>
            <w:rtl/>
          </w:rPr>
          <w:t>סעיף 36 א</w:t>
        </w:r>
      </w:hyperlink>
      <w:r>
        <w:rPr>
          <w:rFonts w:hint="cs"/>
          <w:sz w:val="26"/>
          <w:szCs w:val="26"/>
          <w:rtl/>
        </w:rPr>
        <w:t xml:space="preserve"> לפקודה קובע שני מסלולי חילוט של רכוש, במוסדרים האחד </w:t>
      </w:r>
      <w:hyperlink r:id="rId26" w:history="1">
        <w:r w:rsidR="00562B7C" w:rsidRPr="00562B7C">
          <w:rPr>
            <w:color w:val="0000FF"/>
            <w:sz w:val="26"/>
            <w:szCs w:val="26"/>
            <w:u w:val="single"/>
            <w:rtl/>
          </w:rPr>
          <w:t>בסעיף 36א(א)</w:t>
        </w:r>
      </w:hyperlink>
      <w:r>
        <w:rPr>
          <w:rFonts w:hint="cs"/>
          <w:sz w:val="26"/>
          <w:szCs w:val="26"/>
          <w:rtl/>
        </w:rPr>
        <w:t xml:space="preserve"> והשני </w:t>
      </w:r>
      <w:hyperlink r:id="rId27" w:history="1">
        <w:r w:rsidR="00562B7C" w:rsidRPr="00562B7C">
          <w:rPr>
            <w:color w:val="0000FF"/>
            <w:sz w:val="26"/>
            <w:szCs w:val="26"/>
            <w:u w:val="single"/>
            <w:rtl/>
          </w:rPr>
          <w:t>בסעיף 36א(ב).</w:t>
        </w:r>
      </w:hyperlink>
      <w:r>
        <w:rPr>
          <w:rFonts w:hint="cs"/>
          <w:sz w:val="26"/>
          <w:szCs w:val="26"/>
          <w:rtl/>
        </w:rPr>
        <w:t xml:space="preserve"> </w:t>
      </w:r>
    </w:p>
    <w:p w14:paraId="050FC215" w14:textId="77777777" w:rsidR="00270083" w:rsidRPr="003E09D9" w:rsidRDefault="00270083" w:rsidP="00270083">
      <w:pPr>
        <w:spacing w:line="360" w:lineRule="auto"/>
        <w:ind w:left="720" w:firstLine="720"/>
        <w:jc w:val="both"/>
        <w:rPr>
          <w:sz w:val="26"/>
          <w:szCs w:val="26"/>
          <w:rtl/>
        </w:rPr>
      </w:pPr>
    </w:p>
    <w:p w14:paraId="489541F2" w14:textId="77777777" w:rsidR="00270083" w:rsidRDefault="00270083" w:rsidP="00270083">
      <w:pPr>
        <w:spacing w:line="360" w:lineRule="auto"/>
        <w:ind w:left="720"/>
        <w:jc w:val="both"/>
        <w:rPr>
          <w:sz w:val="26"/>
          <w:szCs w:val="26"/>
          <w:rtl/>
        </w:rPr>
      </w:pPr>
      <w:r w:rsidRPr="003E09D9">
        <w:rPr>
          <w:rFonts w:hint="cs"/>
          <w:sz w:val="26"/>
          <w:szCs w:val="26"/>
          <w:rtl/>
        </w:rPr>
        <w:t xml:space="preserve">החילוט לפי </w:t>
      </w:r>
      <w:hyperlink r:id="rId28" w:history="1">
        <w:r w:rsidR="00562B7C" w:rsidRPr="00562B7C">
          <w:rPr>
            <w:color w:val="0000FF"/>
            <w:sz w:val="26"/>
            <w:szCs w:val="26"/>
            <w:u w:val="single"/>
            <w:rtl/>
          </w:rPr>
          <w:t>סעיף 36א(א)</w:t>
        </w:r>
      </w:hyperlink>
      <w:r w:rsidRPr="003E09D9">
        <w:rPr>
          <w:rFonts w:hint="cs"/>
          <w:sz w:val="26"/>
          <w:szCs w:val="26"/>
          <w:rtl/>
        </w:rPr>
        <w:t xml:space="preserve"> לפקודה מתייחס לחילוט רכוש ששימש לביצוע עבירה, או שהושג ישירות כתוצאה מביצוע עבירה. בענייננו, מדובר לכל היותר בסכומי הכסף הקטנים ששולמו לנאשם תמורת הסמים שמכר, וכן במשקל ששימש לשקילת הסם, כך שהחילוט על פי סעיף זה אינו משמעותי. </w:t>
      </w:r>
    </w:p>
    <w:p w14:paraId="210FC219" w14:textId="77777777" w:rsidR="00270083" w:rsidRPr="003E09D9" w:rsidRDefault="00270083" w:rsidP="00270083">
      <w:pPr>
        <w:spacing w:line="360" w:lineRule="auto"/>
        <w:jc w:val="both"/>
        <w:rPr>
          <w:sz w:val="26"/>
          <w:szCs w:val="26"/>
          <w:rtl/>
        </w:rPr>
      </w:pPr>
    </w:p>
    <w:p w14:paraId="7496031C" w14:textId="77777777" w:rsidR="00270083" w:rsidRDefault="00270083" w:rsidP="00270083">
      <w:pPr>
        <w:spacing w:line="360" w:lineRule="auto"/>
        <w:ind w:left="720"/>
        <w:jc w:val="both"/>
        <w:rPr>
          <w:sz w:val="28"/>
          <w:szCs w:val="28"/>
          <w:rtl/>
        </w:rPr>
      </w:pPr>
      <w:r w:rsidRPr="003E09D9">
        <w:rPr>
          <w:rFonts w:hint="cs"/>
          <w:sz w:val="26"/>
          <w:szCs w:val="26"/>
          <w:rtl/>
        </w:rPr>
        <w:t xml:space="preserve">המאשימה מבקשת לעשות שימוש בסמכות החילוט הקבועה </w:t>
      </w:r>
      <w:hyperlink r:id="rId29" w:history="1">
        <w:r w:rsidR="00562B7C" w:rsidRPr="00562B7C">
          <w:rPr>
            <w:color w:val="0000FF"/>
            <w:sz w:val="26"/>
            <w:szCs w:val="26"/>
            <w:u w:val="single"/>
            <w:rtl/>
          </w:rPr>
          <w:t>בסעיף 36א(ב)</w:t>
        </w:r>
      </w:hyperlink>
      <w:r w:rsidRPr="003E09D9">
        <w:rPr>
          <w:rFonts w:hint="cs"/>
          <w:sz w:val="26"/>
          <w:szCs w:val="26"/>
          <w:rtl/>
        </w:rPr>
        <w:t xml:space="preserve"> לפקודה. במצב זה מכריז בית המשפט על נאשם כסוחר סמים, וסמכות החילוט של רכושו ורכוש משפחתו רחבה הרבה יותר, כמפורט </w:t>
      </w:r>
      <w:hyperlink r:id="rId30" w:history="1">
        <w:r w:rsidR="00562B7C" w:rsidRPr="00562B7C">
          <w:rPr>
            <w:color w:val="0000FF"/>
            <w:sz w:val="26"/>
            <w:szCs w:val="26"/>
            <w:u w:val="single"/>
            <w:rtl/>
          </w:rPr>
          <w:t>בסעיפים 36א</w:t>
        </w:r>
      </w:hyperlink>
      <w:r w:rsidRPr="003E09D9">
        <w:rPr>
          <w:rFonts w:hint="cs"/>
          <w:sz w:val="26"/>
          <w:szCs w:val="26"/>
          <w:rtl/>
        </w:rPr>
        <w:t xml:space="preserve"> ו-</w:t>
      </w:r>
      <w:hyperlink r:id="rId31" w:history="1">
        <w:r w:rsidR="00562B7C" w:rsidRPr="00562B7C">
          <w:rPr>
            <w:color w:val="0000FF"/>
            <w:sz w:val="26"/>
            <w:szCs w:val="26"/>
            <w:u w:val="single"/>
            <w:rtl/>
          </w:rPr>
          <w:t>31</w:t>
        </w:r>
      </w:hyperlink>
      <w:r w:rsidRPr="003E09D9">
        <w:rPr>
          <w:rFonts w:hint="cs"/>
          <w:sz w:val="26"/>
          <w:szCs w:val="26"/>
          <w:rtl/>
        </w:rPr>
        <w:t xml:space="preserve"> לפקודת הסמים.</w:t>
      </w:r>
      <w:r w:rsidRPr="00D23BCD">
        <w:rPr>
          <w:rFonts w:hint="cs"/>
          <w:sz w:val="28"/>
          <w:szCs w:val="28"/>
          <w:rtl/>
        </w:rPr>
        <w:t xml:space="preserve"> </w:t>
      </w:r>
    </w:p>
    <w:p w14:paraId="3A0234B2" w14:textId="77777777" w:rsidR="00270083" w:rsidRPr="00D23BCD" w:rsidRDefault="00270083" w:rsidP="00270083">
      <w:pPr>
        <w:spacing w:line="360" w:lineRule="auto"/>
        <w:ind w:left="720"/>
        <w:jc w:val="both"/>
        <w:rPr>
          <w:sz w:val="28"/>
          <w:szCs w:val="28"/>
          <w:rtl/>
        </w:rPr>
      </w:pPr>
    </w:p>
    <w:p w14:paraId="01AC5D52" w14:textId="77777777" w:rsidR="00270083" w:rsidRDefault="00270083" w:rsidP="00270083">
      <w:pPr>
        <w:spacing w:line="360" w:lineRule="auto"/>
        <w:ind w:left="720" w:hanging="720"/>
        <w:jc w:val="both"/>
        <w:rPr>
          <w:sz w:val="26"/>
          <w:szCs w:val="26"/>
          <w:rtl/>
        </w:rPr>
      </w:pPr>
      <w:r w:rsidRPr="003E09D9">
        <w:rPr>
          <w:rFonts w:hint="cs"/>
          <w:sz w:val="26"/>
          <w:szCs w:val="26"/>
          <w:rtl/>
        </w:rPr>
        <w:t>20.</w:t>
      </w:r>
      <w:r w:rsidRPr="003E09D9">
        <w:rPr>
          <w:rFonts w:hint="cs"/>
          <w:sz w:val="26"/>
          <w:szCs w:val="26"/>
          <w:rtl/>
        </w:rPr>
        <w:tab/>
      </w:r>
      <w:hyperlink r:id="rId32" w:history="1">
        <w:r w:rsidR="00562B7C" w:rsidRPr="00562B7C">
          <w:rPr>
            <w:color w:val="0000FF"/>
            <w:sz w:val="26"/>
            <w:szCs w:val="26"/>
            <w:u w:val="single"/>
            <w:rtl/>
          </w:rPr>
          <w:t>סעיף 36א(ב)</w:t>
        </w:r>
      </w:hyperlink>
      <w:r w:rsidRPr="003E09D9">
        <w:rPr>
          <w:rFonts w:hint="cs"/>
          <w:sz w:val="26"/>
          <w:szCs w:val="26"/>
          <w:rtl/>
        </w:rPr>
        <w:t xml:space="preserve"> לפקודתה סמים כולל התקיימות של שתי דרישות מצטברות על מנת שניתן יהיה לעשות שימוש בסמכות שנקבעה בו. הדרישה הראשונה היא הרשעה בעבירה של עסקת סמים, ובנוסף לה נדרש כי בית המשפט יווכח שהנאשם הפיק או שהיה אמור להפיק רווח מעבירה של עסקת סמים. אין די, איפוא, בהרשעה בעבירה של עסקת סמים בלבד. </w:t>
      </w:r>
    </w:p>
    <w:p w14:paraId="4C84BF4C" w14:textId="77777777" w:rsidR="00270083" w:rsidRPr="003E09D9" w:rsidRDefault="00270083" w:rsidP="00270083">
      <w:pPr>
        <w:spacing w:line="360" w:lineRule="auto"/>
        <w:ind w:left="720" w:hanging="720"/>
        <w:jc w:val="both"/>
        <w:rPr>
          <w:sz w:val="26"/>
          <w:szCs w:val="26"/>
          <w:rtl/>
        </w:rPr>
      </w:pPr>
    </w:p>
    <w:p w14:paraId="1BAB9C68" w14:textId="77777777" w:rsidR="00270083" w:rsidRDefault="00270083" w:rsidP="00270083">
      <w:pPr>
        <w:spacing w:line="360" w:lineRule="auto"/>
        <w:ind w:left="720" w:hanging="720"/>
        <w:jc w:val="both"/>
        <w:rPr>
          <w:sz w:val="26"/>
          <w:szCs w:val="26"/>
          <w:rtl/>
        </w:rPr>
      </w:pPr>
      <w:r w:rsidRPr="00A54882">
        <w:rPr>
          <w:rFonts w:hint="cs"/>
          <w:sz w:val="26"/>
          <w:szCs w:val="26"/>
          <w:rtl/>
        </w:rPr>
        <w:t>21.</w:t>
      </w:r>
      <w:r w:rsidRPr="00A54882">
        <w:rPr>
          <w:rFonts w:hint="cs"/>
          <w:sz w:val="26"/>
          <w:szCs w:val="26"/>
          <w:rtl/>
        </w:rPr>
        <w:tab/>
        <w:t xml:space="preserve">במקרה זה, שני אישומי הסחר מתייחסים לסכומים קטנים והרווח בהם היה מינורי. בקשת החילוט מתייחסת בעיקר לרווח שהיה אמור להיות מופק מהעבירה של החזקת הסם. אמנם מדובר בהחזקה שלא לשימוש עצמי, ואף קיימת אינדיקציה מסויימת לאפשרות של סחר, בשל החזקת המאזניים והמבחנות המאפיינים סחר בסמים. אולם אין בפני כל ראיה קונקרטית בנוגע לעסקאות ספציפיות שבוצעו או שהיו אמורות להתבצע, או לרווח שהיה צפוי להיות מופק, כך שרב המרחק בין המצב הקיים כאן לבין המצב המתואר בפקודה, בו בית המשפט נוכח כי הנאשם הפיק או היה אמור להפיק רווח מעסקת סמים. </w:t>
      </w:r>
    </w:p>
    <w:p w14:paraId="219C0B70" w14:textId="77777777" w:rsidR="00270083" w:rsidRDefault="00270083" w:rsidP="00270083">
      <w:pPr>
        <w:spacing w:line="360" w:lineRule="auto"/>
        <w:ind w:left="720" w:hanging="720"/>
        <w:jc w:val="both"/>
        <w:rPr>
          <w:sz w:val="26"/>
          <w:szCs w:val="26"/>
          <w:rtl/>
        </w:rPr>
      </w:pPr>
    </w:p>
    <w:p w14:paraId="7A6F905D" w14:textId="77777777" w:rsidR="00270083" w:rsidRDefault="00270083" w:rsidP="00270083">
      <w:pPr>
        <w:spacing w:line="360" w:lineRule="auto"/>
        <w:ind w:left="720"/>
        <w:jc w:val="both"/>
        <w:rPr>
          <w:sz w:val="26"/>
          <w:szCs w:val="26"/>
          <w:rtl/>
        </w:rPr>
      </w:pPr>
      <w:r>
        <w:rPr>
          <w:rFonts w:hint="cs"/>
          <w:sz w:val="26"/>
          <w:szCs w:val="26"/>
          <w:rtl/>
        </w:rPr>
        <w:t>אין, איפוא, תשתית מספיקה</w:t>
      </w:r>
      <w:r w:rsidRPr="00A54882">
        <w:rPr>
          <w:rFonts w:hint="cs"/>
          <w:sz w:val="26"/>
          <w:szCs w:val="26"/>
          <w:rtl/>
        </w:rPr>
        <w:t xml:space="preserve"> המאפשרת להכריז על הנאשם סוחר סמים לפי </w:t>
      </w:r>
      <w:hyperlink r:id="rId33" w:history="1">
        <w:r w:rsidR="00562B7C" w:rsidRPr="00562B7C">
          <w:rPr>
            <w:color w:val="0000FF"/>
            <w:sz w:val="26"/>
            <w:szCs w:val="26"/>
            <w:u w:val="single"/>
            <w:rtl/>
          </w:rPr>
          <w:t>סעיף 36א(ב)</w:t>
        </w:r>
      </w:hyperlink>
      <w:r w:rsidRPr="00A54882">
        <w:rPr>
          <w:rFonts w:hint="cs"/>
          <w:sz w:val="26"/>
          <w:szCs w:val="26"/>
          <w:rtl/>
        </w:rPr>
        <w:t xml:space="preserve"> לפקודת הסמים, ועל כן לא ניתן לחלט רכוש מכח סעיף זה. </w:t>
      </w:r>
    </w:p>
    <w:p w14:paraId="25024755" w14:textId="77777777" w:rsidR="00270083" w:rsidRDefault="00270083" w:rsidP="00270083">
      <w:pPr>
        <w:spacing w:line="360" w:lineRule="auto"/>
        <w:jc w:val="both"/>
        <w:rPr>
          <w:sz w:val="26"/>
          <w:szCs w:val="26"/>
          <w:rtl/>
        </w:rPr>
      </w:pPr>
    </w:p>
    <w:p w14:paraId="637751FB" w14:textId="77777777" w:rsidR="00270083" w:rsidRDefault="00270083" w:rsidP="00270083">
      <w:pPr>
        <w:spacing w:line="360" w:lineRule="auto"/>
        <w:ind w:left="720" w:hanging="720"/>
        <w:jc w:val="both"/>
        <w:rPr>
          <w:sz w:val="26"/>
          <w:szCs w:val="26"/>
          <w:rtl/>
        </w:rPr>
      </w:pPr>
      <w:r>
        <w:rPr>
          <w:rFonts w:hint="cs"/>
          <w:sz w:val="26"/>
          <w:szCs w:val="26"/>
          <w:rtl/>
        </w:rPr>
        <w:t>22.</w:t>
      </w:r>
      <w:r>
        <w:rPr>
          <w:rFonts w:hint="cs"/>
          <w:sz w:val="26"/>
          <w:szCs w:val="26"/>
          <w:rtl/>
        </w:rPr>
        <w:tab/>
        <w:t xml:space="preserve">אציין עוד לעניין החילוט כי מחד גיסא הנאשם החזיק בביתו בנסיבות מחשידות, בתוך מכונת כביסה, סכום כסף גדול של כ-100,000 ₪, וכן החזיק למעלה מ-9,000 ₪ בכיסו. כמו כן נמצאו בביתו של הנאשם משקלים ומבחנות, העשויים להעיד על סחר בסמים. הנאשם לא מסר הסבר מספק לעובדות אלו, כמפורט בהכרעת הדין. עם זאת, הנאשם הציג שיקים שהועברו לו על ידי אביו ובני משפחתו בין השנים 2012 </w:t>
      </w:r>
      <w:r>
        <w:rPr>
          <w:sz w:val="26"/>
          <w:szCs w:val="26"/>
          <w:rtl/>
        </w:rPr>
        <w:t>–</w:t>
      </w:r>
      <w:r>
        <w:rPr>
          <w:rFonts w:hint="cs"/>
          <w:sz w:val="26"/>
          <w:szCs w:val="26"/>
          <w:rtl/>
        </w:rPr>
        <w:t xml:space="preserve"> 2015. סכום השיקים מגיע בקירוב לסכום בו החזיק הנאשם במזומן. (קיים קושי לקבוע סכום מדוייק, הן משום שבשיקים נכתבו סכומים בדולרים המצריכים המרה בהתאם לשערי מטבע המשתנים לאורך התקופה, הן משום שצילומי השיקים שנסרקו אינם ברורים וחלק מהדפים הסרוקים אינם שלמים, כך שיש צורך במחקר ובהשלמה על מנת לשחזר את פרטי כל השיקים שהוצגו. עם זאת, לאחר עיון ובדיקה של השיקים מצאתי כי קיימות ראיות להעברת סכום שבין 30 לבין 40 אלף דולר בתקופה הרלוונטית, ועל פי אמדן שווי הסכום בש"ח נע בין 100,000 לבין 150,000 ₪, דהיינו סכום התואם את הסכום שהחזיק הנאשם ויתכן שאף עולה עליו. </w:t>
      </w:r>
    </w:p>
    <w:p w14:paraId="7390FCAC" w14:textId="77777777" w:rsidR="00270083" w:rsidRDefault="00270083" w:rsidP="00270083">
      <w:pPr>
        <w:spacing w:line="360" w:lineRule="auto"/>
        <w:ind w:left="720" w:hanging="720"/>
        <w:jc w:val="both"/>
        <w:rPr>
          <w:sz w:val="26"/>
          <w:szCs w:val="26"/>
          <w:rtl/>
        </w:rPr>
      </w:pPr>
    </w:p>
    <w:p w14:paraId="1C3A414E" w14:textId="77777777" w:rsidR="00270083" w:rsidRDefault="00270083" w:rsidP="00270083">
      <w:pPr>
        <w:spacing w:line="360" w:lineRule="auto"/>
        <w:ind w:left="720" w:hanging="720"/>
        <w:jc w:val="both"/>
        <w:rPr>
          <w:sz w:val="26"/>
          <w:szCs w:val="26"/>
          <w:rtl/>
        </w:rPr>
      </w:pPr>
      <w:r>
        <w:rPr>
          <w:rFonts w:hint="cs"/>
          <w:sz w:val="26"/>
          <w:szCs w:val="26"/>
          <w:rtl/>
        </w:rPr>
        <w:t>23.</w:t>
      </w:r>
      <w:r>
        <w:rPr>
          <w:rFonts w:hint="cs"/>
          <w:sz w:val="26"/>
          <w:szCs w:val="26"/>
          <w:rtl/>
        </w:rPr>
        <w:tab/>
        <w:t xml:space="preserve">הסברו של הנאשם אינו נקי מספקות. הגירסה בדבר קבלת התמיכה המשפחתית הועלתה רק בשלב ההוכחות, כך שהיא גירסה כבושה. מאידך גיסא, מדובר במסמכים העומדים בפני עצמם ומטיבם אינם נתונים להשפעת הנאשם (אלא אם מדובר בזיוף השיקים). כך שיש לייחס להם משקל של ממש על אף כבישת הגירסה. קושי נוסף בהסבר שנתן הנאשם נובע מכך שהכסף הוחזק על ידו בנסיבות מעוררות חשד, כשהוא מוסלק בתוך מכונת כביסה. העובדה שהנאשם בחר שלא להעביר את הכסף בבנקים ומוסדות רשמיים מעוררת חשד שמדובר בכסף שמקורו אינו כשר. </w:t>
      </w:r>
    </w:p>
    <w:p w14:paraId="01E819B1" w14:textId="77777777" w:rsidR="00270083" w:rsidRDefault="00270083" w:rsidP="00270083">
      <w:pPr>
        <w:spacing w:line="360" w:lineRule="auto"/>
        <w:ind w:left="720" w:hanging="720"/>
        <w:jc w:val="both"/>
        <w:rPr>
          <w:sz w:val="26"/>
          <w:szCs w:val="26"/>
          <w:rtl/>
        </w:rPr>
      </w:pPr>
    </w:p>
    <w:p w14:paraId="402E524C" w14:textId="77777777" w:rsidR="00270083" w:rsidRDefault="00270083" w:rsidP="00270083">
      <w:pPr>
        <w:spacing w:line="360" w:lineRule="auto"/>
        <w:ind w:left="720" w:hanging="720"/>
        <w:jc w:val="both"/>
        <w:rPr>
          <w:sz w:val="26"/>
          <w:szCs w:val="26"/>
          <w:rtl/>
        </w:rPr>
      </w:pPr>
      <w:r>
        <w:rPr>
          <w:sz w:val="26"/>
          <w:szCs w:val="26"/>
          <w:rtl/>
        </w:rPr>
        <w:tab/>
      </w:r>
      <w:r>
        <w:rPr>
          <w:rFonts w:hint="cs"/>
          <w:sz w:val="26"/>
          <w:szCs w:val="26"/>
          <w:rtl/>
        </w:rPr>
        <w:t xml:space="preserve">על אף האמור אני סבורה, כאמור, שלא התקיימו נסיבות המצדיקות הפעלת מנגנון החילוט </w:t>
      </w:r>
      <w:hyperlink r:id="rId34" w:history="1">
        <w:r w:rsidR="00562B7C" w:rsidRPr="00562B7C">
          <w:rPr>
            <w:color w:val="0000FF"/>
            <w:sz w:val="26"/>
            <w:szCs w:val="26"/>
            <w:u w:val="single"/>
            <w:rtl/>
          </w:rPr>
          <w:t>שבסעיף 36א(ב)</w:t>
        </w:r>
      </w:hyperlink>
      <w:r>
        <w:rPr>
          <w:rFonts w:hint="cs"/>
          <w:sz w:val="26"/>
          <w:szCs w:val="26"/>
          <w:rtl/>
        </w:rPr>
        <w:t xml:space="preserve"> לפקודת הסמים. </w:t>
      </w:r>
    </w:p>
    <w:p w14:paraId="4C1813E3" w14:textId="77777777" w:rsidR="00270083" w:rsidRDefault="00270083" w:rsidP="00270083">
      <w:pPr>
        <w:spacing w:line="360" w:lineRule="auto"/>
        <w:ind w:left="720" w:hanging="720"/>
        <w:jc w:val="both"/>
        <w:rPr>
          <w:sz w:val="26"/>
          <w:szCs w:val="26"/>
          <w:rtl/>
        </w:rPr>
      </w:pPr>
    </w:p>
    <w:p w14:paraId="52BFD9FC" w14:textId="77777777" w:rsidR="00270083" w:rsidRDefault="00270083" w:rsidP="00270083">
      <w:pPr>
        <w:spacing w:line="360" w:lineRule="auto"/>
        <w:ind w:left="720" w:hanging="720"/>
        <w:jc w:val="both"/>
        <w:rPr>
          <w:sz w:val="26"/>
          <w:szCs w:val="26"/>
          <w:rtl/>
        </w:rPr>
      </w:pPr>
    </w:p>
    <w:p w14:paraId="251A6F51" w14:textId="77777777" w:rsidR="00270083" w:rsidRDefault="00270083" w:rsidP="00270083">
      <w:pPr>
        <w:spacing w:line="360" w:lineRule="auto"/>
        <w:ind w:left="720" w:hanging="720"/>
        <w:jc w:val="both"/>
        <w:rPr>
          <w:sz w:val="26"/>
          <w:szCs w:val="26"/>
          <w:rtl/>
        </w:rPr>
      </w:pPr>
    </w:p>
    <w:p w14:paraId="022D36F1" w14:textId="77777777" w:rsidR="00270083" w:rsidRDefault="00270083" w:rsidP="00270083">
      <w:pPr>
        <w:spacing w:line="360" w:lineRule="auto"/>
        <w:ind w:left="720" w:hanging="720"/>
        <w:jc w:val="both"/>
        <w:rPr>
          <w:sz w:val="26"/>
          <w:szCs w:val="26"/>
          <w:rtl/>
        </w:rPr>
      </w:pPr>
    </w:p>
    <w:p w14:paraId="1BA17E17" w14:textId="77777777" w:rsidR="00270083" w:rsidRDefault="00270083" w:rsidP="00270083">
      <w:pPr>
        <w:spacing w:line="360" w:lineRule="auto"/>
        <w:ind w:left="720" w:hanging="720"/>
        <w:jc w:val="both"/>
        <w:rPr>
          <w:b/>
          <w:bCs/>
          <w:sz w:val="26"/>
          <w:szCs w:val="26"/>
          <w:rtl/>
        </w:rPr>
      </w:pPr>
      <w:r w:rsidRPr="00690B22">
        <w:rPr>
          <w:rFonts w:hint="cs"/>
          <w:b/>
          <w:bCs/>
          <w:sz w:val="26"/>
          <w:szCs w:val="26"/>
          <w:rtl/>
        </w:rPr>
        <w:t>לאור כל האמור, אני דנה את הנאשם לעונשים אלו</w:t>
      </w:r>
      <w:r w:rsidRPr="00690B22">
        <w:rPr>
          <w:rFonts w:hint="cs"/>
          <w:b/>
          <w:bCs/>
          <w:sz w:val="26"/>
          <w:szCs w:val="26"/>
        </w:rPr>
        <w:t xml:space="preserve"> :</w:t>
      </w:r>
    </w:p>
    <w:p w14:paraId="1D6EF73A" w14:textId="77777777" w:rsidR="00270083" w:rsidRPr="00690B22" w:rsidRDefault="00270083" w:rsidP="00270083">
      <w:pPr>
        <w:spacing w:line="360" w:lineRule="auto"/>
        <w:ind w:left="720" w:hanging="720"/>
        <w:jc w:val="both"/>
        <w:rPr>
          <w:b/>
          <w:bCs/>
          <w:sz w:val="26"/>
          <w:szCs w:val="26"/>
          <w:rtl/>
        </w:rPr>
      </w:pPr>
    </w:p>
    <w:p w14:paraId="450F1F65" w14:textId="77777777" w:rsidR="00270083" w:rsidRPr="00690B22" w:rsidRDefault="00270083" w:rsidP="00270083">
      <w:pPr>
        <w:spacing w:line="360" w:lineRule="auto"/>
        <w:ind w:left="720" w:hanging="720"/>
        <w:jc w:val="both"/>
        <w:rPr>
          <w:sz w:val="26"/>
          <w:szCs w:val="26"/>
          <w:rtl/>
        </w:rPr>
      </w:pPr>
      <w:r w:rsidRPr="00690B22">
        <w:rPr>
          <w:rFonts w:hint="cs"/>
          <w:sz w:val="26"/>
          <w:szCs w:val="26"/>
          <w:rtl/>
        </w:rPr>
        <w:t xml:space="preserve">1. </w:t>
      </w:r>
      <w:r w:rsidRPr="00690B22">
        <w:rPr>
          <w:sz w:val="26"/>
          <w:szCs w:val="26"/>
          <w:rtl/>
        </w:rPr>
        <w:tab/>
      </w:r>
      <w:r w:rsidRPr="00690B22">
        <w:rPr>
          <w:rFonts w:hint="cs"/>
          <w:sz w:val="26"/>
          <w:szCs w:val="26"/>
          <w:rtl/>
        </w:rPr>
        <w:t xml:space="preserve">מאסר בפועל לתקופה של שישה חודשים לכל אחד מהאישומים בהם הורשע הנאשם. מאחר שקיימת זיקה בין שני אישומי הסחר, ומדובר בקונה אחד וברקע דומה, אני מורה על חפיפה חלקית של העונשים בגין אישומים אלו, כך שחודשיים מהעונש בגין כל אחד מהם ירוצו בחופף זה לזה, והנאשם ירצה שמונה חודשי מאסר בפועל בגין אישומי הסחר, ושישה חודשי מאסר בגין אישום ההחזקה. בסך הכל ירצה הנאשם ארבעה עשר חודשי מאסר בפועל שיימנו החל מיום מעצרו. </w:t>
      </w:r>
    </w:p>
    <w:p w14:paraId="70344FCA" w14:textId="77777777" w:rsidR="00270083" w:rsidRPr="00690B22" w:rsidRDefault="00270083" w:rsidP="00270083">
      <w:pPr>
        <w:spacing w:line="360" w:lineRule="auto"/>
        <w:ind w:left="720" w:hanging="720"/>
        <w:jc w:val="both"/>
        <w:rPr>
          <w:sz w:val="26"/>
          <w:szCs w:val="26"/>
          <w:rtl/>
        </w:rPr>
      </w:pPr>
    </w:p>
    <w:p w14:paraId="21E5DA04" w14:textId="77777777" w:rsidR="00270083" w:rsidRPr="00690B22" w:rsidRDefault="00270083" w:rsidP="00270083">
      <w:pPr>
        <w:spacing w:line="360" w:lineRule="auto"/>
        <w:ind w:left="720" w:hanging="720"/>
        <w:jc w:val="both"/>
        <w:rPr>
          <w:sz w:val="26"/>
          <w:szCs w:val="26"/>
          <w:rtl/>
        </w:rPr>
      </w:pPr>
      <w:r w:rsidRPr="00690B22">
        <w:rPr>
          <w:rFonts w:hint="cs"/>
          <w:sz w:val="26"/>
          <w:szCs w:val="26"/>
          <w:rtl/>
        </w:rPr>
        <w:t>2.</w:t>
      </w:r>
      <w:r w:rsidRPr="00690B22">
        <w:rPr>
          <w:rFonts w:hint="cs"/>
          <w:sz w:val="26"/>
          <w:szCs w:val="26"/>
          <w:rtl/>
        </w:rPr>
        <w:tab/>
        <w:t xml:space="preserve">מאסר על תנאי לארבעה חודשים למשך שלוש שנים על כל עבירת סמים למעט החזקת סם לשימוש עצמי. </w:t>
      </w:r>
    </w:p>
    <w:p w14:paraId="09E99902" w14:textId="77777777" w:rsidR="00270083" w:rsidRPr="00690B22" w:rsidRDefault="00270083" w:rsidP="00270083">
      <w:pPr>
        <w:spacing w:line="360" w:lineRule="auto"/>
        <w:ind w:left="720" w:hanging="720"/>
        <w:jc w:val="both"/>
        <w:rPr>
          <w:sz w:val="26"/>
          <w:szCs w:val="26"/>
          <w:rtl/>
        </w:rPr>
      </w:pPr>
    </w:p>
    <w:p w14:paraId="619F9520" w14:textId="77777777" w:rsidR="00270083" w:rsidRDefault="00270083" w:rsidP="00270083">
      <w:pPr>
        <w:spacing w:line="360" w:lineRule="auto"/>
        <w:ind w:left="720" w:hanging="720"/>
        <w:jc w:val="both"/>
        <w:rPr>
          <w:sz w:val="26"/>
          <w:szCs w:val="26"/>
          <w:rtl/>
        </w:rPr>
      </w:pPr>
      <w:r w:rsidRPr="00690B22">
        <w:rPr>
          <w:rFonts w:hint="cs"/>
          <w:sz w:val="26"/>
          <w:szCs w:val="26"/>
          <w:rtl/>
        </w:rPr>
        <w:t>3.</w:t>
      </w:r>
      <w:r w:rsidRPr="00690B22">
        <w:rPr>
          <w:rFonts w:hint="cs"/>
          <w:sz w:val="26"/>
          <w:szCs w:val="26"/>
          <w:rtl/>
        </w:rPr>
        <w:tab/>
      </w:r>
      <w:r>
        <w:rPr>
          <w:rFonts w:hint="cs"/>
          <w:sz w:val="26"/>
          <w:szCs w:val="26"/>
          <w:rtl/>
        </w:rPr>
        <w:t xml:space="preserve">קנס בסך 10,000 ₪ שישולם בתוך 45 יום מהיום. </w:t>
      </w:r>
    </w:p>
    <w:p w14:paraId="4228DDB1" w14:textId="77777777" w:rsidR="00270083" w:rsidRDefault="00270083" w:rsidP="00270083">
      <w:pPr>
        <w:spacing w:line="360" w:lineRule="auto"/>
        <w:ind w:left="720" w:hanging="720"/>
        <w:jc w:val="both"/>
        <w:rPr>
          <w:sz w:val="26"/>
          <w:szCs w:val="26"/>
          <w:rtl/>
        </w:rPr>
      </w:pPr>
    </w:p>
    <w:p w14:paraId="34CDACD0" w14:textId="77777777" w:rsidR="00270083" w:rsidRDefault="00270083" w:rsidP="00270083">
      <w:pPr>
        <w:spacing w:line="360" w:lineRule="auto"/>
        <w:ind w:left="720" w:hanging="720"/>
        <w:jc w:val="both"/>
        <w:rPr>
          <w:sz w:val="26"/>
          <w:szCs w:val="26"/>
          <w:rtl/>
        </w:rPr>
      </w:pPr>
    </w:p>
    <w:p w14:paraId="516B756A" w14:textId="77777777" w:rsidR="00270083" w:rsidRPr="00690B22" w:rsidRDefault="00270083" w:rsidP="00270083">
      <w:pPr>
        <w:spacing w:line="360" w:lineRule="auto"/>
        <w:ind w:left="720" w:hanging="720"/>
        <w:jc w:val="both"/>
        <w:rPr>
          <w:sz w:val="26"/>
          <w:szCs w:val="26"/>
          <w:rtl/>
        </w:rPr>
      </w:pPr>
      <w:r w:rsidRPr="00690B22">
        <w:rPr>
          <w:rFonts w:hint="cs"/>
          <w:sz w:val="26"/>
          <w:szCs w:val="26"/>
          <w:rtl/>
        </w:rPr>
        <w:t xml:space="preserve">זכות ערעור לבית המשפט המחוזי בירושלים בתוך 45 יום. </w:t>
      </w:r>
    </w:p>
    <w:p w14:paraId="228432C9" w14:textId="77777777" w:rsidR="00270083" w:rsidRDefault="00DC790C" w:rsidP="00270083">
      <w:pPr>
        <w:rPr>
          <w:rFonts w:cs="FrankRuehl"/>
          <w:sz w:val="28"/>
          <w:szCs w:val="28"/>
          <w:rtl/>
        </w:rPr>
      </w:pPr>
      <w:r>
        <w:rPr>
          <w:sz w:val="26"/>
          <w:szCs w:val="26"/>
          <w:rtl/>
        </w:rPr>
        <w:t xml:space="preserve">ניתן היום,  י' שבט תשע"ו, 20 ינואר 2016, בנוכחות הצדדים. </w:t>
      </w:r>
    </w:p>
    <w:p w14:paraId="449D033D" w14:textId="77777777" w:rsidR="00270083" w:rsidRPr="00DC790C" w:rsidRDefault="00DC790C" w:rsidP="00270083">
      <w:pPr>
        <w:rPr>
          <w:rFonts w:cs="FrankRuehl"/>
          <w:color w:val="FFFFFF"/>
          <w:sz w:val="2"/>
          <w:szCs w:val="2"/>
          <w:rtl/>
        </w:rPr>
      </w:pPr>
      <w:r w:rsidRPr="00DC790C">
        <w:rPr>
          <w:rFonts w:cs="FrankRuehl"/>
          <w:color w:val="FFFFFF"/>
          <w:sz w:val="2"/>
          <w:szCs w:val="2"/>
          <w:rtl/>
        </w:rPr>
        <w:t>5129371</w:t>
      </w:r>
    </w:p>
    <w:p w14:paraId="56921A2B" w14:textId="77777777" w:rsidR="00270083" w:rsidRPr="00DC790C" w:rsidRDefault="00DC790C" w:rsidP="00270083">
      <w:pPr>
        <w:rPr>
          <w:rFonts w:cs="FrankRuehl"/>
          <w:color w:val="FFFFFF"/>
          <w:sz w:val="2"/>
          <w:szCs w:val="2"/>
          <w:rtl/>
        </w:rPr>
      </w:pPr>
      <w:r w:rsidRPr="00DC790C">
        <w:rPr>
          <w:rFonts w:cs="FrankRuehl"/>
          <w:color w:val="FFFFFF"/>
          <w:sz w:val="2"/>
          <w:szCs w:val="2"/>
          <w:rtl/>
        </w:rPr>
        <w:t>54678313</w:t>
      </w:r>
    </w:p>
    <w:p w14:paraId="3E02C9C0" w14:textId="77777777" w:rsidR="00270083" w:rsidRDefault="00270083" w:rsidP="00270083">
      <w:pPr>
        <w:jc w:val="right"/>
      </w:pPr>
    </w:p>
    <w:p w14:paraId="0C029455" w14:textId="77777777" w:rsidR="00270083" w:rsidRDefault="00270083" w:rsidP="00270083">
      <w:pPr>
        <w:jc w:val="right"/>
        <w:rPr>
          <w:rFonts w:ascii="Arial" w:hAnsi="Arial" w:cs="FrankRuehl"/>
          <w:sz w:val="28"/>
          <w:szCs w:val="28"/>
          <w:rtl/>
        </w:rPr>
      </w:pPr>
    </w:p>
    <w:p w14:paraId="5A014297" w14:textId="77777777" w:rsidR="00270083" w:rsidRDefault="00270083" w:rsidP="00270083">
      <w:pPr>
        <w:rPr>
          <w:rFonts w:cs="FrankRuehl"/>
          <w:sz w:val="28"/>
          <w:szCs w:val="28"/>
          <w:rtl/>
        </w:rPr>
      </w:pPr>
    </w:p>
    <w:p w14:paraId="7D648028" w14:textId="77777777" w:rsidR="00270083" w:rsidRPr="00562B7C" w:rsidRDefault="00562B7C" w:rsidP="00270083">
      <w:pPr>
        <w:pStyle w:val="a3"/>
        <w:jc w:val="center"/>
        <w:rPr>
          <w:color w:val="FFFFFF"/>
          <w:sz w:val="2"/>
          <w:szCs w:val="2"/>
          <w:rtl/>
        </w:rPr>
      </w:pPr>
      <w:r w:rsidRPr="00562B7C">
        <w:rPr>
          <w:color w:val="FFFFFF"/>
          <w:sz w:val="2"/>
          <w:szCs w:val="2"/>
          <w:rtl/>
        </w:rPr>
        <w:t>5129371</w:t>
      </w:r>
    </w:p>
    <w:p w14:paraId="13956E8D" w14:textId="77777777" w:rsidR="00DC790C" w:rsidRPr="00562B7C" w:rsidRDefault="00562B7C" w:rsidP="00DC790C">
      <w:pPr>
        <w:keepNext/>
        <w:rPr>
          <w:rFonts w:ascii="David" w:hAnsi="David"/>
          <w:color w:val="FFFFFF"/>
          <w:sz w:val="2"/>
          <w:szCs w:val="2"/>
          <w:rtl/>
        </w:rPr>
      </w:pPr>
      <w:r w:rsidRPr="00562B7C">
        <w:rPr>
          <w:rFonts w:ascii="David" w:hAnsi="David"/>
          <w:color w:val="FFFFFF"/>
          <w:sz w:val="2"/>
          <w:szCs w:val="2"/>
          <w:rtl/>
        </w:rPr>
        <w:t>54678313</w:t>
      </w:r>
    </w:p>
    <w:p w14:paraId="66BEDFFA" w14:textId="77777777" w:rsidR="00DC790C" w:rsidRDefault="00DC790C" w:rsidP="00DC790C">
      <w:r w:rsidRPr="00DC790C">
        <w:rPr>
          <w:color w:val="000000"/>
          <w:rtl/>
        </w:rPr>
        <w:t>נוסח מסמך זה כפוף לשינויי ניסוח ועריכה</w:t>
      </w:r>
    </w:p>
    <w:p w14:paraId="43A361F9" w14:textId="77777777" w:rsidR="00DC790C" w:rsidRDefault="00DC790C" w:rsidP="00DC790C">
      <w:pPr>
        <w:rPr>
          <w:rtl/>
        </w:rPr>
      </w:pPr>
    </w:p>
    <w:p w14:paraId="6DF2535D" w14:textId="77777777" w:rsidR="00DC790C" w:rsidRDefault="00DC790C" w:rsidP="00DC790C">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47502B0" w14:textId="77777777" w:rsidR="00562B7C" w:rsidRPr="00562B7C" w:rsidRDefault="00562B7C" w:rsidP="00562B7C">
      <w:pPr>
        <w:keepNext/>
        <w:rPr>
          <w:rFonts w:ascii="David" w:hAnsi="David"/>
          <w:color w:val="000000"/>
          <w:sz w:val="22"/>
          <w:szCs w:val="22"/>
          <w:rtl/>
        </w:rPr>
      </w:pPr>
    </w:p>
    <w:p w14:paraId="17F4BCA2" w14:textId="77777777" w:rsidR="00562B7C" w:rsidRDefault="00562B7C" w:rsidP="00562B7C">
      <w:pPr>
        <w:keepNext/>
        <w:rPr>
          <w:rFonts w:ascii="David" w:hAnsi="David" w:hint="cs"/>
          <w:color w:val="000000"/>
          <w:sz w:val="22"/>
          <w:szCs w:val="22"/>
          <w:rtl/>
        </w:rPr>
      </w:pPr>
      <w:r w:rsidRPr="00562B7C">
        <w:rPr>
          <w:rFonts w:ascii="David" w:hAnsi="David"/>
          <w:color w:val="000000"/>
          <w:sz w:val="22"/>
          <w:szCs w:val="22"/>
          <w:rtl/>
        </w:rPr>
        <w:t>חגית מאק קלמנוביץ 54678313-/</w:t>
      </w:r>
    </w:p>
    <w:p w14:paraId="22F54A27" w14:textId="77777777" w:rsidR="000A53FA" w:rsidRPr="00562B7C" w:rsidRDefault="000A53FA" w:rsidP="00562B7C">
      <w:pPr>
        <w:keepNext/>
        <w:rPr>
          <w:rFonts w:ascii="David" w:hAnsi="David"/>
          <w:color w:val="000000"/>
          <w:sz w:val="22"/>
          <w:szCs w:val="22"/>
          <w:rtl/>
        </w:rPr>
      </w:pPr>
    </w:p>
    <w:sectPr w:rsidR="000A53FA" w:rsidRPr="00562B7C" w:rsidSect="00562B7C">
      <w:headerReference w:type="even" r:id="rId36"/>
      <w:headerReference w:type="default" r:id="rId37"/>
      <w:footerReference w:type="even" r:id="rId38"/>
      <w:footerReference w:type="default" r:id="rId39"/>
      <w:pgSz w:w="11907" w:h="16840" w:code="9"/>
      <w:pgMar w:top="1701" w:right="1701" w:bottom="1418" w:left="1701" w:header="187"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7D838" w14:textId="77777777" w:rsidR="00B51CAE" w:rsidRDefault="00B51CAE">
      <w:r>
        <w:separator/>
      </w:r>
    </w:p>
  </w:endnote>
  <w:endnote w:type="continuationSeparator" w:id="0">
    <w:p w14:paraId="6021657A" w14:textId="77777777" w:rsidR="00B51CAE" w:rsidRDefault="00B51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D32B3" w14:textId="77777777" w:rsidR="006C410C" w:rsidRDefault="006C410C" w:rsidP="00562B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3EC170" w14:textId="77777777" w:rsidR="006C410C" w:rsidRPr="00562B7C" w:rsidRDefault="006C410C" w:rsidP="00562B7C">
    <w:pPr>
      <w:pStyle w:val="a4"/>
      <w:pBdr>
        <w:top w:val="single" w:sz="4" w:space="1" w:color="auto"/>
        <w:between w:val="single" w:sz="4" w:space="0" w:color="auto"/>
      </w:pBdr>
      <w:spacing w:after="60"/>
      <w:jc w:val="center"/>
      <w:rPr>
        <w:rFonts w:ascii="FrankRuehl" w:hAnsi="FrankRuehl" w:cs="FrankRuehl"/>
        <w:color w:val="000000"/>
      </w:rPr>
    </w:pPr>
    <w:r w:rsidRPr="00562B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4DA73" w14:textId="77777777" w:rsidR="006C410C" w:rsidRDefault="006C410C" w:rsidP="00562B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F0259">
      <w:rPr>
        <w:rFonts w:ascii="FrankRuehl" w:hAnsi="FrankRuehl" w:cs="FrankRuehl"/>
        <w:noProof/>
        <w:rtl/>
      </w:rPr>
      <w:t>1</w:t>
    </w:r>
    <w:r>
      <w:rPr>
        <w:rFonts w:ascii="FrankRuehl" w:hAnsi="FrankRuehl" w:cs="FrankRuehl"/>
        <w:rtl/>
      </w:rPr>
      <w:fldChar w:fldCharType="end"/>
    </w:r>
  </w:p>
  <w:p w14:paraId="5DFD43F2" w14:textId="77777777" w:rsidR="006C410C" w:rsidRPr="00562B7C" w:rsidRDefault="006C410C" w:rsidP="00562B7C">
    <w:pPr>
      <w:pStyle w:val="a4"/>
      <w:pBdr>
        <w:top w:val="single" w:sz="4" w:space="1" w:color="auto"/>
        <w:between w:val="single" w:sz="4" w:space="0" w:color="auto"/>
      </w:pBdr>
      <w:spacing w:after="60"/>
      <w:jc w:val="center"/>
      <w:rPr>
        <w:rFonts w:ascii="FrankRuehl" w:hAnsi="FrankRuehl" w:cs="FrankRuehl"/>
        <w:color w:val="000000"/>
      </w:rPr>
    </w:pPr>
    <w:r w:rsidRPr="00562B7C">
      <w:rPr>
        <w:rFonts w:ascii="FrankRuehl" w:hAnsi="FrankRuehl" w:cs="FrankRuehl"/>
        <w:color w:val="000000"/>
      </w:rPr>
      <w:pict w14:anchorId="59B1B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7E13F" w14:textId="77777777" w:rsidR="00B51CAE" w:rsidRDefault="00B51CAE">
      <w:r>
        <w:separator/>
      </w:r>
    </w:p>
  </w:footnote>
  <w:footnote w:type="continuationSeparator" w:id="0">
    <w:p w14:paraId="00696D2D" w14:textId="77777777" w:rsidR="00B51CAE" w:rsidRDefault="00B51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D6190" w14:textId="77777777" w:rsidR="006C410C" w:rsidRPr="00562B7C" w:rsidRDefault="006C410C" w:rsidP="00562B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56842-06-15</w:t>
    </w:r>
    <w:r>
      <w:rPr>
        <w:rFonts w:ascii="David" w:hAnsi="David"/>
        <w:color w:val="000000"/>
        <w:sz w:val="22"/>
        <w:szCs w:val="22"/>
        <w:rtl/>
      </w:rPr>
      <w:tab/>
      <w:t xml:space="preserve"> מדינת ישראל נ' אליהו רוזנבלום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1813A" w14:textId="77777777" w:rsidR="006C410C" w:rsidRPr="00562B7C" w:rsidRDefault="006C410C" w:rsidP="00562B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56842-06-15</w:t>
    </w:r>
    <w:r>
      <w:rPr>
        <w:rFonts w:ascii="David" w:hAnsi="David"/>
        <w:color w:val="000000"/>
        <w:sz w:val="22"/>
        <w:szCs w:val="22"/>
        <w:rtl/>
      </w:rPr>
      <w:tab/>
      <w:t xml:space="preserve"> מדינת ישראל נ' אליהו רוזנבלום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0083"/>
    <w:rsid w:val="000242EC"/>
    <w:rsid w:val="000A53FA"/>
    <w:rsid w:val="00270083"/>
    <w:rsid w:val="004A650B"/>
    <w:rsid w:val="004E1B88"/>
    <w:rsid w:val="00526521"/>
    <w:rsid w:val="00562B7C"/>
    <w:rsid w:val="006746D3"/>
    <w:rsid w:val="006C410C"/>
    <w:rsid w:val="007F0259"/>
    <w:rsid w:val="009737B5"/>
    <w:rsid w:val="009F0025"/>
    <w:rsid w:val="00A8287B"/>
    <w:rsid w:val="00B51CAE"/>
    <w:rsid w:val="00DC790C"/>
    <w:rsid w:val="00FD05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407BDD"/>
  <w15:chartTrackingRefBased/>
  <w15:docId w15:val="{5531333B-D217-4156-A0AB-3C074C37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008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70083"/>
    <w:pPr>
      <w:tabs>
        <w:tab w:val="center" w:pos="4153"/>
        <w:tab w:val="right" w:pos="8306"/>
      </w:tabs>
    </w:pPr>
  </w:style>
  <w:style w:type="paragraph" w:styleId="a4">
    <w:name w:val="footer"/>
    <w:basedOn w:val="a"/>
    <w:rsid w:val="00270083"/>
    <w:pPr>
      <w:tabs>
        <w:tab w:val="center" w:pos="4153"/>
        <w:tab w:val="right" w:pos="8306"/>
      </w:tabs>
    </w:pPr>
  </w:style>
  <w:style w:type="character" w:styleId="a5">
    <w:name w:val="page number"/>
    <w:basedOn w:val="a0"/>
    <w:rsid w:val="00270083"/>
  </w:style>
  <w:style w:type="character" w:styleId="Hyperlink">
    <w:name w:val="Hyperlink"/>
    <w:rsid w:val="002700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1213700" TargetMode="External"/><Relationship Id="rId18" Type="http://schemas.openxmlformats.org/officeDocument/2006/relationships/hyperlink" Target="http://www.nevo.co.il/case/16927083" TargetMode="External"/><Relationship Id="rId26" Type="http://schemas.openxmlformats.org/officeDocument/2006/relationships/hyperlink" Target="http://www.nevo.co.il/law/4216/36a.a" TargetMode="External"/><Relationship Id="rId39" Type="http://schemas.openxmlformats.org/officeDocument/2006/relationships/footer" Target="footer2.xml"/><Relationship Id="rId21" Type="http://schemas.openxmlformats.org/officeDocument/2006/relationships/hyperlink" Target="http://www.nevo.co.il/law/4216/36a" TargetMode="External"/><Relationship Id="rId34" Type="http://schemas.openxmlformats.org/officeDocument/2006/relationships/hyperlink" Target="http://www.nevo.co.il/law/4216/36a.b" TargetMode="External"/><Relationship Id="rId7" Type="http://schemas.openxmlformats.org/officeDocument/2006/relationships/hyperlink" Target="http://www.nevo.co.il/law/4216/31" TargetMode="External"/><Relationship Id="rId2" Type="http://schemas.openxmlformats.org/officeDocument/2006/relationships/settings" Target="settings.xml"/><Relationship Id="rId16" Type="http://schemas.openxmlformats.org/officeDocument/2006/relationships/hyperlink" Target="http://www.nevo.co.il/case/12856484" TargetMode="External"/><Relationship Id="rId20" Type="http://schemas.openxmlformats.org/officeDocument/2006/relationships/hyperlink" Target="http://www.nevo.co.il/case/11259455" TargetMode="External"/><Relationship Id="rId29" Type="http://schemas.openxmlformats.org/officeDocument/2006/relationships/hyperlink" Target="http://www.nevo.co.il/law/4216/36a.b"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3776631" TargetMode="External"/><Relationship Id="rId24" Type="http://schemas.openxmlformats.org/officeDocument/2006/relationships/hyperlink" Target="http://www.nevo.co.il/law/4216/31" TargetMode="External"/><Relationship Id="rId32" Type="http://schemas.openxmlformats.org/officeDocument/2006/relationships/hyperlink" Target="http://www.nevo.co.il/law/4216/36a.b"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16992335" TargetMode="External"/><Relationship Id="rId23" Type="http://schemas.openxmlformats.org/officeDocument/2006/relationships/hyperlink" Target="http://www.nevo.co.il/law/4216/36a" TargetMode="External"/><Relationship Id="rId28" Type="http://schemas.openxmlformats.org/officeDocument/2006/relationships/hyperlink" Target="http://www.nevo.co.il/law/4216/36a.a" TargetMode="External"/><Relationship Id="rId36" Type="http://schemas.openxmlformats.org/officeDocument/2006/relationships/header" Target="header1.xml"/><Relationship Id="rId10" Type="http://schemas.openxmlformats.org/officeDocument/2006/relationships/hyperlink" Target="http://www.nevo.co.il/law/4216/36a.b" TargetMode="External"/><Relationship Id="rId19" Type="http://schemas.openxmlformats.org/officeDocument/2006/relationships/hyperlink" Target="http://www.nevo.co.il/case/5613228" TargetMode="External"/><Relationship Id="rId31" Type="http://schemas.openxmlformats.org/officeDocument/2006/relationships/hyperlink" Target="http://www.nevo.co.il/law/4216/31" TargetMode="External"/><Relationship Id="rId4" Type="http://schemas.openxmlformats.org/officeDocument/2006/relationships/footnotes" Target="footnotes.xml"/><Relationship Id="rId9" Type="http://schemas.openxmlformats.org/officeDocument/2006/relationships/hyperlink" Target="http://www.nevo.co.il/law/4216/36a.a" TargetMode="External"/><Relationship Id="rId14" Type="http://schemas.openxmlformats.org/officeDocument/2006/relationships/hyperlink" Target="http://www.nevo.co.il/case/18009613"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36a.b" TargetMode="External"/><Relationship Id="rId30" Type="http://schemas.openxmlformats.org/officeDocument/2006/relationships/hyperlink" Target="http://www.nevo.co.il/law/4216/36a"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36a" TargetMode="External"/><Relationship Id="rId3" Type="http://schemas.openxmlformats.org/officeDocument/2006/relationships/webSettings" Target="webSettings.xml"/><Relationship Id="rId12" Type="http://schemas.openxmlformats.org/officeDocument/2006/relationships/hyperlink" Target="http://www.nevo.co.il/case/2296256" TargetMode="External"/><Relationship Id="rId17" Type="http://schemas.openxmlformats.org/officeDocument/2006/relationships/hyperlink" Target="http://www.nevo.co.il/case/20063147" TargetMode="External"/><Relationship Id="rId25" Type="http://schemas.openxmlformats.org/officeDocument/2006/relationships/hyperlink" Target="http://www.nevo.co.il/law/4216/36a" TargetMode="External"/><Relationship Id="rId33" Type="http://schemas.openxmlformats.org/officeDocument/2006/relationships/hyperlink" Target="http://www.nevo.co.il/law/4216/36a.b"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2627</Words>
  <Characters>13136</Characters>
  <Application>Microsoft Office Word</Application>
  <DocSecurity>0</DocSecurity>
  <Lines>109</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15732</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5111890</vt:i4>
      </vt:variant>
      <vt:variant>
        <vt:i4>84</vt:i4>
      </vt:variant>
      <vt:variant>
        <vt:i4>0</vt:i4>
      </vt:variant>
      <vt:variant>
        <vt:i4>5</vt:i4>
      </vt:variant>
      <vt:variant>
        <vt:lpwstr>http://www.nevo.co.il/law/4216/36a.b</vt:lpwstr>
      </vt:variant>
      <vt:variant>
        <vt:lpwstr/>
      </vt:variant>
      <vt:variant>
        <vt:i4>5111890</vt:i4>
      </vt:variant>
      <vt:variant>
        <vt:i4>81</vt:i4>
      </vt:variant>
      <vt:variant>
        <vt:i4>0</vt:i4>
      </vt:variant>
      <vt:variant>
        <vt:i4>5</vt:i4>
      </vt:variant>
      <vt:variant>
        <vt:lpwstr>http://www.nevo.co.il/law/4216/36a.b</vt:lpwstr>
      </vt:variant>
      <vt:variant>
        <vt:lpwstr/>
      </vt:variant>
      <vt:variant>
        <vt:i4>5111890</vt:i4>
      </vt:variant>
      <vt:variant>
        <vt:i4>78</vt:i4>
      </vt:variant>
      <vt:variant>
        <vt:i4>0</vt:i4>
      </vt:variant>
      <vt:variant>
        <vt:i4>5</vt:i4>
      </vt:variant>
      <vt:variant>
        <vt:lpwstr>http://www.nevo.co.il/law/4216/36a.b</vt:lpwstr>
      </vt:variant>
      <vt:variant>
        <vt:lpwstr/>
      </vt:variant>
      <vt:variant>
        <vt:i4>5046346</vt:i4>
      </vt:variant>
      <vt:variant>
        <vt:i4>75</vt:i4>
      </vt:variant>
      <vt:variant>
        <vt:i4>0</vt:i4>
      </vt:variant>
      <vt:variant>
        <vt:i4>5</vt:i4>
      </vt:variant>
      <vt:variant>
        <vt:lpwstr>http://www.nevo.co.il/law/4216/31</vt:lpwstr>
      </vt:variant>
      <vt:variant>
        <vt:lpwstr/>
      </vt:variant>
      <vt:variant>
        <vt:i4>2883708</vt:i4>
      </vt:variant>
      <vt:variant>
        <vt:i4>72</vt:i4>
      </vt:variant>
      <vt:variant>
        <vt:i4>0</vt:i4>
      </vt:variant>
      <vt:variant>
        <vt:i4>5</vt:i4>
      </vt:variant>
      <vt:variant>
        <vt:lpwstr>http://www.nevo.co.il/law/4216/36a</vt:lpwstr>
      </vt:variant>
      <vt:variant>
        <vt:lpwstr/>
      </vt:variant>
      <vt:variant>
        <vt:i4>5111890</vt:i4>
      </vt:variant>
      <vt:variant>
        <vt:i4>69</vt:i4>
      </vt:variant>
      <vt:variant>
        <vt:i4>0</vt:i4>
      </vt:variant>
      <vt:variant>
        <vt:i4>5</vt:i4>
      </vt:variant>
      <vt:variant>
        <vt:lpwstr>http://www.nevo.co.il/law/4216/36a.b</vt:lpwstr>
      </vt:variant>
      <vt:variant>
        <vt:lpwstr/>
      </vt:variant>
      <vt:variant>
        <vt:i4>5046354</vt:i4>
      </vt:variant>
      <vt:variant>
        <vt:i4>66</vt:i4>
      </vt:variant>
      <vt:variant>
        <vt:i4>0</vt:i4>
      </vt:variant>
      <vt:variant>
        <vt:i4>5</vt:i4>
      </vt:variant>
      <vt:variant>
        <vt:lpwstr>http://www.nevo.co.il/law/4216/36a.a</vt:lpwstr>
      </vt:variant>
      <vt:variant>
        <vt:lpwstr/>
      </vt:variant>
      <vt:variant>
        <vt:i4>5111890</vt:i4>
      </vt:variant>
      <vt:variant>
        <vt:i4>63</vt:i4>
      </vt:variant>
      <vt:variant>
        <vt:i4>0</vt:i4>
      </vt:variant>
      <vt:variant>
        <vt:i4>5</vt:i4>
      </vt:variant>
      <vt:variant>
        <vt:lpwstr>http://www.nevo.co.il/law/4216/36a.b</vt:lpwstr>
      </vt:variant>
      <vt:variant>
        <vt:lpwstr/>
      </vt:variant>
      <vt:variant>
        <vt:i4>5046354</vt:i4>
      </vt:variant>
      <vt:variant>
        <vt:i4>60</vt:i4>
      </vt:variant>
      <vt:variant>
        <vt:i4>0</vt:i4>
      </vt:variant>
      <vt:variant>
        <vt:i4>5</vt:i4>
      </vt:variant>
      <vt:variant>
        <vt:lpwstr>http://www.nevo.co.il/law/4216/36a.a</vt:lpwstr>
      </vt:variant>
      <vt:variant>
        <vt:lpwstr/>
      </vt:variant>
      <vt:variant>
        <vt:i4>2883708</vt:i4>
      </vt:variant>
      <vt:variant>
        <vt:i4>57</vt:i4>
      </vt:variant>
      <vt:variant>
        <vt:i4>0</vt:i4>
      </vt:variant>
      <vt:variant>
        <vt:i4>5</vt:i4>
      </vt:variant>
      <vt:variant>
        <vt:lpwstr>http://www.nevo.co.il/law/4216/36a</vt:lpwstr>
      </vt:variant>
      <vt:variant>
        <vt:lpwstr/>
      </vt:variant>
      <vt:variant>
        <vt:i4>5046346</vt:i4>
      </vt:variant>
      <vt:variant>
        <vt:i4>54</vt:i4>
      </vt:variant>
      <vt:variant>
        <vt:i4>0</vt:i4>
      </vt:variant>
      <vt:variant>
        <vt:i4>5</vt:i4>
      </vt:variant>
      <vt:variant>
        <vt:lpwstr>http://www.nevo.co.il/law/4216/31</vt:lpwstr>
      </vt:variant>
      <vt:variant>
        <vt:lpwstr/>
      </vt:variant>
      <vt:variant>
        <vt:i4>2883708</vt:i4>
      </vt:variant>
      <vt:variant>
        <vt:i4>51</vt:i4>
      </vt:variant>
      <vt:variant>
        <vt:i4>0</vt:i4>
      </vt:variant>
      <vt:variant>
        <vt:i4>5</vt:i4>
      </vt:variant>
      <vt:variant>
        <vt:lpwstr>http://www.nevo.co.il/law/4216/36a</vt:lpwstr>
      </vt:variant>
      <vt:variant>
        <vt:lpwstr/>
      </vt:variant>
      <vt:variant>
        <vt:i4>8257637</vt:i4>
      </vt:variant>
      <vt:variant>
        <vt:i4>48</vt:i4>
      </vt:variant>
      <vt:variant>
        <vt:i4>0</vt:i4>
      </vt:variant>
      <vt:variant>
        <vt:i4>5</vt:i4>
      </vt:variant>
      <vt:variant>
        <vt:lpwstr>http://www.nevo.co.il/law/4216</vt:lpwstr>
      </vt:variant>
      <vt:variant>
        <vt:lpwstr/>
      </vt:variant>
      <vt:variant>
        <vt:i4>2883708</vt:i4>
      </vt:variant>
      <vt:variant>
        <vt:i4>45</vt:i4>
      </vt:variant>
      <vt:variant>
        <vt:i4>0</vt:i4>
      </vt:variant>
      <vt:variant>
        <vt:i4>5</vt:i4>
      </vt:variant>
      <vt:variant>
        <vt:lpwstr>http://www.nevo.co.il/law/4216/36a</vt:lpwstr>
      </vt:variant>
      <vt:variant>
        <vt:lpwstr/>
      </vt:variant>
      <vt:variant>
        <vt:i4>4128884</vt:i4>
      </vt:variant>
      <vt:variant>
        <vt:i4>42</vt:i4>
      </vt:variant>
      <vt:variant>
        <vt:i4>0</vt:i4>
      </vt:variant>
      <vt:variant>
        <vt:i4>5</vt:i4>
      </vt:variant>
      <vt:variant>
        <vt:lpwstr>http://www.nevo.co.il/case/11259455</vt:lpwstr>
      </vt:variant>
      <vt:variant>
        <vt:lpwstr/>
      </vt:variant>
      <vt:variant>
        <vt:i4>4063347</vt:i4>
      </vt:variant>
      <vt:variant>
        <vt:i4>39</vt:i4>
      </vt:variant>
      <vt:variant>
        <vt:i4>0</vt:i4>
      </vt:variant>
      <vt:variant>
        <vt:i4>5</vt:i4>
      </vt:variant>
      <vt:variant>
        <vt:lpwstr>http://www.nevo.co.il/case/5613228</vt:lpwstr>
      </vt:variant>
      <vt:variant>
        <vt:lpwstr/>
      </vt:variant>
      <vt:variant>
        <vt:i4>3604592</vt:i4>
      </vt:variant>
      <vt:variant>
        <vt:i4>36</vt:i4>
      </vt:variant>
      <vt:variant>
        <vt:i4>0</vt:i4>
      </vt:variant>
      <vt:variant>
        <vt:i4>5</vt:i4>
      </vt:variant>
      <vt:variant>
        <vt:lpwstr>http://www.nevo.co.il/case/16927083</vt:lpwstr>
      </vt:variant>
      <vt:variant>
        <vt:lpwstr/>
      </vt:variant>
      <vt:variant>
        <vt:i4>3473523</vt:i4>
      </vt:variant>
      <vt:variant>
        <vt:i4>33</vt:i4>
      </vt:variant>
      <vt:variant>
        <vt:i4>0</vt:i4>
      </vt:variant>
      <vt:variant>
        <vt:i4>5</vt:i4>
      </vt:variant>
      <vt:variant>
        <vt:lpwstr>http://www.nevo.co.il/case/20063147</vt:lpwstr>
      </vt:variant>
      <vt:variant>
        <vt:lpwstr/>
      </vt:variant>
      <vt:variant>
        <vt:i4>3604599</vt:i4>
      </vt:variant>
      <vt:variant>
        <vt:i4>30</vt:i4>
      </vt:variant>
      <vt:variant>
        <vt:i4>0</vt:i4>
      </vt:variant>
      <vt:variant>
        <vt:i4>5</vt:i4>
      </vt:variant>
      <vt:variant>
        <vt:lpwstr>http://www.nevo.co.il/case/12856484</vt:lpwstr>
      </vt:variant>
      <vt:variant>
        <vt:lpwstr/>
      </vt:variant>
      <vt:variant>
        <vt:i4>3735672</vt:i4>
      </vt:variant>
      <vt:variant>
        <vt:i4>27</vt:i4>
      </vt:variant>
      <vt:variant>
        <vt:i4>0</vt:i4>
      </vt:variant>
      <vt:variant>
        <vt:i4>5</vt:i4>
      </vt:variant>
      <vt:variant>
        <vt:lpwstr>http://www.nevo.co.il/case/16992335</vt:lpwstr>
      </vt:variant>
      <vt:variant>
        <vt:lpwstr/>
      </vt:variant>
      <vt:variant>
        <vt:i4>3735674</vt:i4>
      </vt:variant>
      <vt:variant>
        <vt:i4>24</vt:i4>
      </vt:variant>
      <vt:variant>
        <vt:i4>0</vt:i4>
      </vt:variant>
      <vt:variant>
        <vt:i4>5</vt:i4>
      </vt:variant>
      <vt:variant>
        <vt:lpwstr>http://www.nevo.co.il/case/18009613</vt:lpwstr>
      </vt:variant>
      <vt:variant>
        <vt:lpwstr/>
      </vt:variant>
      <vt:variant>
        <vt:i4>3145843</vt:i4>
      </vt:variant>
      <vt:variant>
        <vt:i4>21</vt:i4>
      </vt:variant>
      <vt:variant>
        <vt:i4>0</vt:i4>
      </vt:variant>
      <vt:variant>
        <vt:i4>5</vt:i4>
      </vt:variant>
      <vt:variant>
        <vt:lpwstr>http://www.nevo.co.il/case/11213700</vt:lpwstr>
      </vt:variant>
      <vt:variant>
        <vt:lpwstr/>
      </vt:variant>
      <vt:variant>
        <vt:i4>4128885</vt:i4>
      </vt:variant>
      <vt:variant>
        <vt:i4>18</vt:i4>
      </vt:variant>
      <vt:variant>
        <vt:i4>0</vt:i4>
      </vt:variant>
      <vt:variant>
        <vt:i4>5</vt:i4>
      </vt:variant>
      <vt:variant>
        <vt:lpwstr>http://www.nevo.co.il/case/2296256</vt:lpwstr>
      </vt:variant>
      <vt:variant>
        <vt:lpwstr/>
      </vt:variant>
      <vt:variant>
        <vt:i4>3342454</vt:i4>
      </vt:variant>
      <vt:variant>
        <vt:i4>15</vt:i4>
      </vt:variant>
      <vt:variant>
        <vt:i4>0</vt:i4>
      </vt:variant>
      <vt:variant>
        <vt:i4>5</vt:i4>
      </vt:variant>
      <vt:variant>
        <vt:lpwstr>http://www.nevo.co.il/case/3776631</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5046354</vt:i4>
      </vt:variant>
      <vt:variant>
        <vt:i4>9</vt:i4>
      </vt:variant>
      <vt:variant>
        <vt:i4>0</vt:i4>
      </vt:variant>
      <vt:variant>
        <vt:i4>5</vt:i4>
      </vt:variant>
      <vt:variant>
        <vt:lpwstr>http://www.nevo.co.il/law/4216/36a.a</vt:lpwstr>
      </vt:variant>
      <vt:variant>
        <vt:lpwstr/>
      </vt:variant>
      <vt:variant>
        <vt:i4>2883708</vt:i4>
      </vt:variant>
      <vt:variant>
        <vt:i4>6</vt:i4>
      </vt:variant>
      <vt:variant>
        <vt:i4>0</vt:i4>
      </vt:variant>
      <vt:variant>
        <vt:i4>5</vt:i4>
      </vt:variant>
      <vt:variant>
        <vt:lpwstr>http://www.nevo.co.il/law/4216/36a</vt:lpwstr>
      </vt:variant>
      <vt:variant>
        <vt:lpwstr/>
      </vt:variant>
      <vt:variant>
        <vt:i4>5046346</vt:i4>
      </vt:variant>
      <vt:variant>
        <vt:i4>3</vt:i4>
      </vt:variant>
      <vt:variant>
        <vt:i4>0</vt:i4>
      </vt:variant>
      <vt:variant>
        <vt:i4>5</vt:i4>
      </vt:variant>
      <vt:variant>
        <vt:lpwstr>http://www.nevo.co.il/law/4216/31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2025-04-22T22:45:00Z</dcterms:created>
  <dcterms:modified xsi:type="dcterms:W3CDTF">2025-04-22T22:45:00Z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56842</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אליהו רוזנבלום</vt:lpwstr>
  </property>
  <property fmtid="{D5CDD505-2E9C-101B-9397-08002B2CF9AE}" pid="10" name="LAWYER">
    <vt:lpwstr>דוד ונטורה;</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20160120</vt:lpwstr>
  </property>
  <property fmtid="{D5CDD505-2E9C-101B-9397-08002B2CF9AE}" pid="14" name="TYPE_N_DATE">
    <vt:lpwstr>38020160120</vt:lpwstr>
  </property>
  <property fmtid="{D5CDD505-2E9C-101B-9397-08002B2CF9AE}" pid="15" name="WORDNUMPAGES">
    <vt:lpwstr>9</vt:lpwstr>
  </property>
  <property fmtid="{D5CDD505-2E9C-101B-9397-08002B2CF9AE}" pid="16" name="TYPE_ABS_DATE">
    <vt:lpwstr>380020160120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3776631;2296256;11213700;18009613;16992335;12856484;20063147;16927083;5613228;11259455</vt:lpwstr>
  </property>
  <property fmtid="{D5CDD505-2E9C-101B-9397-08002B2CF9AE}" pid="36" name="LAWLISTTMP1">
    <vt:lpwstr>4216/036a:4;031:2;036a.a:2;036a.b:5</vt:lpwstr>
  </property>
</Properties>
</file>