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85DFB" w:rsidRPr="005D1BC6" w14:paraId="52EB58FE" w14:textId="77777777" w:rsidTr="00094202">
        <w:trPr>
          <w:trHeight w:hRule="exact" w:val="418"/>
          <w:jc w:val="center"/>
        </w:trPr>
        <w:tc>
          <w:tcPr>
            <w:tcW w:w="8721" w:type="dxa"/>
            <w:gridSpan w:val="2"/>
          </w:tcPr>
          <w:p w14:paraId="66512AFF" w14:textId="77777777" w:rsidR="00185DFB" w:rsidRPr="005D1BC6" w:rsidRDefault="005D1BC6">
            <w:pPr>
              <w:pStyle w:val="a3"/>
              <w:jc w:val="center"/>
              <w:rPr>
                <w:rFonts w:ascii="Tahoma" w:hAnsi="Tahoma" w:cs="Tahoma"/>
                <w:color w:val="000080"/>
                <w:rtl/>
              </w:rPr>
            </w:pPr>
            <w:bookmarkStart w:id="0" w:name="LastJudge"/>
            <w:r w:rsidRPr="005D1BC6">
              <w:rPr>
                <w:rFonts w:ascii="Tahoma" w:hAnsi="Tahoma" w:cs="Tahoma"/>
                <w:b/>
                <w:bCs/>
                <w:color w:val="000080"/>
                <w:rtl/>
              </w:rPr>
              <w:t>בית משפט השלום בתל אביב - יפו</w:t>
            </w:r>
          </w:p>
        </w:tc>
      </w:tr>
      <w:tr w:rsidR="00185DFB" w:rsidRPr="005D1BC6" w14:paraId="3D8AEB67" w14:textId="77777777" w:rsidTr="00094202">
        <w:trPr>
          <w:trHeight w:val="337"/>
          <w:jc w:val="center"/>
        </w:trPr>
        <w:tc>
          <w:tcPr>
            <w:tcW w:w="5058" w:type="dxa"/>
          </w:tcPr>
          <w:p w14:paraId="29C1F8BE" w14:textId="77777777" w:rsidR="00185DFB" w:rsidRPr="005D1BC6" w:rsidRDefault="005D1BC6">
            <w:pPr>
              <w:rPr>
                <w:rFonts w:cs="FrankRuehl"/>
                <w:sz w:val="28"/>
                <w:szCs w:val="28"/>
                <w:rtl/>
              </w:rPr>
            </w:pPr>
            <w:r w:rsidRPr="005D1BC6">
              <w:rPr>
                <w:rFonts w:cs="FrankRuehl"/>
                <w:sz w:val="28"/>
                <w:szCs w:val="28"/>
                <w:rtl/>
              </w:rPr>
              <w:t>ת"פ</w:t>
            </w:r>
            <w:r w:rsidRPr="005D1BC6">
              <w:rPr>
                <w:rFonts w:cs="FrankRuehl" w:hint="cs"/>
                <w:sz w:val="28"/>
                <w:szCs w:val="28"/>
                <w:rtl/>
              </w:rPr>
              <w:t xml:space="preserve"> </w:t>
            </w:r>
            <w:r w:rsidRPr="005D1BC6">
              <w:rPr>
                <w:rFonts w:cs="FrankRuehl"/>
                <w:sz w:val="28"/>
                <w:szCs w:val="28"/>
                <w:rtl/>
              </w:rPr>
              <w:t>58298-06-15</w:t>
            </w:r>
            <w:r w:rsidRPr="005D1BC6">
              <w:rPr>
                <w:rFonts w:cs="FrankRuehl" w:hint="cs"/>
                <w:sz w:val="28"/>
                <w:szCs w:val="28"/>
                <w:rtl/>
              </w:rPr>
              <w:t xml:space="preserve"> </w:t>
            </w:r>
            <w:r w:rsidRPr="005D1BC6">
              <w:rPr>
                <w:rFonts w:cs="FrankRuehl"/>
                <w:sz w:val="28"/>
                <w:szCs w:val="28"/>
                <w:rtl/>
              </w:rPr>
              <w:t>מדינת ישראל נ' שולמן(עציר)</w:t>
            </w:r>
          </w:p>
          <w:p w14:paraId="11705D27" w14:textId="77777777" w:rsidR="00185DFB" w:rsidRPr="005D1BC6" w:rsidRDefault="00185DFB">
            <w:pPr>
              <w:pStyle w:val="a3"/>
              <w:rPr>
                <w:rFonts w:cs="FrankRuehl"/>
                <w:sz w:val="28"/>
                <w:szCs w:val="28"/>
                <w:rtl/>
              </w:rPr>
            </w:pPr>
          </w:p>
        </w:tc>
        <w:tc>
          <w:tcPr>
            <w:tcW w:w="3663" w:type="dxa"/>
          </w:tcPr>
          <w:p w14:paraId="1EB269A0" w14:textId="77777777" w:rsidR="00185DFB" w:rsidRPr="005D1BC6" w:rsidRDefault="00185DFB">
            <w:pPr>
              <w:pStyle w:val="a3"/>
              <w:jc w:val="right"/>
              <w:rPr>
                <w:rFonts w:cs="FrankRuehl"/>
                <w:sz w:val="28"/>
                <w:szCs w:val="28"/>
                <w:rtl/>
              </w:rPr>
            </w:pPr>
          </w:p>
        </w:tc>
      </w:tr>
    </w:tbl>
    <w:p w14:paraId="1575A4D0" w14:textId="77777777" w:rsidR="00185DFB" w:rsidRPr="005D1BC6" w:rsidRDefault="005D1BC6">
      <w:pPr>
        <w:pStyle w:val="a3"/>
        <w:rPr>
          <w:rtl/>
        </w:rPr>
      </w:pPr>
      <w:r w:rsidRPr="005D1BC6">
        <w:rPr>
          <w:rFonts w:hint="cs"/>
          <w:rtl/>
        </w:rPr>
        <w:t xml:space="preserve"> </w:t>
      </w:r>
    </w:p>
    <w:p w14:paraId="5D408399" w14:textId="77777777" w:rsidR="00185DFB" w:rsidRPr="005D1BC6" w:rsidRDefault="00185D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85DFB" w:rsidRPr="005D1BC6" w14:paraId="41958F96" w14:textId="77777777">
        <w:trPr>
          <w:trHeight w:val="295"/>
          <w:jc w:val="center"/>
        </w:trPr>
        <w:tc>
          <w:tcPr>
            <w:tcW w:w="923" w:type="dxa"/>
            <w:tcBorders>
              <w:top w:val="nil"/>
              <w:left w:val="nil"/>
              <w:bottom w:val="nil"/>
              <w:right w:val="nil"/>
            </w:tcBorders>
            <w:shd w:val="clear" w:color="auto" w:fill="auto"/>
          </w:tcPr>
          <w:p w14:paraId="0F055BBA" w14:textId="77777777" w:rsidR="00185DFB" w:rsidRPr="005D1BC6" w:rsidRDefault="005D1BC6">
            <w:pPr>
              <w:jc w:val="both"/>
              <w:rPr>
                <w:rFonts w:ascii="Arial" w:hAnsi="Arial" w:cs="FrankRuehl"/>
                <w:sz w:val="28"/>
                <w:szCs w:val="28"/>
              </w:rPr>
            </w:pPr>
            <w:r w:rsidRPr="005D1BC6">
              <w:rPr>
                <w:rFonts w:ascii="Arial" w:hAnsi="Arial" w:cs="FrankRuehl" w:hint="cs"/>
                <w:sz w:val="28"/>
                <w:szCs w:val="28"/>
                <w:rtl/>
              </w:rPr>
              <w:t>ב</w:t>
            </w:r>
            <w:r w:rsidRPr="005D1BC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9CAB90" w14:textId="77777777" w:rsidR="00185DFB" w:rsidRPr="005D1BC6" w:rsidRDefault="005D1BC6">
            <w:pPr>
              <w:rPr>
                <w:rFonts w:ascii="Arial" w:hAnsi="Arial"/>
                <w:b/>
                <w:bCs/>
                <w:rtl/>
              </w:rPr>
            </w:pPr>
            <w:r w:rsidRPr="005D1BC6">
              <w:rPr>
                <w:rFonts w:ascii="Arial" w:hAnsi="Arial" w:hint="cs"/>
                <w:b/>
                <w:bCs/>
                <w:rtl/>
              </w:rPr>
              <w:t>כבוד ה</w:t>
            </w:r>
            <w:r w:rsidRPr="005D1BC6">
              <w:rPr>
                <w:rFonts w:hint="cs"/>
                <w:rtl/>
              </w:rPr>
              <w:t>שופטת</w:t>
            </w:r>
            <w:r w:rsidRPr="005D1BC6">
              <w:rPr>
                <w:rFonts w:ascii="Arial" w:hAnsi="Arial" w:hint="cs"/>
                <w:b/>
                <w:bCs/>
                <w:rtl/>
              </w:rPr>
              <w:t xml:space="preserve">  </w:t>
            </w:r>
            <w:r w:rsidRPr="005D1BC6">
              <w:rPr>
                <w:rFonts w:hint="cs"/>
                <w:rtl/>
              </w:rPr>
              <w:t>יעל פרדלסקי</w:t>
            </w:r>
          </w:p>
          <w:p w14:paraId="246E879C" w14:textId="77777777" w:rsidR="00185DFB" w:rsidRPr="005D1BC6" w:rsidRDefault="00185DFB">
            <w:pPr>
              <w:rPr>
                <w:rtl/>
              </w:rPr>
            </w:pPr>
          </w:p>
          <w:p w14:paraId="3F552C69" w14:textId="77777777" w:rsidR="00185DFB" w:rsidRPr="005D1BC6" w:rsidRDefault="00185DFB">
            <w:pPr>
              <w:jc w:val="both"/>
              <w:rPr>
                <w:rFonts w:ascii="Arial" w:hAnsi="Arial" w:cs="FrankRuehl"/>
                <w:sz w:val="28"/>
                <w:szCs w:val="28"/>
              </w:rPr>
            </w:pPr>
          </w:p>
        </w:tc>
      </w:tr>
      <w:tr w:rsidR="00185DFB" w:rsidRPr="005D1BC6" w14:paraId="6291F59F" w14:textId="77777777">
        <w:trPr>
          <w:trHeight w:val="355"/>
          <w:jc w:val="center"/>
        </w:trPr>
        <w:tc>
          <w:tcPr>
            <w:tcW w:w="923" w:type="dxa"/>
            <w:tcBorders>
              <w:top w:val="nil"/>
              <w:left w:val="nil"/>
              <w:bottom w:val="nil"/>
              <w:right w:val="nil"/>
            </w:tcBorders>
            <w:shd w:val="clear" w:color="auto" w:fill="auto"/>
          </w:tcPr>
          <w:p w14:paraId="21B2465C" w14:textId="77777777" w:rsidR="00185DFB" w:rsidRPr="005D1BC6" w:rsidRDefault="005D1BC6">
            <w:pPr>
              <w:jc w:val="both"/>
              <w:rPr>
                <w:rFonts w:ascii="Arial" w:hAnsi="Arial" w:cs="FrankRuehl"/>
                <w:sz w:val="28"/>
                <w:szCs w:val="28"/>
              </w:rPr>
            </w:pPr>
            <w:bookmarkStart w:id="1" w:name="FirstAppellant"/>
            <w:r w:rsidRPr="005D1BC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F41FB3B" w14:textId="77777777" w:rsidR="00185DFB" w:rsidRPr="005D1BC6" w:rsidRDefault="005D1BC6">
            <w:r w:rsidRPr="005D1BC6">
              <w:rPr>
                <w:rFonts w:hint="cs"/>
                <w:rtl/>
              </w:rPr>
              <w:t>מדינת ישראל</w:t>
            </w:r>
          </w:p>
        </w:tc>
        <w:tc>
          <w:tcPr>
            <w:tcW w:w="3771" w:type="dxa"/>
            <w:tcBorders>
              <w:top w:val="nil"/>
              <w:left w:val="nil"/>
              <w:bottom w:val="nil"/>
              <w:right w:val="nil"/>
            </w:tcBorders>
            <w:shd w:val="clear" w:color="auto" w:fill="auto"/>
          </w:tcPr>
          <w:p w14:paraId="314FEF09" w14:textId="77777777" w:rsidR="00185DFB" w:rsidRPr="005D1BC6" w:rsidRDefault="00185DFB">
            <w:pPr>
              <w:jc w:val="both"/>
              <w:rPr>
                <w:rFonts w:ascii="Arial" w:hAnsi="Arial" w:cs="FrankRuehl"/>
                <w:sz w:val="28"/>
                <w:szCs w:val="28"/>
              </w:rPr>
            </w:pPr>
          </w:p>
        </w:tc>
      </w:tr>
      <w:bookmarkEnd w:id="1"/>
      <w:tr w:rsidR="00185DFB" w:rsidRPr="005D1BC6" w14:paraId="19477A61" w14:textId="77777777">
        <w:trPr>
          <w:trHeight w:val="355"/>
          <w:jc w:val="center"/>
        </w:trPr>
        <w:tc>
          <w:tcPr>
            <w:tcW w:w="923" w:type="dxa"/>
            <w:tcBorders>
              <w:top w:val="nil"/>
              <w:left w:val="nil"/>
              <w:bottom w:val="nil"/>
              <w:right w:val="nil"/>
            </w:tcBorders>
            <w:shd w:val="clear" w:color="auto" w:fill="auto"/>
          </w:tcPr>
          <w:p w14:paraId="1488CE4C" w14:textId="77777777" w:rsidR="00185DFB" w:rsidRPr="005D1BC6" w:rsidRDefault="00185D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5F04E9" w14:textId="77777777" w:rsidR="00185DFB" w:rsidRPr="005D1BC6" w:rsidRDefault="00185DFB">
            <w:pPr>
              <w:jc w:val="both"/>
              <w:rPr>
                <w:rtl/>
              </w:rPr>
            </w:pPr>
          </w:p>
        </w:tc>
        <w:tc>
          <w:tcPr>
            <w:tcW w:w="3771" w:type="dxa"/>
            <w:tcBorders>
              <w:top w:val="nil"/>
              <w:left w:val="nil"/>
              <w:bottom w:val="nil"/>
              <w:right w:val="nil"/>
            </w:tcBorders>
            <w:shd w:val="clear" w:color="auto" w:fill="auto"/>
          </w:tcPr>
          <w:p w14:paraId="5B4C4D89" w14:textId="77777777" w:rsidR="00185DFB" w:rsidRPr="005D1BC6" w:rsidRDefault="005D1BC6">
            <w:pPr>
              <w:jc w:val="right"/>
              <w:rPr>
                <w:rFonts w:ascii="Arial" w:hAnsi="Arial" w:cs="FrankRuehl"/>
                <w:sz w:val="28"/>
                <w:szCs w:val="28"/>
                <w:rtl/>
              </w:rPr>
            </w:pPr>
            <w:r w:rsidRPr="005D1BC6">
              <w:rPr>
                <w:rFonts w:ascii="Arial" w:hAnsi="Arial" w:cs="FrankRuehl" w:hint="cs"/>
                <w:sz w:val="28"/>
                <w:szCs w:val="28"/>
                <w:rtl/>
              </w:rPr>
              <w:t>ה</w:t>
            </w:r>
            <w:r w:rsidRPr="005D1BC6">
              <w:rPr>
                <w:rFonts w:hint="cs"/>
                <w:rtl/>
              </w:rPr>
              <w:t>מאשימה</w:t>
            </w:r>
          </w:p>
        </w:tc>
      </w:tr>
      <w:tr w:rsidR="00185DFB" w:rsidRPr="005D1BC6" w14:paraId="465C37C2" w14:textId="77777777">
        <w:trPr>
          <w:trHeight w:val="355"/>
          <w:jc w:val="center"/>
        </w:trPr>
        <w:tc>
          <w:tcPr>
            <w:tcW w:w="923" w:type="dxa"/>
            <w:tcBorders>
              <w:top w:val="nil"/>
              <w:left w:val="nil"/>
              <w:bottom w:val="nil"/>
              <w:right w:val="nil"/>
            </w:tcBorders>
            <w:shd w:val="clear" w:color="auto" w:fill="auto"/>
          </w:tcPr>
          <w:p w14:paraId="662EAD82" w14:textId="77777777" w:rsidR="00185DFB" w:rsidRPr="005D1BC6" w:rsidRDefault="00185DF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7C33F00" w14:textId="77777777" w:rsidR="00185DFB" w:rsidRPr="005D1BC6" w:rsidRDefault="00185DFB">
            <w:pPr>
              <w:jc w:val="center"/>
              <w:rPr>
                <w:rFonts w:ascii="Arial" w:hAnsi="Arial" w:cs="FrankRuehl"/>
                <w:b/>
                <w:bCs/>
                <w:sz w:val="28"/>
                <w:szCs w:val="28"/>
                <w:rtl/>
              </w:rPr>
            </w:pPr>
          </w:p>
          <w:p w14:paraId="0854B6A0" w14:textId="77777777" w:rsidR="00185DFB" w:rsidRPr="005D1BC6" w:rsidRDefault="005D1BC6">
            <w:pPr>
              <w:jc w:val="center"/>
              <w:rPr>
                <w:rFonts w:ascii="Arial" w:hAnsi="Arial" w:cs="FrankRuehl"/>
                <w:b/>
                <w:bCs/>
                <w:sz w:val="28"/>
                <w:szCs w:val="28"/>
                <w:rtl/>
              </w:rPr>
            </w:pPr>
            <w:r w:rsidRPr="005D1BC6">
              <w:rPr>
                <w:rFonts w:ascii="Arial" w:hAnsi="Arial" w:cs="FrankRuehl"/>
                <w:b/>
                <w:bCs/>
                <w:sz w:val="28"/>
                <w:szCs w:val="28"/>
                <w:rtl/>
              </w:rPr>
              <w:t>נגד</w:t>
            </w:r>
          </w:p>
          <w:p w14:paraId="34EEC083" w14:textId="77777777" w:rsidR="00185DFB" w:rsidRPr="005D1BC6" w:rsidRDefault="00185DFB">
            <w:pPr>
              <w:jc w:val="both"/>
              <w:rPr>
                <w:rFonts w:ascii="Arial" w:hAnsi="Arial" w:cs="FrankRuehl"/>
                <w:sz w:val="28"/>
                <w:szCs w:val="28"/>
              </w:rPr>
            </w:pPr>
          </w:p>
        </w:tc>
      </w:tr>
      <w:tr w:rsidR="00185DFB" w:rsidRPr="005D1BC6" w14:paraId="5D80DC6C" w14:textId="77777777">
        <w:trPr>
          <w:trHeight w:val="355"/>
          <w:jc w:val="center"/>
        </w:trPr>
        <w:tc>
          <w:tcPr>
            <w:tcW w:w="923" w:type="dxa"/>
            <w:tcBorders>
              <w:top w:val="nil"/>
              <w:left w:val="nil"/>
              <w:bottom w:val="nil"/>
              <w:right w:val="nil"/>
            </w:tcBorders>
            <w:shd w:val="clear" w:color="auto" w:fill="auto"/>
          </w:tcPr>
          <w:p w14:paraId="5AD3E2F8" w14:textId="77777777" w:rsidR="00185DFB" w:rsidRPr="005D1BC6" w:rsidRDefault="00185DFB">
            <w:pPr>
              <w:rPr>
                <w:rFonts w:ascii="Arial" w:hAnsi="Arial" w:cs="FrankRuehl"/>
                <w:sz w:val="28"/>
                <w:szCs w:val="28"/>
                <w:rtl/>
              </w:rPr>
            </w:pPr>
          </w:p>
        </w:tc>
        <w:tc>
          <w:tcPr>
            <w:tcW w:w="4126" w:type="dxa"/>
            <w:tcBorders>
              <w:top w:val="nil"/>
              <w:left w:val="nil"/>
              <w:bottom w:val="nil"/>
              <w:right w:val="nil"/>
            </w:tcBorders>
            <w:shd w:val="clear" w:color="auto" w:fill="auto"/>
          </w:tcPr>
          <w:p w14:paraId="0DB7279A" w14:textId="77777777" w:rsidR="00185DFB" w:rsidRPr="005D1BC6" w:rsidRDefault="005D1BC6">
            <w:pPr>
              <w:rPr>
                <w:rtl/>
              </w:rPr>
            </w:pPr>
            <w:r w:rsidRPr="005D1BC6">
              <w:rPr>
                <w:rFonts w:hint="cs"/>
                <w:rtl/>
              </w:rPr>
              <w:t>ולדיסלב שולמן (עציר)</w:t>
            </w:r>
          </w:p>
        </w:tc>
        <w:tc>
          <w:tcPr>
            <w:tcW w:w="3771" w:type="dxa"/>
            <w:tcBorders>
              <w:top w:val="nil"/>
              <w:left w:val="nil"/>
              <w:bottom w:val="nil"/>
              <w:right w:val="nil"/>
            </w:tcBorders>
            <w:shd w:val="clear" w:color="auto" w:fill="auto"/>
          </w:tcPr>
          <w:p w14:paraId="4676FAD0" w14:textId="77777777" w:rsidR="00185DFB" w:rsidRPr="005D1BC6" w:rsidRDefault="00185DFB">
            <w:pPr>
              <w:jc w:val="right"/>
              <w:rPr>
                <w:rFonts w:ascii="Arial" w:hAnsi="Arial" w:cs="FrankRuehl"/>
                <w:sz w:val="28"/>
                <w:szCs w:val="28"/>
              </w:rPr>
            </w:pPr>
          </w:p>
        </w:tc>
      </w:tr>
      <w:tr w:rsidR="00185DFB" w:rsidRPr="005D1BC6" w14:paraId="51A6F896" w14:textId="77777777">
        <w:trPr>
          <w:trHeight w:val="355"/>
          <w:jc w:val="center"/>
        </w:trPr>
        <w:tc>
          <w:tcPr>
            <w:tcW w:w="923" w:type="dxa"/>
            <w:tcBorders>
              <w:top w:val="nil"/>
              <w:left w:val="nil"/>
              <w:bottom w:val="nil"/>
              <w:right w:val="nil"/>
            </w:tcBorders>
            <w:shd w:val="clear" w:color="auto" w:fill="auto"/>
          </w:tcPr>
          <w:p w14:paraId="3394F36D" w14:textId="77777777" w:rsidR="00185DFB" w:rsidRPr="005D1BC6" w:rsidRDefault="00185D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4B6E6B" w14:textId="77777777" w:rsidR="00185DFB" w:rsidRPr="005D1BC6" w:rsidRDefault="00185DFB">
            <w:pPr>
              <w:jc w:val="both"/>
              <w:rPr>
                <w:rtl/>
              </w:rPr>
            </w:pPr>
          </w:p>
        </w:tc>
        <w:tc>
          <w:tcPr>
            <w:tcW w:w="3771" w:type="dxa"/>
            <w:tcBorders>
              <w:top w:val="nil"/>
              <w:left w:val="nil"/>
              <w:bottom w:val="nil"/>
              <w:right w:val="nil"/>
            </w:tcBorders>
            <w:shd w:val="clear" w:color="auto" w:fill="auto"/>
          </w:tcPr>
          <w:p w14:paraId="0CD7E633" w14:textId="77777777" w:rsidR="00185DFB" w:rsidRPr="005D1BC6" w:rsidRDefault="005D1BC6">
            <w:pPr>
              <w:jc w:val="right"/>
              <w:rPr>
                <w:rFonts w:ascii="Arial" w:hAnsi="Arial" w:cs="FrankRuehl"/>
                <w:sz w:val="28"/>
                <w:szCs w:val="28"/>
              </w:rPr>
            </w:pPr>
            <w:r w:rsidRPr="005D1BC6">
              <w:rPr>
                <w:rFonts w:ascii="Arial" w:hAnsi="Arial" w:cs="FrankRuehl" w:hint="cs"/>
                <w:sz w:val="28"/>
                <w:szCs w:val="28"/>
                <w:rtl/>
              </w:rPr>
              <w:t>ה</w:t>
            </w:r>
            <w:r w:rsidRPr="005D1BC6">
              <w:rPr>
                <w:rFonts w:hint="cs"/>
                <w:rtl/>
              </w:rPr>
              <w:t>נאשמים</w:t>
            </w:r>
          </w:p>
        </w:tc>
      </w:tr>
    </w:tbl>
    <w:p w14:paraId="0D9B65F7" w14:textId="77777777" w:rsidR="00094202" w:rsidRDefault="00094202">
      <w:pPr>
        <w:rPr>
          <w:rtl/>
        </w:rPr>
      </w:pPr>
      <w:bookmarkStart w:id="2" w:name="LawTable"/>
      <w:bookmarkEnd w:id="2"/>
    </w:p>
    <w:p w14:paraId="1DA3758C" w14:textId="77777777" w:rsidR="00094202" w:rsidRPr="00094202" w:rsidRDefault="00094202" w:rsidP="00094202">
      <w:pPr>
        <w:spacing w:after="120" w:line="240" w:lineRule="exact"/>
        <w:ind w:left="283" w:hanging="283"/>
        <w:jc w:val="both"/>
        <w:rPr>
          <w:rFonts w:ascii="FrankRuehl" w:hAnsi="FrankRuehl" w:cs="FrankRuehl"/>
          <w:rtl/>
        </w:rPr>
      </w:pPr>
      <w:r w:rsidRPr="00094202">
        <w:rPr>
          <w:rFonts w:ascii="FrankRuehl" w:hAnsi="FrankRuehl" w:cs="FrankRuehl"/>
          <w:rtl/>
        </w:rPr>
        <w:t xml:space="preserve">חקיקה שאוזכרה: </w:t>
      </w:r>
    </w:p>
    <w:p w14:paraId="22E133E8" w14:textId="77777777" w:rsidR="00094202" w:rsidRPr="00094202" w:rsidRDefault="00094202" w:rsidP="00094202">
      <w:pPr>
        <w:spacing w:after="120" w:line="240" w:lineRule="exact"/>
        <w:ind w:left="283" w:hanging="283"/>
        <w:jc w:val="both"/>
        <w:rPr>
          <w:rFonts w:ascii="FrankRuehl" w:hAnsi="FrankRuehl" w:cs="FrankRuehl"/>
          <w:rtl/>
        </w:rPr>
      </w:pPr>
      <w:hyperlink r:id="rId6" w:history="1">
        <w:r w:rsidRPr="00094202">
          <w:rPr>
            <w:rFonts w:ascii="FrankRuehl" w:hAnsi="FrankRuehl" w:cs="FrankRuehl"/>
            <w:color w:val="0000FF"/>
            <w:u w:val="single"/>
            <w:rtl/>
          </w:rPr>
          <w:t>חוק העונשין, תשל"ז-1977</w:t>
        </w:r>
      </w:hyperlink>
      <w:r w:rsidRPr="00094202">
        <w:rPr>
          <w:rFonts w:ascii="FrankRuehl" w:hAnsi="FrankRuehl" w:cs="FrankRuehl"/>
          <w:rtl/>
        </w:rPr>
        <w:t xml:space="preserve">: סע'  </w:t>
      </w:r>
      <w:hyperlink r:id="rId7" w:history="1">
        <w:r w:rsidRPr="00094202">
          <w:rPr>
            <w:rFonts w:ascii="FrankRuehl" w:hAnsi="FrankRuehl" w:cs="FrankRuehl"/>
            <w:color w:val="0000FF"/>
            <w:u w:val="single"/>
            <w:rtl/>
          </w:rPr>
          <w:t>25</w:t>
        </w:r>
      </w:hyperlink>
      <w:r w:rsidRPr="00094202">
        <w:rPr>
          <w:rFonts w:ascii="FrankRuehl" w:hAnsi="FrankRuehl" w:cs="FrankRuehl"/>
          <w:rtl/>
        </w:rPr>
        <w:t xml:space="preserve">, </w:t>
      </w:r>
      <w:hyperlink r:id="rId8" w:history="1">
        <w:r w:rsidRPr="00094202">
          <w:rPr>
            <w:rFonts w:ascii="FrankRuehl" w:hAnsi="FrankRuehl" w:cs="FrankRuehl"/>
            <w:color w:val="0000FF"/>
            <w:u w:val="single"/>
            <w:rtl/>
          </w:rPr>
          <w:t>413 ו</w:t>
        </w:r>
      </w:hyperlink>
    </w:p>
    <w:p w14:paraId="34912007" w14:textId="77777777" w:rsidR="00094202" w:rsidRPr="00094202" w:rsidRDefault="00094202" w:rsidP="0009420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5DFB" w14:paraId="6E4ADF6A" w14:textId="77777777">
        <w:trPr>
          <w:trHeight w:val="355"/>
          <w:jc w:val="center"/>
        </w:trPr>
        <w:tc>
          <w:tcPr>
            <w:tcW w:w="8820" w:type="dxa"/>
            <w:tcBorders>
              <w:top w:val="nil"/>
              <w:left w:val="nil"/>
              <w:bottom w:val="nil"/>
              <w:right w:val="nil"/>
            </w:tcBorders>
            <w:shd w:val="clear" w:color="auto" w:fill="auto"/>
          </w:tcPr>
          <w:p w14:paraId="3E8670BA" w14:textId="77777777" w:rsidR="005D1BC6" w:rsidRPr="005D1BC6" w:rsidRDefault="005D1BC6" w:rsidP="005D1BC6">
            <w:pPr>
              <w:jc w:val="center"/>
              <w:rPr>
                <w:rFonts w:ascii="Arial" w:hAnsi="Arial" w:cs="FrankRuehl"/>
                <w:b/>
                <w:bCs/>
                <w:sz w:val="32"/>
                <w:szCs w:val="32"/>
                <w:u w:val="single"/>
                <w:rtl/>
              </w:rPr>
            </w:pPr>
            <w:bookmarkStart w:id="3" w:name="LawTable_End"/>
            <w:bookmarkStart w:id="4" w:name="PsakDin" w:colFirst="0" w:colLast="0"/>
            <w:bookmarkEnd w:id="0"/>
            <w:bookmarkEnd w:id="3"/>
            <w:r w:rsidRPr="005D1BC6">
              <w:rPr>
                <w:rFonts w:ascii="Arial" w:hAnsi="Arial" w:cs="FrankRuehl"/>
                <w:b/>
                <w:bCs/>
                <w:sz w:val="32"/>
                <w:szCs w:val="32"/>
                <w:u w:val="single"/>
                <w:rtl/>
              </w:rPr>
              <w:t>גזר דין</w:t>
            </w:r>
          </w:p>
          <w:p w14:paraId="469F74A6" w14:textId="77777777" w:rsidR="00185DFB" w:rsidRPr="005D1BC6" w:rsidRDefault="00185DFB" w:rsidP="005D1BC6">
            <w:pPr>
              <w:jc w:val="center"/>
              <w:rPr>
                <w:rFonts w:ascii="Arial" w:hAnsi="Arial" w:cs="FrankRuehl"/>
                <w:bCs/>
                <w:sz w:val="32"/>
                <w:szCs w:val="32"/>
                <w:u w:val="single"/>
                <w:rtl/>
              </w:rPr>
            </w:pPr>
          </w:p>
        </w:tc>
      </w:tr>
      <w:bookmarkEnd w:id="4"/>
    </w:tbl>
    <w:p w14:paraId="4969E0EA" w14:textId="77777777" w:rsidR="00185DFB" w:rsidRDefault="00185DFB">
      <w:pPr>
        <w:rPr>
          <w:rFonts w:ascii="Arial" w:hAnsi="Arial"/>
          <w:rtl/>
        </w:rPr>
      </w:pPr>
    </w:p>
    <w:p w14:paraId="7DE65123" w14:textId="77777777" w:rsidR="00185DFB" w:rsidRDefault="00185DFB">
      <w:pPr>
        <w:rPr>
          <w:rFonts w:ascii="Arial" w:hAnsi="Arial"/>
          <w:rtl/>
        </w:rPr>
      </w:pPr>
    </w:p>
    <w:p w14:paraId="07C3ADA5" w14:textId="77777777" w:rsidR="00185DFB" w:rsidRDefault="00185DFB">
      <w:pPr>
        <w:spacing w:line="360" w:lineRule="auto"/>
        <w:jc w:val="center"/>
        <w:rPr>
          <w:rFonts w:ascii="David" w:hAnsi="David"/>
          <w:rtl/>
        </w:rPr>
      </w:pPr>
    </w:p>
    <w:p w14:paraId="78E94537" w14:textId="77777777" w:rsidR="00185DFB" w:rsidRDefault="005D1BC6">
      <w:pPr>
        <w:spacing w:line="360" w:lineRule="auto"/>
        <w:ind w:left="720" w:hanging="720"/>
        <w:jc w:val="both"/>
        <w:rPr>
          <w:rtl/>
        </w:rPr>
      </w:pPr>
      <w:r>
        <w:rPr>
          <w:rFonts w:hint="cs"/>
          <w:rtl/>
        </w:rPr>
        <w:t xml:space="preserve">1. </w:t>
      </w:r>
      <w:r>
        <w:rPr>
          <w:rFonts w:hint="cs"/>
          <w:rtl/>
        </w:rPr>
        <w:tab/>
        <w:t xml:space="preserve">ביום 18.11.15 הציגו ב"כ הצדדים הסדר דיוני לפיו הנאשם יחזור מכפירה, כתב אישום יתוקן, הנאשם יודה בכל המיוחס לו בכתב האישום מתוקן, יורשע ויופנה לקבלת תסקיר שירות המבחן אשר יבחן בין היתר את עתירת ב"כ הנאשם להארכת המאסר על תנאי התלוי ועומד כנגד הנאשם, בטרם הטיעונים לעונש. </w:t>
      </w:r>
    </w:p>
    <w:p w14:paraId="28114A9D" w14:textId="77777777" w:rsidR="00185DFB" w:rsidRDefault="00185DFB">
      <w:pPr>
        <w:spacing w:line="360" w:lineRule="auto"/>
        <w:ind w:left="720" w:hanging="720"/>
        <w:jc w:val="both"/>
        <w:rPr>
          <w:rtl/>
        </w:rPr>
      </w:pPr>
    </w:p>
    <w:p w14:paraId="3A6837C9" w14:textId="77777777" w:rsidR="00185DFB" w:rsidRDefault="005D1BC6">
      <w:pPr>
        <w:spacing w:line="360" w:lineRule="auto"/>
        <w:ind w:left="720" w:hanging="720"/>
        <w:jc w:val="both"/>
        <w:rPr>
          <w:rtl/>
        </w:rPr>
      </w:pPr>
      <w:r>
        <w:rPr>
          <w:rFonts w:hint="cs"/>
          <w:rtl/>
        </w:rPr>
        <w:t xml:space="preserve">2. </w:t>
      </w:r>
      <w:r>
        <w:rPr>
          <w:rFonts w:hint="cs"/>
          <w:rtl/>
        </w:rPr>
        <w:tab/>
      </w:r>
      <w:bookmarkStart w:id="5" w:name="ABSTRACT_START"/>
      <w:bookmarkEnd w:id="5"/>
      <w:r>
        <w:rPr>
          <w:rFonts w:hint="cs"/>
          <w:rtl/>
        </w:rPr>
        <w:t xml:space="preserve">במסגרת ההסדר הדיוני הודה הנאשם בכל המיוחס לו בכתב אישום מתוקן והורשע בביצוע עבירה של נסיון פריצה לרכב בכוונה לגנוב, עבירה לפי סעיף </w:t>
      </w:r>
      <w:hyperlink r:id="rId9" w:history="1">
        <w:r w:rsidR="00094202" w:rsidRPr="00094202">
          <w:rPr>
            <w:color w:val="0000FF"/>
            <w:u w:val="single"/>
            <w:rtl/>
          </w:rPr>
          <w:t>413 ו</w:t>
        </w:r>
      </w:hyperlink>
      <w:r>
        <w:rPr>
          <w:rFonts w:hint="cs"/>
          <w:rtl/>
        </w:rPr>
        <w:t xml:space="preserve"> ל</w:t>
      </w:r>
      <w:hyperlink r:id="rId10" w:history="1">
        <w:r w:rsidRPr="005D1BC6">
          <w:rPr>
            <w:color w:val="0000FF"/>
            <w:u w:val="single"/>
            <w:rtl/>
          </w:rPr>
          <w:t>חוק העונשין</w:t>
        </w:r>
      </w:hyperlink>
      <w:r>
        <w:rPr>
          <w:rFonts w:hint="cs"/>
          <w:rtl/>
        </w:rPr>
        <w:t xml:space="preserve"> התשל"ז – 1977 (להלן: </w:t>
      </w:r>
      <w:r>
        <w:rPr>
          <w:rFonts w:hint="cs"/>
          <w:b/>
          <w:bCs/>
          <w:rtl/>
        </w:rPr>
        <w:t>"החוק"</w:t>
      </w:r>
      <w:r>
        <w:rPr>
          <w:rFonts w:hint="cs"/>
          <w:rtl/>
        </w:rPr>
        <w:t xml:space="preserve">) + </w:t>
      </w:r>
      <w:hyperlink r:id="rId11" w:history="1">
        <w:r w:rsidR="00094202" w:rsidRPr="00094202">
          <w:rPr>
            <w:color w:val="0000FF"/>
            <w:u w:val="single"/>
            <w:rtl/>
          </w:rPr>
          <w:t>סעיף 25</w:t>
        </w:r>
      </w:hyperlink>
      <w:r>
        <w:rPr>
          <w:rFonts w:hint="cs"/>
          <w:rtl/>
        </w:rPr>
        <w:t xml:space="preserve"> לחוק. </w:t>
      </w:r>
    </w:p>
    <w:p w14:paraId="4B30F030" w14:textId="77777777" w:rsidR="00185DFB" w:rsidRDefault="00185DFB">
      <w:pPr>
        <w:spacing w:line="360" w:lineRule="auto"/>
        <w:ind w:left="720" w:hanging="720"/>
        <w:jc w:val="both"/>
        <w:rPr>
          <w:rtl/>
        </w:rPr>
      </w:pPr>
      <w:bookmarkStart w:id="6" w:name="ABSTRACT_END"/>
      <w:bookmarkEnd w:id="6"/>
    </w:p>
    <w:p w14:paraId="2F7B36EF" w14:textId="77777777" w:rsidR="00185DFB" w:rsidRDefault="005D1BC6">
      <w:pPr>
        <w:spacing w:line="360" w:lineRule="auto"/>
        <w:ind w:left="720" w:hanging="720"/>
        <w:jc w:val="both"/>
        <w:rPr>
          <w:rtl/>
        </w:rPr>
      </w:pPr>
      <w:r>
        <w:rPr>
          <w:rFonts w:hint="cs"/>
          <w:rtl/>
        </w:rPr>
        <w:t xml:space="preserve">3. </w:t>
      </w:r>
      <w:r>
        <w:rPr>
          <w:rFonts w:hint="cs"/>
          <w:rtl/>
        </w:rPr>
        <w:tab/>
        <w:t xml:space="preserve">מעובדות כתב אישום המתוקן בהן הודה הנאשם עולה כי בתאריך 19.6.15 בשעה 23:30 או בסמוך לכך ברח' שי עגנון בת"א ניסה הנאשם לפרוץ לקטנוע השייך למר יניב בסון וזאת בכוונה לבצע גניבה או פשע ע"י כך שניגש לקטנוע בעודו מחזיק בחתיכת בד בידו אחז בכיסא הקטנוע, משך אותו בחוזקה מספר פעמים ללא הצלחה וניסה לפתוח את הקטנוע. לאחר דקות ארוכות התרחק הנאשם מעט מהמקום, ובהמשך שב אל הקטנוע, אחז בכיסא </w:t>
      </w:r>
      <w:r>
        <w:rPr>
          <w:rFonts w:hint="cs"/>
          <w:rtl/>
        </w:rPr>
        <w:lastRenderedPageBreak/>
        <w:t xml:space="preserve">הקטנוע וניסה לפתוח את הכיסא ללא הצלחה. בנוסף למתואר לעיל, ניקה הנאשם את הכיסא של הקטנוע באמצעות חתיכת בד שאחז. </w:t>
      </w:r>
    </w:p>
    <w:p w14:paraId="24F72BF8" w14:textId="77777777" w:rsidR="00185DFB" w:rsidRDefault="00185DFB">
      <w:pPr>
        <w:spacing w:line="360" w:lineRule="auto"/>
        <w:ind w:left="720" w:hanging="720"/>
        <w:jc w:val="both"/>
        <w:rPr>
          <w:rtl/>
        </w:rPr>
      </w:pPr>
    </w:p>
    <w:p w14:paraId="395E84F6" w14:textId="77777777" w:rsidR="00185DFB" w:rsidRDefault="005D1BC6">
      <w:pPr>
        <w:spacing w:line="360" w:lineRule="auto"/>
        <w:ind w:left="720" w:hanging="720"/>
        <w:jc w:val="both"/>
        <w:rPr>
          <w:rtl/>
        </w:rPr>
      </w:pPr>
      <w:r>
        <w:rPr>
          <w:rFonts w:hint="cs"/>
          <w:rtl/>
        </w:rPr>
        <w:t xml:space="preserve">4. </w:t>
      </w:r>
      <w:r>
        <w:rPr>
          <w:rFonts w:hint="cs"/>
          <w:rtl/>
        </w:rPr>
        <w:tab/>
        <w:t xml:space="preserve">במסגרת ההסדר הדיוני דחיתי את הטיעונים לעונש והפניתי את הנאשם לקבלת תסקיר שירות המבחן ולקבלת תסקירים משלימים. </w:t>
      </w:r>
    </w:p>
    <w:p w14:paraId="7A1FB039" w14:textId="77777777" w:rsidR="00185DFB" w:rsidRDefault="00185DFB">
      <w:pPr>
        <w:spacing w:line="360" w:lineRule="auto"/>
        <w:ind w:left="720" w:hanging="720"/>
        <w:jc w:val="both"/>
        <w:rPr>
          <w:rtl/>
        </w:rPr>
      </w:pPr>
    </w:p>
    <w:p w14:paraId="2CB87943" w14:textId="77777777" w:rsidR="00185DFB" w:rsidRDefault="005D1BC6">
      <w:pPr>
        <w:spacing w:line="360" w:lineRule="auto"/>
        <w:ind w:left="720" w:hanging="720"/>
        <w:jc w:val="both"/>
        <w:rPr>
          <w:rtl/>
        </w:rPr>
      </w:pPr>
      <w:r>
        <w:rPr>
          <w:rFonts w:hint="cs"/>
          <w:rtl/>
        </w:rPr>
        <w:t xml:space="preserve">5. </w:t>
      </w:r>
      <w:r>
        <w:rPr>
          <w:rFonts w:hint="cs"/>
          <w:rtl/>
        </w:rPr>
        <w:tab/>
        <w:t xml:space="preserve">לאחר שמיעת טיעוני ב"כ המאשימה ביום 17.7.16 לעונש בו עתרה להטלת עונש מאסר בפועל, ולהפעלת 10 חודשי המאסר במצטבר, עתר ב"כ הנאשם להפנות את הנאשם לקבלת תסקיר משלים על מנת שבית המשפט יוכל ל היווכח כי הנאשם מתמיד בהליך השיקומי וטיעוני ההגנה נדחו להיום.  </w:t>
      </w:r>
    </w:p>
    <w:p w14:paraId="3C10D13D" w14:textId="77777777" w:rsidR="00185DFB" w:rsidRDefault="005D1BC6">
      <w:pPr>
        <w:spacing w:line="360" w:lineRule="auto"/>
        <w:ind w:left="720" w:hanging="720"/>
        <w:jc w:val="both"/>
        <w:rPr>
          <w:rtl/>
        </w:rPr>
      </w:pPr>
      <w:r>
        <w:rPr>
          <w:rFonts w:hint="cs"/>
          <w:rtl/>
        </w:rPr>
        <w:tab/>
      </w:r>
    </w:p>
    <w:p w14:paraId="6C37D917" w14:textId="77777777" w:rsidR="00185DFB" w:rsidRDefault="005D1BC6">
      <w:pPr>
        <w:spacing w:line="360" w:lineRule="auto"/>
        <w:ind w:left="720" w:hanging="720"/>
        <w:jc w:val="both"/>
        <w:rPr>
          <w:rtl/>
        </w:rPr>
      </w:pPr>
      <w:r>
        <w:rPr>
          <w:rFonts w:hint="cs"/>
          <w:rtl/>
        </w:rPr>
        <w:t xml:space="preserve">6. </w:t>
      </w:r>
      <w:r>
        <w:rPr>
          <w:rFonts w:hint="cs"/>
          <w:rtl/>
        </w:rPr>
        <w:tab/>
        <w:t xml:space="preserve">מתסקירי שירות המבחן אשר מטעמי צנעת הפרט לא אפרטם, עולה כי הנאשם השתלב בהליך גמילה, מטופל בתחליף סם במרפאת "צור אביב" מדצמבר 2015 כששירות מבחן התרשם כי הנאשם עושה מאמצים להימנע משימוש בסמים ומלבצע עבירות. עוד עולה מתסקירי שירות המבחן כי הנאשם עובד כיום כמתקין קירות גבס, מסגרת המאפשרת לנאשם יציבות ושמירה על מקור פרנסה. הנאשם מקפיד להשתתף בהליך טיפולי במסגרת מרפאת "צור אביב" סיים בהצלחה טיפול בקבוצה טיפולית, נעזר בגורמי הטיפול באופן מלא, בדיקות השתן שמסר נמצאו נקיות לחלוטין מסמי הרחוב. עוד נמסר ע"י גורמי הטיפול מ"צור אביבה" כי גורמי הטיפול מסייעים לנאשם להשתלב בלימודי הנדסת בנין במכללת ספיר. שירות המבחן המליץ להעמיד את הנאשם במבחן בתנאי שיבטיח את המשך השתלבות הנאשם במרפאת "צור אביב" וכן המליץ להאריך את המאסר על תנאי התלוי ועומד כנגד הנאשם לתקופה משמעותי אשר יהווה עבור הנאשם גבול חיצוני ברור. </w:t>
      </w:r>
    </w:p>
    <w:p w14:paraId="35902F95" w14:textId="77777777" w:rsidR="00185DFB" w:rsidRDefault="00185DFB">
      <w:pPr>
        <w:spacing w:line="360" w:lineRule="auto"/>
        <w:ind w:left="720" w:hanging="720"/>
        <w:jc w:val="both"/>
        <w:rPr>
          <w:rtl/>
        </w:rPr>
      </w:pPr>
    </w:p>
    <w:p w14:paraId="777E3414" w14:textId="77777777" w:rsidR="00185DFB" w:rsidRDefault="005D1BC6">
      <w:pPr>
        <w:spacing w:line="360" w:lineRule="auto"/>
        <w:ind w:left="720" w:hanging="720"/>
        <w:jc w:val="both"/>
        <w:rPr>
          <w:rtl/>
        </w:rPr>
      </w:pPr>
      <w:r>
        <w:rPr>
          <w:rFonts w:hint="cs"/>
          <w:rtl/>
        </w:rPr>
        <w:t xml:space="preserve">7. </w:t>
      </w:r>
      <w:r>
        <w:rPr>
          <w:rFonts w:hint="cs"/>
          <w:rtl/>
        </w:rPr>
        <w:tab/>
        <w:t>בדיון ביום 17.7.16 הגישה ב"כ המאשימה גיליון הרשעות קודמות של הנאשם ופס"ד שלום ת"א 42353-01-12, הפנתה לפסיקה ועתרה בטיעוניה לעונש להטיל על הנאשם מאסר בפועל, להפעיל את 10 חודשי המאסר על תנאי במצטבר לעונש המאסר שיוטל על הנאשם וכן להטיל על הנאשם מאסר על תנאי וקנס. היום חזר ב"כ המאשימה על טיעוני חברתו כשטיעוניהם לעונש מפורטים בפרוטוקול מהיום ובפרוטוקול מיום 17.7.16.</w:t>
      </w:r>
    </w:p>
    <w:p w14:paraId="3FA0D203" w14:textId="77777777" w:rsidR="00185DFB" w:rsidRDefault="00185DFB">
      <w:pPr>
        <w:spacing w:line="360" w:lineRule="auto"/>
        <w:ind w:left="720" w:hanging="720"/>
        <w:jc w:val="both"/>
        <w:rPr>
          <w:rtl/>
        </w:rPr>
      </w:pPr>
    </w:p>
    <w:p w14:paraId="17A5828D" w14:textId="77777777" w:rsidR="00185DFB" w:rsidRDefault="005D1BC6">
      <w:pPr>
        <w:spacing w:line="360" w:lineRule="auto"/>
        <w:ind w:left="720" w:hanging="720"/>
        <w:jc w:val="both"/>
        <w:rPr>
          <w:rtl/>
        </w:rPr>
      </w:pPr>
      <w:r>
        <w:rPr>
          <w:rFonts w:hint="cs"/>
          <w:rtl/>
        </w:rPr>
        <w:t xml:space="preserve">8. </w:t>
      </w:r>
      <w:r>
        <w:rPr>
          <w:rFonts w:hint="cs"/>
          <w:rtl/>
        </w:rPr>
        <w:tab/>
        <w:t xml:space="preserve"> ב"כ הנאשם עתר בטיעוניו לעונש לכבד את המלצת שירות המבחן ולהטיל על הנאשם צו מבחן ולהאריך את המאסר על תנאי התלוי ועומד כנגד הנאשם כשטיעוניו לעונש מפורטים בפרוטוקול מהיום. </w:t>
      </w:r>
    </w:p>
    <w:p w14:paraId="438E1D4F" w14:textId="77777777" w:rsidR="00185DFB" w:rsidRDefault="00185DFB">
      <w:pPr>
        <w:spacing w:line="360" w:lineRule="auto"/>
        <w:ind w:left="720" w:hanging="720"/>
        <w:jc w:val="both"/>
        <w:rPr>
          <w:rtl/>
        </w:rPr>
      </w:pPr>
    </w:p>
    <w:p w14:paraId="3E07417B" w14:textId="77777777" w:rsidR="00185DFB" w:rsidRDefault="005D1BC6">
      <w:pPr>
        <w:spacing w:line="360" w:lineRule="auto"/>
        <w:ind w:left="720" w:hanging="720"/>
        <w:jc w:val="both"/>
        <w:rPr>
          <w:rtl/>
        </w:rPr>
      </w:pPr>
      <w:r>
        <w:rPr>
          <w:rFonts w:hint="cs"/>
          <w:rtl/>
        </w:rPr>
        <w:t xml:space="preserve">9. </w:t>
      </w:r>
      <w:r>
        <w:rPr>
          <w:rFonts w:hint="cs"/>
          <w:rtl/>
        </w:rPr>
        <w:tab/>
        <w:t>הנאשם הביע חרטה בפני בית המשפט על מעשיו, ועתר לכבד את המלצת שירות המבחן.</w:t>
      </w:r>
    </w:p>
    <w:p w14:paraId="3767E719" w14:textId="77777777" w:rsidR="00185DFB" w:rsidRDefault="00185DFB">
      <w:pPr>
        <w:spacing w:line="360" w:lineRule="auto"/>
        <w:ind w:left="720" w:hanging="720"/>
        <w:jc w:val="both"/>
        <w:rPr>
          <w:rtl/>
        </w:rPr>
      </w:pPr>
    </w:p>
    <w:p w14:paraId="281974A3" w14:textId="77777777" w:rsidR="00185DFB" w:rsidRDefault="005D1BC6">
      <w:pPr>
        <w:spacing w:line="360" w:lineRule="auto"/>
        <w:ind w:left="720" w:hanging="720"/>
        <w:jc w:val="both"/>
        <w:rPr>
          <w:rtl/>
        </w:rPr>
      </w:pPr>
      <w:r>
        <w:rPr>
          <w:rFonts w:hint="cs"/>
          <w:rtl/>
        </w:rPr>
        <w:lastRenderedPageBreak/>
        <w:t xml:space="preserve">10. </w:t>
      </w:r>
      <w:r>
        <w:rPr>
          <w:rFonts w:hint="cs"/>
          <w:rtl/>
        </w:rPr>
        <w:tab/>
        <w:t>הנאשם הורשע בביצוע עבירת רכוש שעניינה נסיון לפרוץ לרכב בכוונה לבצע גניבה. הערך המוגן שנפגע כתוצאה ממעשיו של הנאשם הינו הגנה על בטחון הציבור ועל רכושו, מתחם העונש ההולם בנסיבות ביצוע העבירה ובראי הפסיקה, נע בין 7 חודשי מאסר ל- 15 חודשי מאסר.</w:t>
      </w:r>
    </w:p>
    <w:p w14:paraId="739C60C9" w14:textId="77777777" w:rsidR="00185DFB" w:rsidRDefault="00185DFB">
      <w:pPr>
        <w:spacing w:line="360" w:lineRule="auto"/>
        <w:ind w:left="720" w:hanging="720"/>
        <w:jc w:val="both"/>
        <w:rPr>
          <w:rtl/>
        </w:rPr>
      </w:pPr>
    </w:p>
    <w:p w14:paraId="5139FB7A" w14:textId="77777777" w:rsidR="00185DFB" w:rsidRDefault="005D1BC6">
      <w:pPr>
        <w:spacing w:line="360" w:lineRule="auto"/>
        <w:ind w:left="720" w:hanging="720"/>
        <w:jc w:val="both"/>
        <w:rPr>
          <w:rtl/>
        </w:rPr>
      </w:pPr>
      <w:r>
        <w:rPr>
          <w:rFonts w:hint="cs"/>
          <w:rtl/>
        </w:rPr>
        <w:t xml:space="preserve">11. </w:t>
      </w:r>
      <w:r>
        <w:rPr>
          <w:rFonts w:hint="cs"/>
          <w:rtl/>
        </w:rPr>
        <w:tab/>
        <w:t>בבואי לגזור את עונשו של הנאשם עמדו לנגד עיניי בנוסף למתחם העונש ההולם, גליון הרשעות קודמות של הנאשם ממנו עולה כי לנאשם הרשעות בעבירות רכוש, בעבירות על פי פקודת הסמים, בעבירות אלימות, בעבירה של החזקת סכין שלא כדין ובעבירות נוספות בגינם נדון ל מאסרים בפועל ולמאסרים על תנאי. עוד עמדו לנגד עיניי הודאת הנאשם החיסכון בזמן שיפוטי, האמור בתסקירי שירות המבחן ובעיקר ההליך הטיפולי והשיקומי שעבר ועובר הנאשם והפגיעה בשיקומו של הנאשם באם אגזור על הנאשם מאסר בפועל.</w:t>
      </w:r>
    </w:p>
    <w:p w14:paraId="387145EC" w14:textId="77777777" w:rsidR="00185DFB" w:rsidRDefault="00185DFB">
      <w:pPr>
        <w:spacing w:line="360" w:lineRule="auto"/>
        <w:ind w:left="720" w:hanging="720"/>
        <w:jc w:val="both"/>
        <w:rPr>
          <w:rtl/>
        </w:rPr>
      </w:pPr>
    </w:p>
    <w:p w14:paraId="6C9436F6" w14:textId="77777777" w:rsidR="00185DFB" w:rsidRDefault="005D1BC6">
      <w:pPr>
        <w:spacing w:line="360" w:lineRule="auto"/>
        <w:ind w:left="720" w:hanging="720"/>
        <w:jc w:val="both"/>
        <w:rPr>
          <w:rtl/>
        </w:rPr>
      </w:pPr>
      <w:r>
        <w:rPr>
          <w:rFonts w:hint="cs"/>
          <w:rtl/>
        </w:rPr>
        <w:t xml:space="preserve">12. </w:t>
      </w:r>
      <w:r>
        <w:rPr>
          <w:rFonts w:hint="cs"/>
          <w:rtl/>
        </w:rPr>
        <w:tab/>
        <w:t xml:space="preserve">לאחר ששקלתי את טיעוני ב"כ הצדדים, דברי הנאשם ואת מכלול השיקולים החלטתי שבנסיבות הענין לא יהיה זה צודק להפעיל את 10 חודשי המאסר על תנאי התלויים ו עומדים כנגד הנאשם ומצאתי כי יש לחרוג ממתחם העונש ההולם משיקולי שיקום לאור ההליך הטיפולי והשיקומי אותו עבר ועובר הנאשם. </w:t>
      </w:r>
    </w:p>
    <w:p w14:paraId="0D0D7F78" w14:textId="77777777" w:rsidR="00185DFB" w:rsidRDefault="00185DFB">
      <w:pPr>
        <w:spacing w:line="360" w:lineRule="auto"/>
        <w:ind w:left="720" w:hanging="720"/>
        <w:jc w:val="both"/>
        <w:rPr>
          <w:rtl/>
        </w:rPr>
      </w:pPr>
    </w:p>
    <w:p w14:paraId="59DFDB0F" w14:textId="77777777" w:rsidR="00185DFB" w:rsidRDefault="005D1BC6">
      <w:pPr>
        <w:spacing w:line="360" w:lineRule="auto"/>
        <w:ind w:left="720" w:hanging="720"/>
        <w:jc w:val="both"/>
        <w:rPr>
          <w:rtl/>
        </w:rPr>
      </w:pPr>
      <w:r>
        <w:rPr>
          <w:rFonts w:hint="cs"/>
          <w:rtl/>
        </w:rPr>
        <w:t xml:space="preserve">13. </w:t>
      </w:r>
      <w:r>
        <w:rPr>
          <w:rFonts w:hint="cs"/>
          <w:rtl/>
        </w:rPr>
        <w:tab/>
        <w:t>לפיכך החלטתי לגזור על הנאשם את העונשים הבאים:</w:t>
      </w:r>
    </w:p>
    <w:p w14:paraId="7BE3BEB0" w14:textId="77777777" w:rsidR="00185DFB" w:rsidRDefault="005D1BC6">
      <w:pPr>
        <w:spacing w:line="360" w:lineRule="auto"/>
        <w:ind w:left="1440" w:hanging="720"/>
        <w:jc w:val="both"/>
        <w:rPr>
          <w:rtl/>
        </w:rPr>
      </w:pPr>
      <w:r>
        <w:rPr>
          <w:rFonts w:hint="cs"/>
          <w:rtl/>
        </w:rPr>
        <w:t xml:space="preserve">א. </w:t>
      </w:r>
      <w:r>
        <w:rPr>
          <w:rFonts w:hint="cs"/>
          <w:rtl/>
        </w:rPr>
        <w:tab/>
        <w:t xml:space="preserve">אני מאריכה את 10 חודשי המאסר על תנאי התלויים ועומדים כנגד הנאשם בת"פ שלום ת"א 42353-01-12 לתקופה של שנתיים. </w:t>
      </w:r>
    </w:p>
    <w:p w14:paraId="6B1769E2" w14:textId="77777777" w:rsidR="00185DFB" w:rsidRDefault="005D1BC6">
      <w:pPr>
        <w:spacing w:line="360" w:lineRule="auto"/>
        <w:ind w:left="1440" w:hanging="720"/>
        <w:jc w:val="both"/>
        <w:rPr>
          <w:rtl/>
        </w:rPr>
      </w:pPr>
      <w:r>
        <w:rPr>
          <w:rFonts w:hint="cs"/>
          <w:rtl/>
        </w:rPr>
        <w:t xml:space="preserve">ב. </w:t>
      </w:r>
      <w:r>
        <w:rPr>
          <w:rFonts w:hint="cs"/>
          <w:rtl/>
        </w:rPr>
        <w:tab/>
        <w:t xml:space="preserve">אני מעמידה את הנאשם בפיקוח שירות המבחן לתקופה של 18 חודשים. </w:t>
      </w:r>
    </w:p>
    <w:p w14:paraId="7C45FE5B" w14:textId="77777777" w:rsidR="00185DFB" w:rsidRDefault="005D1BC6">
      <w:pPr>
        <w:spacing w:line="360" w:lineRule="auto"/>
        <w:ind w:left="1440" w:hanging="720"/>
        <w:jc w:val="both"/>
        <w:rPr>
          <w:rtl/>
        </w:rPr>
      </w:pPr>
      <w:r>
        <w:rPr>
          <w:rFonts w:hint="cs"/>
          <w:rtl/>
        </w:rPr>
        <w:t xml:space="preserve">ג. </w:t>
      </w:r>
      <w:r>
        <w:rPr>
          <w:rFonts w:hint="cs"/>
          <w:rtl/>
        </w:rPr>
        <w:tab/>
        <w:t xml:space="preserve">הנאשם יחתום על התחייבות בסך 1,000 ₪ לא יאוחר מהיום בשעה 15:00 להימנע במשך שנתיים להימנע מלעבור על כל עבירת רכוש. לא תיחתם ההתחייבות, ייאסר ל- 5 ימים. </w:t>
      </w:r>
    </w:p>
    <w:p w14:paraId="243BE19F" w14:textId="77777777" w:rsidR="00185DFB" w:rsidRDefault="00185DFB">
      <w:pPr>
        <w:spacing w:line="360" w:lineRule="auto"/>
        <w:ind w:left="1440" w:hanging="720"/>
        <w:jc w:val="both"/>
        <w:rPr>
          <w:rtl/>
        </w:rPr>
      </w:pPr>
    </w:p>
    <w:p w14:paraId="284B4E48" w14:textId="77777777" w:rsidR="00185DFB" w:rsidRDefault="005D1BC6">
      <w:pPr>
        <w:spacing w:line="360" w:lineRule="auto"/>
        <w:ind w:left="720"/>
        <w:jc w:val="both"/>
        <w:rPr>
          <w:rtl/>
        </w:rPr>
      </w:pPr>
      <w:r>
        <w:rPr>
          <w:rFonts w:hint="cs"/>
          <w:rtl/>
        </w:rPr>
        <w:t>מובהר לנאשם כי אם לא יעמוד בתנאי הפיקוח של שירות המבחן ו/או יבצע עבירה בתקופת צו המבחן, ניתן יהיה להחזיר עניינו לדיון בבית המשפט ולהטיל עליו ענישה חלופית.</w:t>
      </w:r>
    </w:p>
    <w:p w14:paraId="6C06D880" w14:textId="77777777" w:rsidR="00185DFB" w:rsidRDefault="00185DFB">
      <w:pPr>
        <w:spacing w:line="360" w:lineRule="auto"/>
        <w:ind w:left="720"/>
        <w:jc w:val="both"/>
        <w:rPr>
          <w:rtl/>
        </w:rPr>
      </w:pPr>
    </w:p>
    <w:p w14:paraId="5DAC971E" w14:textId="77777777" w:rsidR="00185DFB" w:rsidRDefault="005D1BC6">
      <w:pPr>
        <w:spacing w:line="360" w:lineRule="auto"/>
        <w:jc w:val="both"/>
        <w:rPr>
          <w:b/>
          <w:bCs/>
          <w:rtl/>
        </w:rPr>
      </w:pPr>
      <w:r>
        <w:rPr>
          <w:rFonts w:hint="cs"/>
          <w:b/>
          <w:bCs/>
          <w:rtl/>
        </w:rPr>
        <w:t>זכות ערעור תוך 45 יום לבית המשפט המחוזי.</w:t>
      </w:r>
    </w:p>
    <w:p w14:paraId="412E340A" w14:textId="77777777" w:rsidR="00185DFB" w:rsidRDefault="005D1BC6">
      <w:pPr>
        <w:spacing w:line="360" w:lineRule="auto"/>
        <w:jc w:val="both"/>
        <w:rPr>
          <w:b/>
          <w:bCs/>
          <w:rtl/>
        </w:rPr>
      </w:pPr>
      <w:r>
        <w:rPr>
          <w:rFonts w:hint="cs"/>
          <w:b/>
          <w:bCs/>
          <w:rtl/>
        </w:rPr>
        <w:t xml:space="preserve">מזכירות תשלח עותק של גזר הדין לשירות המבחן. </w:t>
      </w:r>
    </w:p>
    <w:p w14:paraId="248F2AD1" w14:textId="77777777" w:rsidR="00185DFB" w:rsidRDefault="005D1BC6">
      <w:pPr>
        <w:spacing w:line="360" w:lineRule="auto"/>
        <w:jc w:val="both"/>
        <w:rPr>
          <w:sz w:val="6"/>
          <w:szCs w:val="6"/>
          <w:rtl/>
        </w:rPr>
      </w:pPr>
      <w:r>
        <w:rPr>
          <w:rFonts w:hint="cs"/>
          <w:sz w:val="6"/>
          <w:szCs w:val="6"/>
          <w:rtl/>
        </w:rPr>
        <w:t>&lt;#4#&gt;</w:t>
      </w:r>
    </w:p>
    <w:p w14:paraId="236A5CD5" w14:textId="77777777" w:rsidR="00185DFB" w:rsidRPr="005D1BC6" w:rsidRDefault="005D1BC6">
      <w:pPr>
        <w:jc w:val="right"/>
        <w:rPr>
          <w:color w:val="FFFFFF"/>
          <w:sz w:val="2"/>
          <w:szCs w:val="2"/>
          <w:rtl/>
        </w:rPr>
      </w:pPr>
      <w:r w:rsidRPr="005D1BC6">
        <w:rPr>
          <w:color w:val="FFFFFF"/>
          <w:sz w:val="2"/>
          <w:szCs w:val="2"/>
          <w:rtl/>
        </w:rPr>
        <w:t>5129371</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85DFB" w14:paraId="6C2FB29A" w14:textId="77777777">
        <w:trPr>
          <w:trHeight w:val="316"/>
        </w:trPr>
        <w:tc>
          <w:tcPr>
            <w:tcW w:w="3936" w:type="dxa"/>
            <w:tcBorders>
              <w:top w:val="nil"/>
              <w:left w:val="nil"/>
              <w:bottom w:val="single" w:sz="4" w:space="0" w:color="auto"/>
              <w:right w:val="nil"/>
            </w:tcBorders>
            <w:shd w:val="clear" w:color="auto" w:fill="auto"/>
          </w:tcPr>
          <w:p w14:paraId="4278271A" w14:textId="77777777" w:rsidR="00185DFB" w:rsidRDefault="005D1BC6">
            <w:pPr>
              <w:jc w:val="center"/>
              <w:rPr>
                <w:rtl/>
              </w:rPr>
            </w:pPr>
            <w:r w:rsidRPr="005D1BC6">
              <w:rPr>
                <w:b/>
                <w:bCs/>
                <w:color w:val="FFFFFF"/>
                <w:sz w:val="2"/>
                <w:szCs w:val="2"/>
                <w:rtl/>
              </w:rPr>
              <w:t>54678313</w:t>
            </w:r>
            <w:r>
              <w:rPr>
                <w:b/>
                <w:bCs/>
                <w:rtl/>
              </w:rPr>
              <w:t xml:space="preserve">ניתנה והודעה היום ו' חשוון תשע"ז, 07/11/2016 במעמד הנוכחים. </w:t>
            </w:r>
          </w:p>
          <w:p w14:paraId="1680F47A" w14:textId="77777777" w:rsidR="00185DFB" w:rsidRDefault="00185DFB">
            <w:pPr>
              <w:jc w:val="center"/>
            </w:pPr>
          </w:p>
        </w:tc>
      </w:tr>
      <w:tr w:rsidR="00185DFB" w14:paraId="447072AD" w14:textId="77777777">
        <w:trPr>
          <w:trHeight w:val="361"/>
        </w:trPr>
        <w:tc>
          <w:tcPr>
            <w:tcW w:w="3936" w:type="dxa"/>
            <w:tcBorders>
              <w:top w:val="single" w:sz="4" w:space="0" w:color="auto"/>
              <w:left w:val="nil"/>
              <w:bottom w:val="nil"/>
              <w:right w:val="nil"/>
            </w:tcBorders>
            <w:shd w:val="clear" w:color="auto" w:fill="auto"/>
          </w:tcPr>
          <w:p w14:paraId="7CE3A651" w14:textId="77777777" w:rsidR="00185DFB" w:rsidRDefault="005D1BC6">
            <w:pPr>
              <w:jc w:val="center"/>
              <w:rPr>
                <w:b/>
                <w:bCs/>
                <w:rtl/>
              </w:rPr>
            </w:pPr>
            <w:r>
              <w:rPr>
                <w:rFonts w:hint="cs"/>
                <w:b/>
                <w:bCs/>
                <w:rtl/>
              </w:rPr>
              <w:t xml:space="preserve">יעל </w:t>
            </w:r>
            <w:r>
              <w:rPr>
                <w:rFonts w:cs="Times New Roman" w:hint="cs"/>
                <w:b/>
                <w:bCs/>
                <w:rtl/>
              </w:rPr>
              <w:t>פרדלסקי</w:t>
            </w:r>
            <w:r>
              <w:rPr>
                <w:rFonts w:hint="cs"/>
                <w:b/>
                <w:bCs/>
                <w:rtl/>
              </w:rPr>
              <w:t xml:space="preserve"> , </w:t>
            </w:r>
            <w:r>
              <w:rPr>
                <w:rFonts w:cs="Times New Roman" w:hint="cs"/>
                <w:b/>
                <w:bCs/>
                <w:rtl/>
              </w:rPr>
              <w:t>שופטת</w:t>
            </w:r>
            <w:r>
              <w:rPr>
                <w:rFonts w:hint="cs"/>
                <w:b/>
                <w:bCs/>
                <w:rtl/>
              </w:rPr>
              <w:t xml:space="preserve"> </w:t>
            </w:r>
          </w:p>
        </w:tc>
      </w:tr>
    </w:tbl>
    <w:p w14:paraId="28EC3D6D" w14:textId="77777777" w:rsidR="00185DFB" w:rsidRDefault="00185DFB">
      <w:pPr>
        <w:rPr>
          <w:rtl/>
        </w:rPr>
      </w:pPr>
    </w:p>
    <w:p w14:paraId="09FD4BA1" w14:textId="77777777" w:rsidR="00185DFB" w:rsidRDefault="00185DFB">
      <w:pPr>
        <w:rPr>
          <w:rtl/>
        </w:rPr>
      </w:pPr>
    </w:p>
    <w:p w14:paraId="554B0879" w14:textId="77777777" w:rsidR="005D1BC6" w:rsidRPr="005D1BC6" w:rsidRDefault="005D1BC6" w:rsidP="005D1BC6">
      <w:pPr>
        <w:keepNext/>
        <w:rPr>
          <w:rFonts w:ascii="David" w:hAnsi="David"/>
          <w:color w:val="000000"/>
          <w:sz w:val="22"/>
          <w:szCs w:val="22"/>
          <w:rtl/>
        </w:rPr>
      </w:pPr>
    </w:p>
    <w:p w14:paraId="3A90F182" w14:textId="77777777" w:rsidR="005D1BC6" w:rsidRPr="005D1BC6" w:rsidRDefault="005D1BC6" w:rsidP="005D1BC6">
      <w:pPr>
        <w:keepNext/>
        <w:rPr>
          <w:rFonts w:ascii="David" w:hAnsi="David"/>
          <w:color w:val="000000"/>
          <w:sz w:val="22"/>
          <w:szCs w:val="22"/>
          <w:rtl/>
        </w:rPr>
      </w:pPr>
      <w:r w:rsidRPr="005D1BC6">
        <w:rPr>
          <w:rFonts w:ascii="David" w:hAnsi="David"/>
          <w:color w:val="000000"/>
          <w:sz w:val="22"/>
          <w:szCs w:val="22"/>
          <w:rtl/>
        </w:rPr>
        <w:t>יעל פרדלסקי 54678313</w:t>
      </w:r>
    </w:p>
    <w:p w14:paraId="658DE31D" w14:textId="77777777" w:rsidR="005D1BC6" w:rsidRDefault="005D1BC6" w:rsidP="005D1BC6">
      <w:r w:rsidRPr="005D1BC6">
        <w:rPr>
          <w:color w:val="000000"/>
          <w:rtl/>
        </w:rPr>
        <w:t>נוסח מסמך זה כפוף לשינויי ניסוח ועריכה</w:t>
      </w:r>
    </w:p>
    <w:p w14:paraId="0F4EB60A" w14:textId="77777777" w:rsidR="005D1BC6" w:rsidRDefault="005D1BC6" w:rsidP="005D1BC6">
      <w:pPr>
        <w:rPr>
          <w:rtl/>
        </w:rPr>
      </w:pPr>
    </w:p>
    <w:p w14:paraId="59AA63B1" w14:textId="77777777" w:rsidR="005D1BC6" w:rsidRDefault="005D1BC6" w:rsidP="005D1BC6">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78BF50C5" w14:textId="77777777" w:rsidR="00185DFB" w:rsidRPr="005D1BC6" w:rsidRDefault="00185DFB" w:rsidP="005D1BC6">
      <w:pPr>
        <w:jc w:val="center"/>
        <w:rPr>
          <w:color w:val="0000FF"/>
          <w:u w:val="single"/>
        </w:rPr>
      </w:pPr>
    </w:p>
    <w:sectPr w:rsidR="00185DFB" w:rsidRPr="005D1BC6" w:rsidSect="005D1BC6">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34D4D" w14:textId="77777777" w:rsidR="00163CE7" w:rsidRDefault="00163CE7">
      <w:r>
        <w:separator/>
      </w:r>
    </w:p>
  </w:endnote>
  <w:endnote w:type="continuationSeparator" w:id="0">
    <w:p w14:paraId="502BAAA8" w14:textId="77777777" w:rsidR="00163CE7" w:rsidRDefault="0016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8BAFA" w14:textId="77777777" w:rsidR="005D1BC6" w:rsidRDefault="005D1BC6" w:rsidP="005D1B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B9FED6" w14:textId="77777777" w:rsidR="00185DFB" w:rsidRPr="005D1BC6" w:rsidRDefault="005D1BC6" w:rsidP="005D1BC6">
    <w:pPr>
      <w:pStyle w:val="a4"/>
      <w:pBdr>
        <w:top w:val="single" w:sz="4" w:space="1" w:color="auto"/>
        <w:between w:val="single" w:sz="4" w:space="0" w:color="auto"/>
      </w:pBdr>
      <w:spacing w:after="60"/>
      <w:jc w:val="center"/>
      <w:rPr>
        <w:rFonts w:ascii="FrankRuehl" w:hAnsi="FrankRuehl" w:cs="FrankRuehl"/>
        <w:color w:val="000000"/>
      </w:rPr>
    </w:pPr>
    <w:r w:rsidRPr="005D1B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0CF75" w14:textId="77777777" w:rsidR="005D1BC6" w:rsidRDefault="005D1BC6" w:rsidP="005D1B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579">
      <w:rPr>
        <w:rFonts w:ascii="FrankRuehl" w:hAnsi="FrankRuehl" w:cs="FrankRuehl"/>
        <w:noProof/>
        <w:rtl/>
      </w:rPr>
      <w:t>1</w:t>
    </w:r>
    <w:r>
      <w:rPr>
        <w:rFonts w:ascii="FrankRuehl" w:hAnsi="FrankRuehl" w:cs="FrankRuehl"/>
        <w:rtl/>
      </w:rPr>
      <w:fldChar w:fldCharType="end"/>
    </w:r>
  </w:p>
  <w:p w14:paraId="2F437D24" w14:textId="77777777" w:rsidR="00185DFB" w:rsidRPr="005D1BC6" w:rsidRDefault="005D1BC6" w:rsidP="005D1BC6">
    <w:pPr>
      <w:pStyle w:val="a4"/>
      <w:pBdr>
        <w:top w:val="single" w:sz="4" w:space="1" w:color="auto"/>
        <w:between w:val="single" w:sz="4" w:space="0" w:color="auto"/>
      </w:pBdr>
      <w:spacing w:after="60"/>
      <w:jc w:val="center"/>
      <w:rPr>
        <w:rFonts w:ascii="FrankRuehl" w:hAnsi="FrankRuehl" w:cs="FrankRuehl"/>
        <w:color w:val="000000"/>
      </w:rPr>
    </w:pPr>
    <w:r w:rsidRPr="005D1BC6">
      <w:rPr>
        <w:rFonts w:ascii="FrankRuehl" w:hAnsi="FrankRuehl" w:cs="FrankRuehl"/>
        <w:color w:val="000000"/>
      </w:rPr>
      <w:pict w14:anchorId="1D6AB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06383" w14:textId="77777777" w:rsidR="00163CE7" w:rsidRDefault="00163CE7">
      <w:r>
        <w:separator/>
      </w:r>
    </w:p>
  </w:footnote>
  <w:footnote w:type="continuationSeparator" w:id="0">
    <w:p w14:paraId="41F8D69E" w14:textId="77777777" w:rsidR="00163CE7" w:rsidRDefault="00163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8C597" w14:textId="77777777" w:rsidR="005D1BC6" w:rsidRPr="005D1BC6" w:rsidRDefault="005D1BC6" w:rsidP="005D1B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58298-06-15</w:t>
    </w:r>
    <w:r>
      <w:rPr>
        <w:rFonts w:ascii="David" w:hAnsi="David"/>
        <w:color w:val="000000"/>
        <w:sz w:val="22"/>
        <w:szCs w:val="22"/>
        <w:rtl/>
      </w:rPr>
      <w:tab/>
      <w:t xml:space="preserve"> מדינת ישראל נ' ולדיסלב שולמן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C2E89" w14:textId="77777777" w:rsidR="005D1BC6" w:rsidRPr="005D1BC6" w:rsidRDefault="005D1BC6" w:rsidP="005D1B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58298-06-15</w:t>
    </w:r>
    <w:r>
      <w:rPr>
        <w:rFonts w:ascii="David" w:hAnsi="David"/>
        <w:color w:val="000000"/>
        <w:sz w:val="22"/>
        <w:szCs w:val="22"/>
        <w:rtl/>
      </w:rPr>
      <w:tab/>
      <w:t xml:space="preserve"> מדינת ישראל נ' ולדיסלב שולמן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5DFB"/>
    <w:rsid w:val="00094202"/>
    <w:rsid w:val="00163CE7"/>
    <w:rsid w:val="00185DFB"/>
    <w:rsid w:val="00394CA5"/>
    <w:rsid w:val="00401F22"/>
    <w:rsid w:val="005D1BC6"/>
    <w:rsid w:val="007E722B"/>
    <w:rsid w:val="008162EC"/>
    <w:rsid w:val="00E55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636CB1"/>
  <w15:chartTrackingRefBased/>
  <w15:docId w15:val="{D5BC7F04-F241-44F6-AFED-90173A43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5DF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85DFB"/>
    <w:pPr>
      <w:tabs>
        <w:tab w:val="center" w:pos="4153"/>
        <w:tab w:val="right" w:pos="8306"/>
      </w:tabs>
    </w:pPr>
  </w:style>
  <w:style w:type="paragraph" w:styleId="a4">
    <w:name w:val="footer"/>
    <w:basedOn w:val="a"/>
    <w:rsid w:val="00185DFB"/>
    <w:pPr>
      <w:tabs>
        <w:tab w:val="center" w:pos="4153"/>
        <w:tab w:val="right" w:pos="8306"/>
      </w:tabs>
    </w:pPr>
  </w:style>
  <w:style w:type="character" w:styleId="a5">
    <w:name w:val="page number"/>
    <w:basedOn w:val="a0"/>
    <w:rsid w:val="00185DFB"/>
  </w:style>
  <w:style w:type="character" w:styleId="Hyperlink">
    <w:name w:val="Hyperlink"/>
    <w:basedOn w:val="a0"/>
    <w:rsid w:val="005D1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3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25"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13f"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5238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131154</vt:i4>
      </vt:variant>
      <vt:variant>
        <vt:i4>9</vt:i4>
      </vt:variant>
      <vt:variant>
        <vt:i4>0</vt:i4>
      </vt:variant>
      <vt:variant>
        <vt:i4>5</vt:i4>
      </vt:variant>
      <vt:variant>
        <vt:lpwstr>http://www.nevo.co.il/law/70301/413f</vt:lpwstr>
      </vt:variant>
      <vt:variant>
        <vt:lpwstr/>
      </vt:variant>
      <vt:variant>
        <vt:i4>131154</vt:i4>
      </vt:variant>
      <vt:variant>
        <vt:i4>6</vt:i4>
      </vt:variant>
      <vt:variant>
        <vt:i4>0</vt:i4>
      </vt:variant>
      <vt:variant>
        <vt:i4>5</vt:i4>
      </vt:variant>
      <vt:variant>
        <vt:lpwstr>http://www.nevo.co.il/law/70301/413f</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58298</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ולדיסלב שולמן</vt:lpwstr>
  </property>
  <property fmtid="{D5CDD505-2E9C-101B-9397-08002B2CF9AE}" pid="10" name="JUDGE">
    <vt:lpwstr>יעל פרדלסקי</vt:lpwstr>
  </property>
  <property fmtid="{D5CDD505-2E9C-101B-9397-08002B2CF9AE}" pid="11" name="CITY">
    <vt:lpwstr>ת"א</vt:lpwstr>
  </property>
  <property fmtid="{D5CDD505-2E9C-101B-9397-08002B2CF9AE}" pid="12" name="DATE">
    <vt:lpwstr>20161107</vt:lpwstr>
  </property>
  <property fmtid="{D5CDD505-2E9C-101B-9397-08002B2CF9AE}" pid="13" name="TYPE_N_DATE">
    <vt:lpwstr>38020161107</vt:lpwstr>
  </property>
  <property fmtid="{D5CDD505-2E9C-101B-9397-08002B2CF9AE}" pid="14" name="CASENOTES1">
    <vt:lpwstr>ProcID=184&amp;PartA=42353&amp;PartB=01&amp;PartC=12</vt:lpwstr>
  </property>
  <property fmtid="{D5CDD505-2E9C-101B-9397-08002B2CF9AE}" pid="15" name="WORDNUMPAGES">
    <vt:lpwstr>4</vt:lpwstr>
  </property>
  <property fmtid="{D5CDD505-2E9C-101B-9397-08002B2CF9AE}" pid="16" name="TYPE_ABS_DATE">
    <vt:lpwstr>380020161107</vt:lpwstr>
  </property>
  <property fmtid="{D5CDD505-2E9C-101B-9397-08002B2CF9AE}" pid="17" name="ISABSTRACT">
    <vt:lpwstr>Y</vt:lpwstr>
  </property>
  <property fmtid="{D5CDD505-2E9C-101B-9397-08002B2CF9AE}" pid="18" name="LAWLISTTMP1">
    <vt:lpwstr>70301/413f;025</vt:lpwstr>
  </property>
</Properties>
</file>