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E3E11E" w14:textId="77777777" w:rsidR="00180836" w:rsidRPr="00B80CC7" w:rsidRDefault="00180836" w:rsidP="00180836">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3973"/>
        <w:gridCol w:w="1068"/>
        <w:gridCol w:w="3679"/>
      </w:tblGrid>
      <w:tr w:rsidR="00180836" w:rsidRPr="00B80CC7" w14:paraId="71057994" w14:textId="77777777">
        <w:trPr>
          <w:trHeight w:hRule="exact" w:val="418"/>
          <w:jc w:val="center"/>
        </w:trPr>
        <w:tc>
          <w:tcPr>
            <w:tcW w:w="8720" w:type="dxa"/>
            <w:gridSpan w:val="3"/>
          </w:tcPr>
          <w:p w14:paraId="403FF777" w14:textId="77777777" w:rsidR="00180836" w:rsidRPr="00B80CC7" w:rsidRDefault="00180836" w:rsidP="00B80CC7">
            <w:pPr>
              <w:pStyle w:val="a4"/>
              <w:tabs>
                <w:tab w:val="clear" w:pos="8306"/>
              </w:tabs>
              <w:jc w:val="center"/>
              <w:rPr>
                <w:rFonts w:ascii="Tahoma" w:hAnsi="Tahoma" w:cs="Tahoma"/>
                <w:b/>
                <w:bCs/>
                <w:color w:val="000080"/>
                <w:sz w:val="20"/>
                <w:szCs w:val="20"/>
                <w:rtl/>
              </w:rPr>
            </w:pPr>
            <w:r w:rsidRPr="00B80CC7">
              <w:rPr>
                <w:rFonts w:ascii="Tahoma" w:hAnsi="Tahoma" w:cs="Tahoma"/>
                <w:b/>
                <w:bCs/>
                <w:color w:val="000080"/>
                <w:sz w:val="20"/>
                <w:szCs w:val="20"/>
                <w:rtl/>
              </w:rPr>
              <w:t>בית משפט השלום באשקלון</w:t>
            </w:r>
          </w:p>
        </w:tc>
      </w:tr>
      <w:tr w:rsidR="00180836" w:rsidRPr="00B80CC7" w14:paraId="1FC33366" w14:textId="77777777">
        <w:trPr>
          <w:trHeight w:val="337"/>
          <w:jc w:val="center"/>
        </w:trPr>
        <w:tc>
          <w:tcPr>
            <w:tcW w:w="3973" w:type="dxa"/>
          </w:tcPr>
          <w:p w14:paraId="7A160B70" w14:textId="77777777" w:rsidR="00180836" w:rsidRPr="00B80CC7" w:rsidRDefault="00180836" w:rsidP="00B80CC7">
            <w:pPr>
              <w:rPr>
                <w:b/>
                <w:bCs/>
                <w:sz w:val="26"/>
                <w:szCs w:val="26"/>
                <w:rtl/>
              </w:rPr>
            </w:pPr>
            <w:r w:rsidRPr="00B80CC7">
              <w:rPr>
                <w:b/>
                <w:bCs/>
                <w:sz w:val="26"/>
                <w:szCs w:val="26"/>
                <w:rtl/>
              </w:rPr>
              <w:t>ת"פ</w:t>
            </w:r>
            <w:r w:rsidRPr="00B80CC7">
              <w:rPr>
                <w:rFonts w:hint="cs"/>
                <w:b/>
                <w:bCs/>
                <w:sz w:val="26"/>
                <w:szCs w:val="26"/>
                <w:rtl/>
              </w:rPr>
              <w:t xml:space="preserve"> </w:t>
            </w:r>
            <w:r w:rsidRPr="00B80CC7">
              <w:rPr>
                <w:b/>
                <w:bCs/>
                <w:sz w:val="26"/>
                <w:szCs w:val="26"/>
                <w:rtl/>
              </w:rPr>
              <w:t>7906-06-15</w:t>
            </w:r>
            <w:r w:rsidRPr="00B80CC7">
              <w:rPr>
                <w:rFonts w:hint="cs"/>
                <w:b/>
                <w:bCs/>
                <w:sz w:val="26"/>
                <w:szCs w:val="26"/>
                <w:rtl/>
              </w:rPr>
              <w:t xml:space="preserve"> </w:t>
            </w:r>
            <w:r w:rsidRPr="00B80CC7">
              <w:rPr>
                <w:b/>
                <w:bCs/>
                <w:sz w:val="26"/>
                <w:szCs w:val="26"/>
                <w:rtl/>
              </w:rPr>
              <w:t>מדינת ישראל נ' בוזגלו(עציר)</w:t>
            </w:r>
          </w:p>
          <w:p w14:paraId="3AC1BE73" w14:textId="77777777" w:rsidR="00180836" w:rsidRPr="00B80CC7" w:rsidRDefault="00180836" w:rsidP="00B80CC7">
            <w:pPr>
              <w:rPr>
                <w:b/>
                <w:bCs/>
                <w:sz w:val="26"/>
                <w:szCs w:val="26"/>
                <w:rtl/>
              </w:rPr>
            </w:pPr>
          </w:p>
        </w:tc>
        <w:tc>
          <w:tcPr>
            <w:tcW w:w="1068" w:type="dxa"/>
          </w:tcPr>
          <w:p w14:paraId="35B417DF" w14:textId="77777777" w:rsidR="00180836" w:rsidRPr="00B80CC7" w:rsidRDefault="00180836" w:rsidP="00B80CC7">
            <w:pPr>
              <w:pStyle w:val="a4"/>
              <w:jc w:val="right"/>
              <w:rPr>
                <w:b/>
                <w:bCs/>
                <w:sz w:val="26"/>
                <w:szCs w:val="26"/>
                <w:rtl/>
              </w:rPr>
            </w:pPr>
          </w:p>
        </w:tc>
        <w:tc>
          <w:tcPr>
            <w:tcW w:w="3679" w:type="dxa"/>
          </w:tcPr>
          <w:p w14:paraId="59049489" w14:textId="77777777" w:rsidR="00180836" w:rsidRPr="00B80CC7" w:rsidRDefault="00180836" w:rsidP="00B80CC7">
            <w:pPr>
              <w:pStyle w:val="a4"/>
              <w:tabs>
                <w:tab w:val="clear" w:pos="4153"/>
              </w:tabs>
              <w:jc w:val="right"/>
              <w:rPr>
                <w:b/>
                <w:bCs/>
                <w:sz w:val="26"/>
                <w:szCs w:val="26"/>
                <w:rtl/>
              </w:rPr>
            </w:pPr>
            <w:r w:rsidRPr="00B80CC7">
              <w:rPr>
                <w:b/>
                <w:bCs/>
                <w:sz w:val="26"/>
                <w:szCs w:val="26"/>
                <w:rtl/>
              </w:rPr>
              <w:t>24 יולי 2016</w:t>
            </w:r>
          </w:p>
        </w:tc>
      </w:tr>
    </w:tbl>
    <w:p w14:paraId="1E978B8D" w14:textId="77777777" w:rsidR="00180836" w:rsidRPr="00B80CC7" w:rsidRDefault="00180836" w:rsidP="00180836">
      <w:pPr>
        <w:pStyle w:val="a4"/>
        <w:jc w:val="center"/>
        <w:rPr>
          <w:rFonts w:ascii="Tahoma" w:hAnsi="Tahoma" w:cs="Tahoma"/>
          <w:b/>
          <w:bCs/>
          <w:color w:val="000080"/>
          <w:sz w:val="20"/>
          <w:szCs w:val="20"/>
          <w:rtl/>
        </w:rPr>
      </w:pPr>
    </w:p>
    <w:p w14:paraId="36D15C3E" w14:textId="77777777" w:rsidR="00180836" w:rsidRPr="00B80CC7" w:rsidRDefault="00180836" w:rsidP="00180836">
      <w:pPr>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180836" w:rsidRPr="00B80CC7" w14:paraId="2566910D" w14:textId="77777777">
        <w:trPr>
          <w:trHeight w:val="337"/>
          <w:jc w:val="center"/>
        </w:trPr>
        <w:tc>
          <w:tcPr>
            <w:tcW w:w="5856" w:type="dxa"/>
          </w:tcPr>
          <w:p w14:paraId="18CC7CF5" w14:textId="77777777" w:rsidR="00180836" w:rsidRPr="00B80CC7" w:rsidRDefault="00180836" w:rsidP="00B80CC7">
            <w:pPr>
              <w:spacing w:line="360" w:lineRule="auto"/>
              <w:jc w:val="both"/>
              <w:rPr>
                <w:b/>
                <w:bCs/>
                <w:sz w:val="26"/>
                <w:szCs w:val="26"/>
                <w:rtl/>
              </w:rPr>
            </w:pPr>
            <w:r w:rsidRPr="00B80CC7">
              <w:rPr>
                <w:b/>
                <w:bCs/>
                <w:sz w:val="26"/>
                <w:szCs w:val="26"/>
                <w:rtl/>
              </w:rPr>
              <w:t xml:space="preserve">  </w:t>
            </w:r>
            <w:r w:rsidRPr="00B80CC7">
              <w:rPr>
                <w:rFonts w:hint="cs"/>
                <w:b/>
                <w:bCs/>
                <w:sz w:val="26"/>
                <w:szCs w:val="26"/>
                <w:rtl/>
              </w:rPr>
              <w:t xml:space="preserve">בפני השופטת דינה כהן </w:t>
            </w:r>
          </w:p>
        </w:tc>
        <w:tc>
          <w:tcPr>
            <w:tcW w:w="236" w:type="dxa"/>
          </w:tcPr>
          <w:p w14:paraId="77E292F3" w14:textId="77777777" w:rsidR="00180836" w:rsidRPr="00B80CC7" w:rsidRDefault="00180836" w:rsidP="00B80CC7">
            <w:pPr>
              <w:pStyle w:val="a4"/>
              <w:jc w:val="both"/>
              <w:rPr>
                <w:b/>
                <w:bCs/>
                <w:sz w:val="26"/>
                <w:szCs w:val="26"/>
                <w:rtl/>
              </w:rPr>
            </w:pPr>
          </w:p>
        </w:tc>
        <w:tc>
          <w:tcPr>
            <w:tcW w:w="2628" w:type="dxa"/>
          </w:tcPr>
          <w:p w14:paraId="4A2C6D36" w14:textId="77777777" w:rsidR="00180836" w:rsidRPr="00B80CC7" w:rsidRDefault="00180836" w:rsidP="00B80CC7">
            <w:pPr>
              <w:pStyle w:val="a4"/>
              <w:jc w:val="both"/>
              <w:rPr>
                <w:b/>
                <w:bCs/>
                <w:sz w:val="26"/>
                <w:szCs w:val="26"/>
                <w:rtl/>
              </w:rPr>
            </w:pPr>
            <w:r w:rsidRPr="00B80CC7">
              <w:rPr>
                <w:rFonts w:hint="cs"/>
                <w:rtl/>
              </w:rPr>
              <w:t>7929-06-15</w:t>
            </w:r>
          </w:p>
        </w:tc>
      </w:tr>
    </w:tbl>
    <w:p w14:paraId="6AD770CB" w14:textId="77777777" w:rsidR="00180836" w:rsidRPr="00B80CC7" w:rsidRDefault="00180836" w:rsidP="00180836">
      <w:pPr>
        <w:spacing w:line="360" w:lineRule="auto"/>
        <w:jc w:val="both"/>
        <w:rPr>
          <w:rFonts w:ascii="Arial" w:hAnsi="Arial"/>
          <w:rtl/>
        </w:rPr>
      </w:pPr>
    </w:p>
    <w:p w14:paraId="660F0A1D" w14:textId="77777777" w:rsidR="00180836" w:rsidRPr="00B80CC7" w:rsidRDefault="00180836" w:rsidP="00180836">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180836" w:rsidRPr="00B80CC7" w14:paraId="6CEB78FA" w14:textId="77777777">
        <w:tc>
          <w:tcPr>
            <w:tcW w:w="3240" w:type="dxa"/>
            <w:shd w:val="clear" w:color="auto" w:fill="auto"/>
          </w:tcPr>
          <w:p w14:paraId="6A03E9CD" w14:textId="77777777" w:rsidR="00180836" w:rsidRPr="00B80CC7" w:rsidRDefault="00180836" w:rsidP="00B80CC7">
            <w:pPr>
              <w:ind w:left="26"/>
              <w:rPr>
                <w:rFonts w:ascii="Times New Roman" w:eastAsia="Times New Roman" w:hAnsi="Times New Roman"/>
                <w:b/>
                <w:bCs/>
                <w:sz w:val="26"/>
                <w:szCs w:val="26"/>
                <w:rtl/>
              </w:rPr>
            </w:pPr>
            <w:bookmarkStart w:id="1" w:name="FirstAppellant"/>
            <w:r w:rsidRPr="00B80CC7">
              <w:rPr>
                <w:rFonts w:ascii="Times New Roman" w:eastAsia="Times New Roman" w:hAnsi="Times New Roman" w:hint="cs"/>
                <w:b/>
                <w:bCs/>
                <w:sz w:val="26"/>
                <w:szCs w:val="26"/>
                <w:rtl/>
              </w:rPr>
              <w:t>המאשימה</w:t>
            </w:r>
          </w:p>
        </w:tc>
        <w:tc>
          <w:tcPr>
            <w:tcW w:w="5562" w:type="dxa"/>
            <w:shd w:val="clear" w:color="auto" w:fill="auto"/>
          </w:tcPr>
          <w:p w14:paraId="332D5390" w14:textId="77777777" w:rsidR="00180836" w:rsidRPr="00B80CC7" w:rsidRDefault="00180836" w:rsidP="00B80CC7">
            <w:pPr>
              <w:rPr>
                <w:rFonts w:ascii="Times New Roman" w:eastAsia="Times New Roman" w:hAnsi="Times New Roman"/>
                <w:b/>
                <w:bCs/>
                <w:sz w:val="26"/>
                <w:szCs w:val="26"/>
                <w:rtl/>
              </w:rPr>
            </w:pPr>
            <w:r w:rsidRPr="00B80CC7">
              <w:rPr>
                <w:rFonts w:ascii="Times New Roman" w:eastAsia="Times New Roman" w:hAnsi="Times New Roman" w:hint="cs"/>
                <w:b/>
                <w:bCs/>
                <w:sz w:val="26"/>
                <w:szCs w:val="26"/>
                <w:rtl/>
              </w:rPr>
              <w:t xml:space="preserve"> </w:t>
            </w:r>
            <w:r w:rsidRPr="00B80CC7">
              <w:rPr>
                <w:rFonts w:ascii="Times New Roman" w:eastAsia="Times New Roman" w:hAnsi="Times New Roman" w:hint="cs"/>
                <w:rtl/>
              </w:rPr>
              <w:t>מדינת ישראל</w:t>
            </w:r>
          </w:p>
        </w:tc>
      </w:tr>
      <w:bookmarkEnd w:id="1"/>
      <w:tr w:rsidR="00180836" w:rsidRPr="00B80CC7" w14:paraId="565C4593" w14:textId="77777777">
        <w:tc>
          <w:tcPr>
            <w:tcW w:w="8802" w:type="dxa"/>
            <w:gridSpan w:val="2"/>
            <w:shd w:val="clear" w:color="auto" w:fill="auto"/>
          </w:tcPr>
          <w:p w14:paraId="208CFB78" w14:textId="77777777" w:rsidR="00180836" w:rsidRPr="00B80CC7" w:rsidRDefault="00180836" w:rsidP="00B80CC7">
            <w:pPr>
              <w:jc w:val="both"/>
              <w:rPr>
                <w:rFonts w:ascii="Arial" w:eastAsia="Times New Roman" w:hAnsi="Arial"/>
                <w:b/>
                <w:bCs/>
                <w:sz w:val="26"/>
                <w:szCs w:val="26"/>
                <w:rtl/>
              </w:rPr>
            </w:pPr>
          </w:p>
          <w:p w14:paraId="5B97ECC1" w14:textId="77777777" w:rsidR="00180836" w:rsidRPr="00B80CC7" w:rsidRDefault="00180836" w:rsidP="00B80CC7">
            <w:pPr>
              <w:jc w:val="center"/>
              <w:rPr>
                <w:rFonts w:ascii="Arial" w:eastAsia="Times New Roman" w:hAnsi="Arial"/>
                <w:b/>
                <w:bCs/>
                <w:sz w:val="26"/>
                <w:szCs w:val="26"/>
                <w:rtl/>
              </w:rPr>
            </w:pPr>
            <w:r w:rsidRPr="00B80CC7">
              <w:rPr>
                <w:rFonts w:ascii="Arial" w:eastAsia="Times New Roman" w:hAnsi="Arial"/>
                <w:b/>
                <w:bCs/>
                <w:sz w:val="26"/>
                <w:szCs w:val="26"/>
                <w:rtl/>
              </w:rPr>
              <w:t>נגד</w:t>
            </w:r>
          </w:p>
          <w:p w14:paraId="6E6290DC" w14:textId="77777777" w:rsidR="00180836" w:rsidRPr="00B80CC7" w:rsidRDefault="00180836" w:rsidP="00B80CC7">
            <w:pPr>
              <w:jc w:val="center"/>
              <w:rPr>
                <w:rFonts w:ascii="Arial" w:eastAsia="Times New Roman" w:hAnsi="Arial"/>
                <w:b/>
                <w:bCs/>
                <w:sz w:val="26"/>
                <w:szCs w:val="26"/>
              </w:rPr>
            </w:pPr>
          </w:p>
        </w:tc>
      </w:tr>
      <w:tr w:rsidR="00180836" w:rsidRPr="00B80CC7" w14:paraId="0ED7673A" w14:textId="77777777">
        <w:tc>
          <w:tcPr>
            <w:tcW w:w="3240" w:type="dxa"/>
            <w:shd w:val="clear" w:color="auto" w:fill="auto"/>
          </w:tcPr>
          <w:p w14:paraId="2CE609C5" w14:textId="77777777" w:rsidR="00180836" w:rsidRPr="00B80CC7" w:rsidRDefault="00180836" w:rsidP="00B80CC7">
            <w:pPr>
              <w:ind w:left="26"/>
              <w:rPr>
                <w:rFonts w:ascii="Times New Roman" w:eastAsia="Times New Roman" w:hAnsi="Times New Roman"/>
                <w:b/>
                <w:bCs/>
                <w:sz w:val="26"/>
                <w:szCs w:val="26"/>
                <w:rtl/>
              </w:rPr>
            </w:pPr>
            <w:r w:rsidRPr="00B80CC7">
              <w:rPr>
                <w:rFonts w:ascii="Times New Roman" w:eastAsia="Times New Roman" w:hAnsi="Times New Roman" w:hint="cs"/>
                <w:b/>
                <w:bCs/>
                <w:sz w:val="26"/>
                <w:szCs w:val="26"/>
                <w:rtl/>
              </w:rPr>
              <w:t>הנאשם</w:t>
            </w:r>
          </w:p>
        </w:tc>
        <w:tc>
          <w:tcPr>
            <w:tcW w:w="5562" w:type="dxa"/>
            <w:shd w:val="clear" w:color="auto" w:fill="auto"/>
          </w:tcPr>
          <w:p w14:paraId="10119D97" w14:textId="77777777" w:rsidR="00180836" w:rsidRPr="00B80CC7" w:rsidRDefault="00180836" w:rsidP="00B80CC7">
            <w:pPr>
              <w:rPr>
                <w:rFonts w:ascii="Times New Roman" w:eastAsia="Times New Roman" w:hAnsi="Times New Roman"/>
                <w:b/>
                <w:bCs/>
                <w:sz w:val="26"/>
                <w:szCs w:val="26"/>
                <w:rtl/>
              </w:rPr>
            </w:pPr>
            <w:r w:rsidRPr="00B80CC7">
              <w:rPr>
                <w:rFonts w:ascii="Times New Roman" w:eastAsia="Times New Roman" w:hAnsi="Times New Roman" w:hint="cs"/>
                <w:b/>
                <w:bCs/>
                <w:sz w:val="26"/>
                <w:szCs w:val="26"/>
                <w:rtl/>
              </w:rPr>
              <w:t xml:space="preserve"> </w:t>
            </w:r>
            <w:r w:rsidRPr="00B80CC7">
              <w:rPr>
                <w:rFonts w:ascii="Times New Roman" w:eastAsia="Times New Roman" w:hAnsi="Times New Roman" w:hint="cs"/>
                <w:rtl/>
              </w:rPr>
              <w:t>מימון בוזגלו (עציר)</w:t>
            </w:r>
          </w:p>
        </w:tc>
      </w:tr>
      <w:tr w:rsidR="00180836" w:rsidRPr="00B80CC7" w14:paraId="1CC6A0AC" w14:textId="77777777">
        <w:trPr>
          <w:trHeight w:val="692"/>
        </w:trPr>
        <w:tc>
          <w:tcPr>
            <w:tcW w:w="8802" w:type="dxa"/>
            <w:gridSpan w:val="2"/>
            <w:shd w:val="clear" w:color="auto" w:fill="auto"/>
          </w:tcPr>
          <w:p w14:paraId="789FC67A" w14:textId="77777777" w:rsidR="00180836" w:rsidRPr="00B80CC7" w:rsidRDefault="00180836" w:rsidP="00B80CC7">
            <w:pPr>
              <w:jc w:val="center"/>
              <w:rPr>
                <w:rFonts w:ascii="Arial" w:hAnsi="Arial"/>
                <w:b/>
                <w:bCs/>
                <w:sz w:val="26"/>
                <w:szCs w:val="26"/>
                <w:rtl/>
              </w:rPr>
            </w:pPr>
          </w:p>
          <w:p w14:paraId="248E2F2F" w14:textId="77777777" w:rsidR="00180836" w:rsidRPr="00B80CC7" w:rsidRDefault="00180836" w:rsidP="00B80CC7">
            <w:pPr>
              <w:jc w:val="center"/>
              <w:rPr>
                <w:rFonts w:ascii="Arial" w:eastAsia="Times New Roman" w:hAnsi="Arial" w:cs="Times New Roman"/>
                <w:b/>
                <w:bCs/>
                <w:sz w:val="26"/>
                <w:szCs w:val="26"/>
                <w:rtl/>
              </w:rPr>
            </w:pPr>
          </w:p>
          <w:p w14:paraId="7DB4D119" w14:textId="77777777" w:rsidR="00180836" w:rsidRPr="00B80CC7" w:rsidRDefault="00180836" w:rsidP="00B80CC7">
            <w:pPr>
              <w:jc w:val="center"/>
              <w:rPr>
                <w:rFonts w:ascii="Arial" w:hAnsi="Arial"/>
                <w:b/>
                <w:bCs/>
                <w:sz w:val="26"/>
                <w:szCs w:val="26"/>
              </w:rPr>
            </w:pPr>
          </w:p>
        </w:tc>
      </w:tr>
    </w:tbl>
    <w:p w14:paraId="0B0EB23E" w14:textId="77777777" w:rsidR="00180836" w:rsidRPr="00B80CC7" w:rsidRDefault="00180836" w:rsidP="00180836">
      <w:pPr>
        <w:spacing w:line="360" w:lineRule="auto"/>
        <w:jc w:val="both"/>
        <w:rPr>
          <w:sz w:val="6"/>
          <w:szCs w:val="6"/>
          <w:rtl/>
        </w:rPr>
      </w:pPr>
      <w:r w:rsidRPr="00B80CC7">
        <w:rPr>
          <w:sz w:val="6"/>
          <w:szCs w:val="6"/>
          <w:rtl/>
        </w:rPr>
        <w:t>&lt;#1#&gt;</w:t>
      </w:r>
    </w:p>
    <w:p w14:paraId="4DD89A23" w14:textId="77777777" w:rsidR="00180836" w:rsidRPr="00B80CC7" w:rsidRDefault="00180836" w:rsidP="00180836">
      <w:pPr>
        <w:pStyle w:val="12"/>
        <w:rPr>
          <w:b w:val="0"/>
          <w:bCs w:val="0"/>
          <w:u w:val="none"/>
          <w:rtl/>
        </w:rPr>
      </w:pPr>
    </w:p>
    <w:p w14:paraId="099E119A" w14:textId="77777777" w:rsidR="00180836" w:rsidRPr="00B80CC7" w:rsidRDefault="00180836" w:rsidP="00180836">
      <w:pPr>
        <w:pStyle w:val="12"/>
        <w:rPr>
          <w:u w:val="none"/>
          <w:rtl/>
        </w:rPr>
      </w:pPr>
      <w:r w:rsidRPr="00B80CC7">
        <w:rPr>
          <w:rFonts w:hint="cs"/>
          <w:u w:val="none"/>
          <w:rtl/>
        </w:rPr>
        <w:t>נוכחים:</w:t>
      </w:r>
    </w:p>
    <w:p w14:paraId="1015EF1B" w14:textId="77777777" w:rsidR="00180836" w:rsidRPr="00B80CC7" w:rsidRDefault="00180836" w:rsidP="00180836">
      <w:pPr>
        <w:pStyle w:val="12"/>
        <w:rPr>
          <w:b w:val="0"/>
          <w:bCs w:val="0"/>
          <w:u w:val="none"/>
          <w:rtl/>
        </w:rPr>
      </w:pPr>
      <w:bookmarkStart w:id="2" w:name="FirstLawyer"/>
      <w:r w:rsidRPr="00B80CC7">
        <w:rPr>
          <w:rFonts w:hint="cs"/>
          <w:b w:val="0"/>
          <w:bCs w:val="0"/>
          <w:u w:val="none"/>
          <w:rtl/>
        </w:rPr>
        <w:t>ב"כ</w:t>
      </w:r>
      <w:bookmarkEnd w:id="2"/>
      <w:r w:rsidRPr="00B80CC7">
        <w:rPr>
          <w:rFonts w:hint="cs"/>
          <w:b w:val="0"/>
          <w:bCs w:val="0"/>
          <w:u w:val="none"/>
          <w:rtl/>
        </w:rPr>
        <w:t xml:space="preserve"> המאשימה המתמחה טל הרוש </w:t>
      </w:r>
    </w:p>
    <w:p w14:paraId="34828E17" w14:textId="77777777" w:rsidR="00180836" w:rsidRPr="00B80CC7" w:rsidRDefault="00180836" w:rsidP="00180836">
      <w:pPr>
        <w:pStyle w:val="12"/>
        <w:rPr>
          <w:b w:val="0"/>
          <w:bCs w:val="0"/>
          <w:u w:val="none"/>
          <w:rtl/>
        </w:rPr>
      </w:pPr>
      <w:r w:rsidRPr="00B80CC7">
        <w:rPr>
          <w:rFonts w:hint="cs"/>
          <w:b w:val="0"/>
          <w:bCs w:val="0"/>
          <w:u w:val="none"/>
          <w:rtl/>
        </w:rPr>
        <w:t>הנאשם  מובא ממעצר וב"כ עו"ד אוחנה</w:t>
      </w:r>
    </w:p>
    <w:p w14:paraId="0F91D370" w14:textId="77777777" w:rsidR="00180836" w:rsidRPr="00B80CC7" w:rsidRDefault="00180836" w:rsidP="00180836">
      <w:pPr>
        <w:pStyle w:val="12"/>
        <w:rPr>
          <w:b w:val="0"/>
          <w:bCs w:val="0"/>
          <w:u w:val="none"/>
          <w:rtl/>
        </w:rPr>
      </w:pPr>
    </w:p>
    <w:p w14:paraId="68692350" w14:textId="77777777" w:rsidR="00180836" w:rsidRPr="00B80CC7" w:rsidRDefault="00180836" w:rsidP="00180836">
      <w:pPr>
        <w:pStyle w:val="12"/>
        <w:rPr>
          <w:b w:val="0"/>
          <w:bCs w:val="0"/>
          <w:u w:val="none"/>
          <w:rtl/>
        </w:rPr>
      </w:pPr>
    </w:p>
    <w:p w14:paraId="247C93AC" w14:textId="77777777" w:rsidR="008255EE" w:rsidRDefault="00180836" w:rsidP="008255EE">
      <w:pPr>
        <w:pStyle w:val="ListParagraph"/>
        <w:spacing w:line="360" w:lineRule="auto"/>
        <w:ind w:left="360"/>
        <w:jc w:val="center"/>
        <w:rPr>
          <w:rFonts w:ascii="Arial" w:eastAsia="David" w:hAnsi="Arial"/>
          <w:color w:val="FF0000"/>
          <w:sz w:val="28"/>
          <w:rtl/>
        </w:rPr>
      </w:pPr>
      <w:r w:rsidRPr="00B80CC7">
        <w:rPr>
          <w:rFonts w:ascii="Arial" w:eastAsia="David" w:hAnsi="Arial"/>
          <w:b/>
          <w:color w:val="FF0000"/>
          <w:sz w:val="28"/>
          <w:rtl/>
        </w:rPr>
        <w:t>במסמך זה הושמטו פרוטוקולי</w:t>
      </w:r>
      <w:bookmarkStart w:id="3" w:name="LawTable"/>
      <w:bookmarkEnd w:id="3"/>
      <w:r w:rsidR="008255EE">
        <w:rPr>
          <w:rFonts w:ascii="Arial" w:eastAsia="David" w:hAnsi="Arial" w:hint="cs"/>
          <w:color w:val="FF0000"/>
          <w:sz w:val="28"/>
          <w:rtl/>
        </w:rPr>
        <w:t>ם</w:t>
      </w:r>
    </w:p>
    <w:p w14:paraId="5A39FEA1" w14:textId="77777777" w:rsidR="008255EE" w:rsidRPr="008255EE" w:rsidRDefault="008255EE" w:rsidP="008255EE">
      <w:pPr>
        <w:pStyle w:val="ListParagraph"/>
        <w:spacing w:after="120" w:line="240" w:lineRule="exact"/>
        <w:ind w:left="283" w:hanging="283"/>
        <w:jc w:val="both"/>
        <w:rPr>
          <w:rFonts w:ascii="FrankRuehl" w:eastAsia="David" w:hAnsi="FrankRuehl" w:cs="FrankRuehl"/>
          <w:color w:val="FF0000"/>
          <w:rtl/>
        </w:rPr>
      </w:pPr>
    </w:p>
    <w:p w14:paraId="7DEA5BD3" w14:textId="77777777" w:rsidR="008255EE" w:rsidRPr="008255EE" w:rsidRDefault="008255EE" w:rsidP="008255EE">
      <w:pPr>
        <w:pStyle w:val="ListParagraph"/>
        <w:spacing w:after="120" w:line="240" w:lineRule="exact"/>
        <w:ind w:left="283" w:hanging="283"/>
        <w:jc w:val="both"/>
        <w:rPr>
          <w:rFonts w:ascii="FrankRuehl" w:eastAsia="David" w:hAnsi="FrankRuehl" w:cs="FrankRuehl"/>
          <w:color w:val="FF0000"/>
          <w:rtl/>
        </w:rPr>
      </w:pPr>
      <w:r w:rsidRPr="008255EE">
        <w:rPr>
          <w:rFonts w:ascii="FrankRuehl" w:eastAsia="David" w:hAnsi="FrankRuehl" w:cs="FrankRuehl"/>
          <w:color w:val="FF0000"/>
          <w:rtl/>
        </w:rPr>
        <w:t xml:space="preserve">חקיקה שאוזכרה: </w:t>
      </w:r>
    </w:p>
    <w:p w14:paraId="22D198BA" w14:textId="77777777" w:rsidR="008255EE" w:rsidRPr="008255EE" w:rsidRDefault="008255EE" w:rsidP="008255EE">
      <w:pPr>
        <w:pStyle w:val="ListParagraph"/>
        <w:spacing w:after="120" w:line="240" w:lineRule="exact"/>
        <w:ind w:left="283" w:hanging="283"/>
        <w:jc w:val="both"/>
        <w:rPr>
          <w:rFonts w:ascii="FrankRuehl" w:eastAsia="David" w:hAnsi="FrankRuehl" w:cs="FrankRuehl"/>
          <w:rtl/>
        </w:rPr>
      </w:pPr>
      <w:hyperlink r:id="rId7" w:history="1">
        <w:r w:rsidRPr="008255EE">
          <w:rPr>
            <w:rFonts w:ascii="FrankRuehl" w:eastAsia="David" w:hAnsi="FrankRuehl" w:cs="FrankRuehl"/>
            <w:color w:val="0000FF"/>
            <w:u w:val="single"/>
            <w:rtl/>
          </w:rPr>
          <w:t>פקודת הסמים המסוכנים [נוסח חדש], תשל"ג-1973</w:t>
        </w:r>
      </w:hyperlink>
      <w:r w:rsidRPr="008255EE">
        <w:rPr>
          <w:rFonts w:ascii="FrankRuehl" w:eastAsia="David" w:hAnsi="FrankRuehl" w:cs="FrankRuehl"/>
          <w:rtl/>
        </w:rPr>
        <w:t xml:space="preserve">: סע'  </w:t>
      </w:r>
      <w:hyperlink r:id="rId8" w:history="1">
        <w:r w:rsidRPr="008255EE">
          <w:rPr>
            <w:rFonts w:ascii="FrankRuehl" w:eastAsia="David" w:hAnsi="FrankRuehl" w:cs="FrankRuehl"/>
            <w:color w:val="0000FF"/>
            <w:u w:val="single"/>
            <w:rtl/>
          </w:rPr>
          <w:t>7.א.</w:t>
        </w:r>
      </w:hyperlink>
      <w:r w:rsidRPr="008255EE">
        <w:rPr>
          <w:rFonts w:ascii="FrankRuehl" w:eastAsia="David" w:hAnsi="FrankRuehl" w:cs="FrankRuehl"/>
          <w:rtl/>
        </w:rPr>
        <w:t xml:space="preserve">, </w:t>
      </w:r>
      <w:hyperlink r:id="rId9" w:history="1">
        <w:r w:rsidRPr="008255EE">
          <w:rPr>
            <w:rFonts w:ascii="FrankRuehl" w:eastAsia="David" w:hAnsi="FrankRuehl" w:cs="FrankRuehl"/>
            <w:color w:val="0000FF"/>
            <w:u w:val="single"/>
            <w:rtl/>
          </w:rPr>
          <w:t>7.ג</w:t>
        </w:r>
      </w:hyperlink>
      <w:r w:rsidRPr="008255EE">
        <w:rPr>
          <w:rFonts w:ascii="FrankRuehl" w:eastAsia="David" w:hAnsi="FrankRuehl" w:cs="FrankRuehl"/>
          <w:rtl/>
        </w:rPr>
        <w:t xml:space="preserve">, </w:t>
      </w:r>
      <w:hyperlink r:id="rId10" w:history="1">
        <w:r w:rsidRPr="008255EE">
          <w:rPr>
            <w:rFonts w:ascii="FrankRuehl" w:eastAsia="David" w:hAnsi="FrankRuehl" w:cs="FrankRuehl"/>
            <w:color w:val="0000FF"/>
            <w:u w:val="single"/>
            <w:rtl/>
          </w:rPr>
          <w:t>13</w:t>
        </w:r>
      </w:hyperlink>
    </w:p>
    <w:p w14:paraId="5DDCE0C6" w14:textId="77777777" w:rsidR="008255EE" w:rsidRPr="008255EE" w:rsidRDefault="008255EE" w:rsidP="008255EE">
      <w:pPr>
        <w:pStyle w:val="ListParagraph"/>
        <w:spacing w:after="120" w:line="240" w:lineRule="exact"/>
        <w:ind w:left="283" w:hanging="283"/>
        <w:jc w:val="both"/>
        <w:rPr>
          <w:rFonts w:ascii="FrankRuehl" w:eastAsia="David" w:hAnsi="FrankRuehl" w:cs="FrankRuehl"/>
          <w:rtl/>
        </w:rPr>
      </w:pPr>
    </w:p>
    <w:p w14:paraId="7DA7F786" w14:textId="77777777" w:rsidR="00DE439B" w:rsidRPr="00DE439B" w:rsidRDefault="00DE439B" w:rsidP="008255EE">
      <w:pPr>
        <w:pStyle w:val="ListParagraph"/>
        <w:spacing w:line="360" w:lineRule="auto"/>
        <w:ind w:left="360"/>
        <w:jc w:val="center"/>
        <w:rPr>
          <w:rFonts w:ascii="FrankRuehl" w:eastAsia="David" w:hAnsi="FrankRuehl" w:cs="FrankRuehl"/>
          <w:rtl/>
        </w:rPr>
      </w:pPr>
      <w:bookmarkStart w:id="4" w:name="LawTable_End"/>
      <w:bookmarkEnd w:id="4"/>
    </w:p>
    <w:p w14:paraId="2FCFC997" w14:textId="77777777" w:rsidR="00180836" w:rsidRPr="00DE439B" w:rsidRDefault="00180836" w:rsidP="00DE439B">
      <w:pPr>
        <w:pStyle w:val="ListParagraph"/>
        <w:spacing w:line="360" w:lineRule="auto"/>
        <w:ind w:left="360"/>
        <w:jc w:val="center"/>
        <w:rPr>
          <w:rFonts w:ascii="Arial" w:eastAsia="David" w:hAnsi="Arial"/>
          <w:b/>
          <w:bCs/>
          <w:sz w:val="28"/>
          <w:szCs w:val="28"/>
          <w:rtl/>
        </w:rPr>
      </w:pPr>
    </w:p>
    <w:p w14:paraId="51756DB6" w14:textId="77777777" w:rsidR="00B80CC7" w:rsidRPr="00B80CC7" w:rsidRDefault="00B80CC7" w:rsidP="00DE439B">
      <w:pPr>
        <w:pStyle w:val="ListParagraph"/>
        <w:spacing w:line="360" w:lineRule="auto"/>
        <w:ind w:left="360"/>
        <w:jc w:val="center"/>
        <w:rPr>
          <w:rFonts w:ascii="Arial" w:eastAsia="David" w:hAnsi="Arial"/>
          <w:b/>
          <w:bCs/>
          <w:sz w:val="28"/>
          <w:szCs w:val="28"/>
          <w:u w:val="single"/>
          <w:rtl/>
        </w:rPr>
      </w:pPr>
      <w:bookmarkStart w:id="5" w:name="PsakDin"/>
      <w:bookmarkEnd w:id="0"/>
      <w:r w:rsidRPr="00B80CC7">
        <w:rPr>
          <w:rFonts w:ascii="Arial" w:eastAsia="David" w:hAnsi="Arial"/>
          <w:b/>
          <w:bCs/>
          <w:sz w:val="28"/>
          <w:szCs w:val="28"/>
          <w:u w:val="single"/>
          <w:rtl/>
        </w:rPr>
        <w:t>גזר דין</w:t>
      </w:r>
    </w:p>
    <w:p w14:paraId="20FEC060" w14:textId="77777777" w:rsidR="00180836" w:rsidRDefault="00180836" w:rsidP="00180836">
      <w:pPr>
        <w:pStyle w:val="ListParagraph"/>
        <w:numPr>
          <w:ilvl w:val="0"/>
          <w:numId w:val="1"/>
        </w:numPr>
        <w:spacing w:line="360" w:lineRule="auto"/>
        <w:jc w:val="both"/>
        <w:rPr>
          <w:rtl/>
        </w:rPr>
      </w:pPr>
      <w:bookmarkStart w:id="6" w:name="ABSTRACT_START"/>
      <w:bookmarkEnd w:id="5"/>
      <w:bookmarkEnd w:id="6"/>
      <w:r>
        <w:rPr>
          <w:rFonts w:hint="cs"/>
          <w:rtl/>
        </w:rPr>
        <w:t xml:space="preserve">הנאשם, יליד 1959, הורשע בתאריך 19/7/16, על יסוד הודאתו בעבירות נשוא כתב אישום אחד שכלל שני אישומים כדלקמן: </w:t>
      </w:r>
      <w:r>
        <w:rPr>
          <w:rFonts w:hint="cs"/>
          <w:b/>
          <w:bCs/>
          <w:rtl/>
        </w:rPr>
        <w:t>שתי עבירות של סחר בסם מסוכן,</w:t>
      </w:r>
      <w:r>
        <w:rPr>
          <w:rFonts w:hint="cs"/>
          <w:rtl/>
        </w:rPr>
        <w:t xml:space="preserve"> לפי </w:t>
      </w:r>
      <w:hyperlink r:id="rId11" w:history="1">
        <w:r w:rsidR="00DE439B" w:rsidRPr="00DE439B">
          <w:rPr>
            <w:color w:val="0000FF"/>
            <w:u w:val="single"/>
            <w:rtl/>
          </w:rPr>
          <w:t>סעיף 13</w:t>
        </w:r>
      </w:hyperlink>
      <w:r>
        <w:rPr>
          <w:rFonts w:hint="cs"/>
          <w:rtl/>
        </w:rPr>
        <w:t xml:space="preserve"> ל</w:t>
      </w:r>
      <w:hyperlink r:id="rId12" w:history="1">
        <w:r w:rsidR="00B80CC7" w:rsidRPr="00B80CC7">
          <w:rPr>
            <w:color w:val="0000FF"/>
            <w:u w:val="single"/>
            <w:rtl/>
          </w:rPr>
          <w:t>פקודת הסמים המסוכנים</w:t>
        </w:r>
      </w:hyperlink>
      <w:r>
        <w:rPr>
          <w:rFonts w:hint="cs"/>
          <w:rtl/>
        </w:rPr>
        <w:t xml:space="preserve"> [נוסח חדש], התשל"ג – 1973 (להלן: "פקודת הסמים המסוכנים") ובעבירה של </w:t>
      </w:r>
      <w:r>
        <w:rPr>
          <w:rFonts w:hint="cs"/>
          <w:b/>
          <w:bCs/>
          <w:rtl/>
        </w:rPr>
        <w:t>החזקת סם מסוכן</w:t>
      </w:r>
      <w:r>
        <w:rPr>
          <w:rFonts w:hint="cs"/>
          <w:rtl/>
        </w:rPr>
        <w:t xml:space="preserve"> </w:t>
      </w:r>
      <w:r>
        <w:rPr>
          <w:rFonts w:hint="cs"/>
          <w:b/>
          <w:bCs/>
          <w:rtl/>
        </w:rPr>
        <w:t>שלא לצריכה עצמית</w:t>
      </w:r>
      <w:r>
        <w:rPr>
          <w:rFonts w:hint="cs"/>
          <w:rtl/>
        </w:rPr>
        <w:t xml:space="preserve">, לפי </w:t>
      </w:r>
      <w:hyperlink r:id="rId13" w:history="1">
        <w:r w:rsidR="00DE439B" w:rsidRPr="00DE439B">
          <w:rPr>
            <w:color w:val="0000FF"/>
            <w:u w:val="single"/>
            <w:rtl/>
          </w:rPr>
          <w:t>סעיפים 7(א)+(ג)</w:t>
        </w:r>
      </w:hyperlink>
      <w:r>
        <w:rPr>
          <w:rFonts w:hint="cs"/>
          <w:rtl/>
        </w:rPr>
        <w:t xml:space="preserve"> רישא לפקודת הסמים המסוכנים, זאת, לאחר שכתב האישום נגדו תוקן במסגרת הסדר.</w:t>
      </w:r>
    </w:p>
    <w:p w14:paraId="6826F3DF" w14:textId="77777777" w:rsidR="00180836" w:rsidRDefault="00180836" w:rsidP="00180836">
      <w:pPr>
        <w:spacing w:line="360" w:lineRule="auto"/>
        <w:ind w:left="720"/>
        <w:jc w:val="both"/>
      </w:pPr>
      <w:bookmarkStart w:id="7" w:name="ABSTRACT_END"/>
      <w:bookmarkEnd w:id="7"/>
    </w:p>
    <w:p w14:paraId="3966996A" w14:textId="77777777" w:rsidR="00180836" w:rsidRDefault="00180836" w:rsidP="00180836">
      <w:pPr>
        <w:pStyle w:val="ListParagraph"/>
        <w:spacing w:line="360" w:lineRule="auto"/>
        <w:jc w:val="both"/>
        <w:rPr>
          <w:rtl/>
        </w:rPr>
      </w:pPr>
      <w:r>
        <w:rPr>
          <w:rFonts w:hint="cs"/>
          <w:rtl/>
        </w:rPr>
        <w:t>על פי ההסדר, טיעוני הצדדים ישמעו באופן פתוח לאחר שיוגש תסקיר לעונש ע"י שרות המבחן.</w:t>
      </w:r>
    </w:p>
    <w:p w14:paraId="30184476" w14:textId="77777777" w:rsidR="00180836" w:rsidRDefault="00180836" w:rsidP="00180836">
      <w:pPr>
        <w:pStyle w:val="ListParagraph"/>
        <w:spacing w:line="360" w:lineRule="auto"/>
        <w:jc w:val="both"/>
        <w:rPr>
          <w:rtl/>
        </w:rPr>
      </w:pPr>
    </w:p>
    <w:p w14:paraId="2E072B40" w14:textId="77777777" w:rsidR="00180836" w:rsidRDefault="00180836" w:rsidP="00180836">
      <w:pPr>
        <w:spacing w:line="360" w:lineRule="auto"/>
        <w:ind w:left="720"/>
        <w:jc w:val="both"/>
        <w:rPr>
          <w:rFonts w:ascii="Calibri" w:hAnsi="Calibri"/>
        </w:rPr>
      </w:pPr>
      <w:r>
        <w:rPr>
          <w:rFonts w:hint="cs"/>
          <w:rtl/>
        </w:rPr>
        <w:t>הנאשם הורשע כאמור לאחר ש</w:t>
      </w:r>
      <w:r>
        <w:rPr>
          <w:rFonts w:ascii="Calibri" w:hAnsi="Calibri" w:hint="cs"/>
          <w:rtl/>
        </w:rPr>
        <w:t xml:space="preserve">ביום 16/5/2015 סמוך לשעה 21:30 התקשר סוכן משטרתי סמוי (להלן: "הסוכן") אל הנאשם וביקש לרכוש מהנאשם "50 גרם נייס". הנאשם מסר לסוכן שעליו להגיע לקריית-גת, שם ימכור לו 60 גרם ב-500 ₪ ובפגישה שנערכה בהמשך </w:t>
      </w:r>
      <w:r>
        <w:rPr>
          <w:rFonts w:ascii="Calibri" w:hAnsi="Calibri" w:hint="cs"/>
          <w:rtl/>
        </w:rPr>
        <w:lastRenderedPageBreak/>
        <w:t>לכך בין הסוכן לבין הנאשם, סמוך לשעה 22:20 בקרית גת, מסר הנאשם לסוכן שקית שהכילה 68.55 גרם נטו סם מסוכן מסוג "</w:t>
      </w:r>
      <w:r>
        <w:rPr>
          <w:rFonts w:ascii="Calibri" w:hAnsi="Calibri"/>
        </w:rPr>
        <w:t>AMB-5F</w:t>
      </w:r>
      <w:r>
        <w:rPr>
          <w:rFonts w:ascii="Calibri" w:hAnsi="Calibri" w:hint="cs"/>
          <w:rtl/>
        </w:rPr>
        <w:t>" בתמורה לסך של 500 ₪ במזומן מהסוכן (אישום ראשון).</w:t>
      </w:r>
    </w:p>
    <w:p w14:paraId="6412FB8F" w14:textId="77777777" w:rsidR="00180836" w:rsidRDefault="00180836" w:rsidP="00180836">
      <w:pPr>
        <w:spacing w:after="200" w:line="360" w:lineRule="auto"/>
        <w:jc w:val="both"/>
        <w:rPr>
          <w:rFonts w:ascii="Calibri" w:hAnsi="Calibri"/>
          <w:rtl/>
        </w:rPr>
      </w:pPr>
    </w:p>
    <w:p w14:paraId="47497776" w14:textId="77777777" w:rsidR="00180836" w:rsidRDefault="00180836" w:rsidP="00180836">
      <w:pPr>
        <w:spacing w:after="200" w:line="360" w:lineRule="auto"/>
        <w:ind w:left="720"/>
        <w:jc w:val="both"/>
        <w:rPr>
          <w:rFonts w:ascii="Calibri" w:hAnsi="Calibri"/>
          <w:rtl/>
        </w:rPr>
      </w:pPr>
      <w:r>
        <w:rPr>
          <w:rFonts w:ascii="Calibri" w:hAnsi="Calibri" w:hint="cs"/>
          <w:rtl/>
        </w:rPr>
        <w:t xml:space="preserve">על פי האישום השני, ביום 21/5/2015 סמוך לשעה 17:30 התקשר הסוכן אל הנאשם וביקש ממנו לרכוש "סמים של מסיבות". הנאשם מסר לסוכן שהוא יכול "לארגן לו את זה", ובהמשך לכך, סמוך לשעה 22:00, נפגשו הנאשם והסוכן בקריית-גת והנאשם מסר לסוכן </w:t>
      </w:r>
      <w:r>
        <w:rPr>
          <w:rFonts w:ascii="Calibri" w:hAnsi="Calibri" w:hint="cs"/>
          <w:b/>
          <w:bCs/>
          <w:rtl/>
        </w:rPr>
        <w:t>שלושה ריבועי נייר</w:t>
      </w:r>
      <w:r>
        <w:rPr>
          <w:rFonts w:ascii="Calibri" w:hAnsi="Calibri" w:hint="cs"/>
          <w:rtl/>
        </w:rPr>
        <w:t xml:space="preserve"> ספוגים בסם מסוכן מסוג</w:t>
      </w:r>
      <w:r>
        <w:rPr>
          <w:rFonts w:ascii="Calibri" w:hAnsi="Calibri" w:hint="cs"/>
          <w:b/>
          <w:bCs/>
          <w:rtl/>
        </w:rPr>
        <w:t xml:space="preserve"> </w:t>
      </w:r>
      <w:r>
        <w:rPr>
          <w:rFonts w:ascii="Calibri" w:hAnsi="Calibri"/>
          <w:b/>
          <w:bCs/>
        </w:rPr>
        <w:t>LSD</w:t>
      </w:r>
      <w:r>
        <w:rPr>
          <w:rFonts w:ascii="Calibri" w:hAnsi="Calibri" w:hint="cs"/>
          <w:rtl/>
        </w:rPr>
        <w:t xml:space="preserve"> </w:t>
      </w:r>
      <w:r>
        <w:rPr>
          <w:rFonts w:ascii="Calibri" w:hAnsi="Calibri"/>
        </w:rPr>
        <w:t xml:space="preserve"> </w:t>
      </w:r>
      <w:r>
        <w:rPr>
          <w:rFonts w:ascii="Calibri" w:hAnsi="Calibri" w:hint="cs"/>
          <w:rtl/>
        </w:rPr>
        <w:t xml:space="preserve">והסוכן מסר לנאשם בתמורה סך של 300 ₪ במזומן. </w:t>
      </w:r>
    </w:p>
    <w:p w14:paraId="6878D3E3" w14:textId="77777777" w:rsidR="00180836" w:rsidRDefault="00180836" w:rsidP="00180836">
      <w:pPr>
        <w:spacing w:after="200" w:line="360" w:lineRule="auto"/>
        <w:ind w:left="720"/>
        <w:jc w:val="both"/>
        <w:rPr>
          <w:rFonts w:ascii="Calibri" w:hAnsi="Calibri"/>
          <w:rtl/>
        </w:rPr>
      </w:pPr>
      <w:r>
        <w:rPr>
          <w:rFonts w:ascii="Calibri" w:hAnsi="Calibri" w:hint="cs"/>
          <w:rtl/>
        </w:rPr>
        <w:t xml:space="preserve">ביום 22/5/2015 סמוך לשעה 00:50, במסגרת חיפוש שנערך בבית הנאשם, נתפסו </w:t>
      </w:r>
      <w:r>
        <w:rPr>
          <w:rFonts w:ascii="Calibri" w:hAnsi="Calibri" w:hint="cs"/>
          <w:b/>
          <w:bCs/>
          <w:rtl/>
        </w:rPr>
        <w:t xml:space="preserve"> 966.56 גרם</w:t>
      </w:r>
      <w:r>
        <w:rPr>
          <w:rFonts w:ascii="Calibri" w:hAnsi="Calibri" w:hint="cs"/>
          <w:rtl/>
        </w:rPr>
        <w:t xml:space="preserve"> נטו סם מסוכן מסוג </w:t>
      </w:r>
      <w:r>
        <w:rPr>
          <w:rFonts w:ascii="Calibri" w:hAnsi="Calibri" w:hint="cs"/>
          <w:b/>
          <w:bCs/>
          <w:rtl/>
        </w:rPr>
        <w:t>"</w:t>
      </w:r>
      <w:r>
        <w:rPr>
          <w:rFonts w:ascii="Calibri" w:hAnsi="Calibri"/>
          <w:b/>
          <w:bCs/>
        </w:rPr>
        <w:t>AMB-5F</w:t>
      </w:r>
      <w:r>
        <w:rPr>
          <w:rFonts w:ascii="Calibri" w:hAnsi="Calibri" w:hint="cs"/>
          <w:b/>
          <w:bCs/>
          <w:rtl/>
        </w:rPr>
        <w:t>"</w:t>
      </w:r>
      <w:r>
        <w:rPr>
          <w:rFonts w:ascii="Calibri" w:hAnsi="Calibri" w:hint="cs"/>
          <w:rtl/>
        </w:rPr>
        <w:t xml:space="preserve"> אותם החזיק שלא לצריכתו העצמית בארון הבגדים שבחדרו, כשחלקם מחולקים לעשר אריזות קטנות. כן בדירה נתפסו משקל דיגיטלי ושקיות אריזה צבעוניות.</w:t>
      </w:r>
    </w:p>
    <w:p w14:paraId="7E65AC7D" w14:textId="77777777" w:rsidR="00180836" w:rsidRDefault="00180836" w:rsidP="00180836">
      <w:pPr>
        <w:pStyle w:val="ListParagraph"/>
        <w:numPr>
          <w:ilvl w:val="0"/>
          <w:numId w:val="1"/>
        </w:numPr>
        <w:spacing w:line="360" w:lineRule="auto"/>
        <w:jc w:val="both"/>
        <w:rPr>
          <w:rtl/>
        </w:rPr>
      </w:pPr>
      <w:r>
        <w:rPr>
          <w:rFonts w:hint="cs"/>
          <w:rtl/>
        </w:rPr>
        <w:t>לענין נתוני עברו הפלילי של הנאשם יאמר כי לחובתו 24 הרשעות קודמות מהן 20 בגין עבירות אותן ביתע הנאשם עד שנת 1985 ( העלבת עובד ציבור,שבל"ר, החזקת סמים וכלים לשמוש עצמי, פריצות לבתי עסק וגניבות ועוד). בשנת 97 הורשע בגין עבירות התחזות לאחר ונהיגה ללא רשיון, סחר בסם בשנת 2000 ( נדון למבחן ו- 380 שעות של"צ) וב2009 עבירת איומים.</w:t>
      </w:r>
    </w:p>
    <w:p w14:paraId="1D972F5F" w14:textId="77777777" w:rsidR="00180836" w:rsidRDefault="00180836" w:rsidP="00180836">
      <w:pPr>
        <w:pStyle w:val="ListParagraph"/>
        <w:spacing w:line="360" w:lineRule="auto"/>
        <w:jc w:val="both"/>
      </w:pPr>
    </w:p>
    <w:p w14:paraId="4C012202" w14:textId="77777777" w:rsidR="00180836" w:rsidRDefault="00180836" w:rsidP="00180836">
      <w:pPr>
        <w:pStyle w:val="ListParagraph"/>
        <w:spacing w:line="360" w:lineRule="auto"/>
        <w:jc w:val="both"/>
      </w:pPr>
      <w:r>
        <w:rPr>
          <w:rFonts w:hint="cs"/>
          <w:rtl/>
        </w:rPr>
        <w:t>בהמשך, הוברר כי הממונה על עבודות השרות הפקיע מאסר שהנאשם ביצע בעבודות שרות, בשל עבירת תעבורה.</w:t>
      </w:r>
    </w:p>
    <w:p w14:paraId="6282800A" w14:textId="77777777" w:rsidR="00180836" w:rsidRDefault="00180836" w:rsidP="00180836">
      <w:pPr>
        <w:pStyle w:val="ListParagraph"/>
        <w:spacing w:line="360" w:lineRule="auto"/>
        <w:jc w:val="both"/>
        <w:rPr>
          <w:rtl/>
        </w:rPr>
      </w:pPr>
    </w:p>
    <w:p w14:paraId="4376ED41" w14:textId="77777777" w:rsidR="00180836" w:rsidRDefault="00180836" w:rsidP="00180836">
      <w:pPr>
        <w:spacing w:line="360" w:lineRule="auto"/>
        <w:ind w:left="720" w:hanging="720"/>
        <w:jc w:val="both"/>
      </w:pPr>
      <w:r>
        <w:rPr>
          <w:rFonts w:hint="cs"/>
          <w:rtl/>
        </w:rPr>
        <w:t>3.</w:t>
      </w:r>
      <w:r>
        <w:rPr>
          <w:rFonts w:hint="cs"/>
          <w:rtl/>
        </w:rPr>
        <w:tab/>
        <w:t>בתסקיר שרות המבחן מיום 31/01/2016 המליץ השרות לשלב את הנאשם בהליך טיפולי במסגרת הטיפולית הקהילתית "בית אור אביבה – הרטוב". המאשימה עתרה לטעון לעונש נוכח חומרת העבירות שאינן מאפשרות הפניה להליך טיפולי , עתרה נגד ההמלצה, והצהירה כי עמדתה היא למאסר בפועל ממושך.</w:t>
      </w:r>
    </w:p>
    <w:p w14:paraId="4478A67D" w14:textId="77777777" w:rsidR="00180836" w:rsidRDefault="00180836" w:rsidP="00180836">
      <w:pPr>
        <w:pStyle w:val="ListParagraph"/>
        <w:spacing w:line="360" w:lineRule="auto"/>
        <w:jc w:val="both"/>
        <w:rPr>
          <w:rtl/>
        </w:rPr>
      </w:pPr>
    </w:p>
    <w:p w14:paraId="6397D503" w14:textId="77777777" w:rsidR="00180836" w:rsidRDefault="00180836" w:rsidP="00180836">
      <w:pPr>
        <w:pStyle w:val="ListParagraph"/>
        <w:spacing w:line="360" w:lineRule="auto"/>
        <w:jc w:val="both"/>
      </w:pPr>
      <w:r>
        <w:rPr>
          <w:rFonts w:hint="cs"/>
          <w:rtl/>
        </w:rPr>
        <w:t>מתסקיר שירות המבחן עולה כי מדובר בנאשם, אב לשישה ילדים בגילאי 11-25, אשר ריצה תקופות מאסר שונות לאורך השנים 1973- 2000 . עברו של הנאשם בתחום התעבורתי כולל שתי עבירות נהיגה ללא רישיון, בגינן נידון בבית המשפט לתעבורה באשדוד למאסר בעבודות שירות, אשר הופקעו בעקבות מעורבותו בתיק פלילי זה.</w:t>
      </w:r>
    </w:p>
    <w:p w14:paraId="52D3B87E" w14:textId="77777777" w:rsidR="00180836" w:rsidRDefault="00180836" w:rsidP="00180836">
      <w:pPr>
        <w:pStyle w:val="ListParagraph"/>
        <w:spacing w:line="360" w:lineRule="auto"/>
        <w:jc w:val="both"/>
      </w:pPr>
    </w:p>
    <w:p w14:paraId="1F59A2E6" w14:textId="77777777" w:rsidR="00180836" w:rsidRDefault="00180836" w:rsidP="00180836">
      <w:pPr>
        <w:pStyle w:val="ListParagraph"/>
        <w:spacing w:line="360" w:lineRule="auto"/>
        <w:jc w:val="both"/>
      </w:pPr>
      <w:r>
        <w:rPr>
          <w:rFonts w:hint="cs"/>
          <w:rtl/>
        </w:rPr>
        <w:t xml:space="preserve">תסקירי שרות המבחן פרטו את נסיבותיו האישיות של הנאשם, אשר הגיע מרקע ונסיבות מורכבות, לא גויס על רקע מעורבותו הפלילית, תקופות רבות בהן לא עבד וניהל אורח חיים </w:t>
      </w:r>
      <w:r>
        <w:rPr>
          <w:rFonts w:hint="cs"/>
          <w:rtl/>
        </w:rPr>
        <w:lastRenderedPageBreak/>
        <w:t>שולי. עוד נמסר כי משפחתו מוכרת לשירותי הרווחה  בשל קשיים משמעותיים על רקע הנתונים המורכבים.</w:t>
      </w:r>
    </w:p>
    <w:p w14:paraId="4CCB2553" w14:textId="77777777" w:rsidR="00180836" w:rsidRDefault="00180836" w:rsidP="00180836">
      <w:pPr>
        <w:pStyle w:val="ListParagraph"/>
        <w:spacing w:line="360" w:lineRule="auto"/>
        <w:jc w:val="both"/>
        <w:rPr>
          <w:rtl/>
        </w:rPr>
      </w:pPr>
    </w:p>
    <w:p w14:paraId="2863BDD7" w14:textId="77777777" w:rsidR="00180836" w:rsidRDefault="00180836" w:rsidP="00180836">
      <w:pPr>
        <w:pStyle w:val="ListParagraph"/>
        <w:spacing w:line="360" w:lineRule="auto"/>
        <w:jc w:val="both"/>
        <w:rPr>
          <w:rtl/>
        </w:rPr>
      </w:pPr>
      <w:r>
        <w:rPr>
          <w:rFonts w:hint="cs"/>
          <w:rtl/>
        </w:rPr>
        <w:t xml:space="preserve">הנאשם נטל אחריות למעשיו, ציין בפני שרות המבחן כי מבין את טעותו, אך מצמצם את חומרתן ואת אחריותו. הוא מסר כי חזר להשתמש בסמים לאחר הפסקה של כ- 20 שנים, ובאשר לנסיבות ביצוע העבירה סיפר כי מצא את הסמים מוחבאים מאחורי שיחים, ולקח אותם לרשותו במחשבה לשפר את מצבו הכלכלי. </w:t>
      </w:r>
    </w:p>
    <w:p w14:paraId="1576AF09" w14:textId="77777777" w:rsidR="00180836" w:rsidRDefault="00180836" w:rsidP="00180836">
      <w:pPr>
        <w:pStyle w:val="ListParagraph"/>
        <w:spacing w:line="360" w:lineRule="auto"/>
        <w:jc w:val="both"/>
        <w:rPr>
          <w:rtl/>
        </w:rPr>
      </w:pPr>
    </w:p>
    <w:p w14:paraId="05259C27" w14:textId="77777777" w:rsidR="00180836" w:rsidRDefault="00180836" w:rsidP="00180836">
      <w:pPr>
        <w:pStyle w:val="ListParagraph"/>
        <w:spacing w:line="360" w:lineRule="auto"/>
        <w:jc w:val="both"/>
        <w:rPr>
          <w:rtl/>
        </w:rPr>
      </w:pPr>
      <w:r>
        <w:rPr>
          <w:rFonts w:hint="cs"/>
          <w:rtl/>
        </w:rPr>
        <w:t xml:space="preserve">שירות המבחן הסיק כי התנהגות הנאשם מאפיינת את אורחות חייו העברייניים, קשייו לעמוד בגבולות חיצוניים ולהתנגד לדפוסי העבריינות המושרשים בו, באופן המגביר את גורמי הסיכון אליהם הוא חשוף בשל מאפייני אישיותו שאינם בשלים, כי מתקשה לתפקד בתחום התעסוקתי לאורך זמן, ומתקשה לערוך שינוי בעצמו. הנאשם הביע רצון להפסיק את אורח חייו העברייני ולהשתלב במערך טיפולי אינטנסיבי במסגרת קבילה טיפולית. </w:t>
      </w:r>
    </w:p>
    <w:p w14:paraId="0EE43A45" w14:textId="77777777" w:rsidR="00180836" w:rsidRDefault="00180836" w:rsidP="00180836">
      <w:pPr>
        <w:pStyle w:val="ListParagraph"/>
        <w:spacing w:line="360" w:lineRule="auto"/>
        <w:jc w:val="both"/>
        <w:rPr>
          <w:rtl/>
        </w:rPr>
      </w:pPr>
    </w:p>
    <w:p w14:paraId="649C2216" w14:textId="77777777" w:rsidR="00180836" w:rsidRDefault="00180836" w:rsidP="00180836">
      <w:pPr>
        <w:pStyle w:val="ListParagraph"/>
        <w:spacing w:line="360" w:lineRule="auto"/>
        <w:jc w:val="both"/>
        <w:rPr>
          <w:rtl/>
        </w:rPr>
      </w:pPr>
      <w:r>
        <w:rPr>
          <w:rFonts w:hint="cs"/>
          <w:rtl/>
        </w:rPr>
        <w:t>בתסקיר מיום 06/03/2016 מסר שירות המבחן כי הנאשם נמצא מתאים לטיפול במסגרת הקהילה הטיפולית, ובתסקיר משלים מיום 26/05/2016 חזר שירות המבחן על המלצתו לשילוב הנאשם במסגרת.</w:t>
      </w:r>
    </w:p>
    <w:p w14:paraId="54D48899" w14:textId="77777777" w:rsidR="00180836" w:rsidRDefault="00180836" w:rsidP="00180836">
      <w:pPr>
        <w:pStyle w:val="ListParagraph"/>
        <w:spacing w:line="360" w:lineRule="auto"/>
        <w:jc w:val="both"/>
        <w:rPr>
          <w:rtl/>
        </w:rPr>
      </w:pPr>
    </w:p>
    <w:p w14:paraId="788930EB" w14:textId="77777777" w:rsidR="00180836" w:rsidRDefault="00180836" w:rsidP="00180836">
      <w:pPr>
        <w:pStyle w:val="ListParagraph"/>
        <w:spacing w:line="360" w:lineRule="auto"/>
        <w:jc w:val="both"/>
        <w:rPr>
          <w:rtl/>
        </w:rPr>
      </w:pPr>
      <w:r>
        <w:rPr>
          <w:rFonts w:hint="cs"/>
          <w:rtl/>
        </w:rPr>
        <w:t xml:space="preserve">השירות העריך כי במידה שיתמיד הנאשם בדרך השיקום, יהיה בכך כדי להפחית את הסיכון להישנות התנהגות עבריינית בעתיד, והמליץ לשלבו (כפי ששולב סופו של דבר כאמור), במסגרת הקהילה הטיפולית "בית אביבה". </w:t>
      </w:r>
    </w:p>
    <w:p w14:paraId="42269152" w14:textId="77777777" w:rsidR="00180836" w:rsidRDefault="00180836" w:rsidP="00180836">
      <w:pPr>
        <w:pStyle w:val="ListParagraph"/>
        <w:spacing w:line="360" w:lineRule="auto"/>
        <w:jc w:val="both"/>
        <w:rPr>
          <w:rtl/>
        </w:rPr>
      </w:pPr>
    </w:p>
    <w:p w14:paraId="5CA1CAA2" w14:textId="77777777" w:rsidR="00180836" w:rsidRDefault="00180836" w:rsidP="00180836">
      <w:pPr>
        <w:pStyle w:val="ListParagraph"/>
        <w:spacing w:line="360" w:lineRule="auto"/>
        <w:jc w:val="both"/>
        <w:rPr>
          <w:rtl/>
        </w:rPr>
      </w:pPr>
      <w:r>
        <w:rPr>
          <w:rFonts w:hint="cs"/>
          <w:rtl/>
        </w:rPr>
        <w:t xml:space="preserve">בהחלטה מיום 10/06/2016 אפשרתי לנאשם, על אף התנגדות המאשימה, להשתלב במסגרת הטיפולית בטרם גזירת דינו. ביום 14/06/2016 שוחרר הנאשם בשיטת " מדלת לדלת" ונקלט הנאשם במסגרת. </w:t>
      </w:r>
    </w:p>
    <w:p w14:paraId="45E78C82" w14:textId="77777777" w:rsidR="00180836" w:rsidRDefault="00180836" w:rsidP="00180836">
      <w:pPr>
        <w:pStyle w:val="ListParagraph"/>
        <w:spacing w:line="360" w:lineRule="auto"/>
        <w:jc w:val="both"/>
        <w:rPr>
          <w:rtl/>
        </w:rPr>
      </w:pPr>
    </w:p>
    <w:p w14:paraId="5F062108" w14:textId="77777777" w:rsidR="00180836" w:rsidRDefault="00180836" w:rsidP="00180836">
      <w:pPr>
        <w:pStyle w:val="ListParagraph"/>
        <w:spacing w:line="360" w:lineRule="auto"/>
        <w:jc w:val="both"/>
        <w:rPr>
          <w:rtl/>
        </w:rPr>
      </w:pPr>
      <w:r>
        <w:rPr>
          <w:rFonts w:hint="cs"/>
          <w:rtl/>
        </w:rPr>
        <w:t>ביום 28/06/2016 הודיע שרות המבחן כי הנאשם מבקש לעזוב את המסגרת הטיפולית באופן מיידי, וביום 30/06/2016 עזב הנאשם את המסגרת, הסגיר עצמו למשטרה, ונעצר ביום 01/07/2016 עד תום ההליכים כנגדו.</w:t>
      </w:r>
    </w:p>
    <w:p w14:paraId="092E0687" w14:textId="77777777" w:rsidR="00180836" w:rsidRDefault="00180836" w:rsidP="00180836">
      <w:pPr>
        <w:pStyle w:val="ListParagraph"/>
        <w:spacing w:line="360" w:lineRule="auto"/>
        <w:jc w:val="both"/>
      </w:pPr>
    </w:p>
    <w:p w14:paraId="45BD1B9F" w14:textId="77777777" w:rsidR="00180836" w:rsidRDefault="00180836" w:rsidP="00180836">
      <w:pPr>
        <w:pStyle w:val="ListParagraph"/>
        <w:numPr>
          <w:ilvl w:val="0"/>
          <w:numId w:val="1"/>
        </w:numPr>
        <w:spacing w:line="360" w:lineRule="auto"/>
        <w:jc w:val="both"/>
      </w:pPr>
      <w:r>
        <w:rPr>
          <w:rFonts w:hint="cs"/>
          <w:rtl/>
        </w:rPr>
        <w:t>ביום 26/05/2016, טרם נשלח הנאשם לקהילה הטיפולית, טענו הצדדים לעונש, ובישיבת יום 07/07/2016, לאחר שלא עלה בידי הנאשם למצות את ההליך הטיפולי, חזרה המאשימה על עמדתה העונשית ואילו הסנגור עתר להסתפק בתקופת מעצרו הממושכת של הנאשם לאור מכלול הנסיבות.</w:t>
      </w:r>
    </w:p>
    <w:p w14:paraId="02D96D8B" w14:textId="77777777" w:rsidR="00180836" w:rsidRDefault="00180836" w:rsidP="00180836">
      <w:pPr>
        <w:spacing w:line="360" w:lineRule="auto"/>
        <w:ind w:left="360"/>
        <w:jc w:val="both"/>
      </w:pPr>
    </w:p>
    <w:p w14:paraId="6A4C2B9C" w14:textId="77777777" w:rsidR="00180836" w:rsidRDefault="00180836" w:rsidP="00180836">
      <w:pPr>
        <w:pStyle w:val="ListParagraph"/>
        <w:spacing w:line="360" w:lineRule="auto"/>
        <w:jc w:val="both"/>
      </w:pPr>
      <w:r>
        <w:rPr>
          <w:rFonts w:hint="cs"/>
          <w:rtl/>
        </w:rPr>
        <w:t>המאשימה הדגישה את מהות העבירות בהן הורשע הנאשם, אשר לשיטתה מבטאות את היותו של הנאשם סוחר מן המניין, ולא דג רקק בשרשרת הסם. המאשימה עמדה על דבריו של הנאשם בפני שירות המבחן, והסבריו ה"מצוצים מהאצבע", לשיטתה, לאופן הגעת הסם אליו. לעניין עבירות הנאשם ציינה ב"כ המאשימה כי הנזק מהסם המסוכן בו סחר הנאשם קשה יותר מאשר מסמים אחרים כגון קנביס, ועמדה על המניע הכספי שבבסיס העבירות, והנזק שנגרם מביצוע העבירה.</w:t>
      </w:r>
    </w:p>
    <w:p w14:paraId="0731EFC5" w14:textId="77777777" w:rsidR="00180836" w:rsidRDefault="00180836" w:rsidP="00180836">
      <w:pPr>
        <w:pStyle w:val="ListParagraph"/>
        <w:spacing w:line="360" w:lineRule="auto"/>
        <w:jc w:val="both"/>
        <w:rPr>
          <w:rtl/>
        </w:rPr>
      </w:pPr>
    </w:p>
    <w:p w14:paraId="21C818DB" w14:textId="77777777" w:rsidR="00180836" w:rsidRDefault="00180836" w:rsidP="00180836">
      <w:pPr>
        <w:pStyle w:val="ListParagraph"/>
        <w:spacing w:line="360" w:lineRule="auto"/>
        <w:jc w:val="both"/>
        <w:rPr>
          <w:rtl/>
        </w:rPr>
      </w:pPr>
      <w:r>
        <w:rPr>
          <w:rFonts w:hint="cs"/>
          <w:rtl/>
        </w:rPr>
        <w:t>לעניין הנסיבות המחמירות, הפנתה המאשימה בין היתר למרכזיות הנאשם בביצוע העבירה, התכנון הקודם והכלים בהם הצטייד הנאשם.</w:t>
      </w:r>
    </w:p>
    <w:p w14:paraId="146E5D8E" w14:textId="77777777" w:rsidR="00180836" w:rsidRDefault="00180836" w:rsidP="00180836">
      <w:pPr>
        <w:pStyle w:val="ListParagraph"/>
        <w:spacing w:line="360" w:lineRule="auto"/>
        <w:jc w:val="both"/>
        <w:rPr>
          <w:rtl/>
        </w:rPr>
      </w:pPr>
    </w:p>
    <w:p w14:paraId="6907DBD0" w14:textId="77777777" w:rsidR="00180836" w:rsidRDefault="00180836" w:rsidP="00180836">
      <w:pPr>
        <w:pStyle w:val="ListParagraph"/>
        <w:spacing w:line="360" w:lineRule="auto"/>
        <w:jc w:val="both"/>
        <w:rPr>
          <w:rtl/>
        </w:rPr>
      </w:pPr>
      <w:r>
        <w:rPr>
          <w:rFonts w:hint="cs"/>
          <w:rtl/>
        </w:rPr>
        <w:t>לשיטת המאשימה, מתחם הענישה הראוי בכל הקשור לסחר בסמים והחזקת סם שלא לצריכה עצמית בנסיבות דנא הוא בין שנתיים לארבע שנות מאסר.</w:t>
      </w:r>
    </w:p>
    <w:p w14:paraId="6D88A27C" w14:textId="77777777" w:rsidR="00180836" w:rsidRDefault="00180836" w:rsidP="00180836">
      <w:pPr>
        <w:pStyle w:val="ListParagraph"/>
        <w:spacing w:line="360" w:lineRule="auto"/>
        <w:jc w:val="both"/>
        <w:rPr>
          <w:rtl/>
        </w:rPr>
      </w:pPr>
    </w:p>
    <w:p w14:paraId="2DCE6CC7" w14:textId="77777777" w:rsidR="00180836" w:rsidRDefault="00180836" w:rsidP="00180836">
      <w:pPr>
        <w:pStyle w:val="ListParagraph"/>
        <w:numPr>
          <w:ilvl w:val="0"/>
          <w:numId w:val="1"/>
        </w:numPr>
        <w:spacing w:line="360" w:lineRule="auto"/>
        <w:jc w:val="both"/>
      </w:pPr>
      <w:r>
        <w:rPr>
          <w:rFonts w:hint="cs"/>
          <w:rtl/>
        </w:rPr>
        <w:t xml:space="preserve">הסנגור עתר לשלב את הנאשם בהליך טיפולי, וביקש להסתפק בתקופת המעצר הממושכת בה היה נתון, שאורכה נכון לאותו מועד עמד על  שלושה עשר חודשים ויותר. זאת תוך עתירה להביא בחשבון במנין ימי המעצר לניכוי אף תקופת מאסר בעבודות שרות שיכול והופקעה עי הממונה, בענין הליך התעבורה. </w:t>
      </w:r>
    </w:p>
    <w:p w14:paraId="632FE056" w14:textId="77777777" w:rsidR="00180836" w:rsidRDefault="00180836" w:rsidP="00180836">
      <w:pPr>
        <w:pStyle w:val="ListParagraph"/>
        <w:spacing w:line="360" w:lineRule="auto"/>
        <w:jc w:val="both"/>
      </w:pPr>
    </w:p>
    <w:p w14:paraId="3EBE3F79" w14:textId="77777777" w:rsidR="00180836" w:rsidRDefault="00180836" w:rsidP="00180836">
      <w:pPr>
        <w:pStyle w:val="ListParagraph"/>
        <w:spacing w:line="360" w:lineRule="auto"/>
        <w:jc w:val="both"/>
        <w:rPr>
          <w:rtl/>
        </w:rPr>
      </w:pPr>
      <w:r>
        <w:rPr>
          <w:rFonts w:hint="cs"/>
          <w:rtl/>
        </w:rPr>
        <w:t>בדברו האחרון, הביע הנאשם חרטה על מעשיו, מסר כי הוא רוצה להשתקם ולחזור לחיק משפחתו, לערוך שינוי בחייו, וביקש להצטרף לקהילה הטיפולית.</w:t>
      </w:r>
    </w:p>
    <w:p w14:paraId="2395E4F1" w14:textId="77777777" w:rsidR="00180836" w:rsidRDefault="00180836" w:rsidP="00180836">
      <w:pPr>
        <w:pStyle w:val="ListParagraph"/>
        <w:spacing w:line="360" w:lineRule="auto"/>
        <w:jc w:val="both"/>
        <w:rPr>
          <w:rtl/>
        </w:rPr>
      </w:pPr>
    </w:p>
    <w:p w14:paraId="487CBF2D" w14:textId="77777777" w:rsidR="00180836" w:rsidRDefault="00180836" w:rsidP="00180836">
      <w:pPr>
        <w:pStyle w:val="ListParagraph"/>
        <w:spacing w:line="360" w:lineRule="auto"/>
        <w:jc w:val="both"/>
        <w:rPr>
          <w:rtl/>
        </w:rPr>
      </w:pPr>
      <w:r>
        <w:rPr>
          <w:rFonts w:hint="cs"/>
          <w:rtl/>
        </w:rPr>
        <w:t>ב"כ הצדדים תמכו טיעוניהם בפסיקה אליה הפנו.</w:t>
      </w:r>
    </w:p>
    <w:p w14:paraId="74BF0214" w14:textId="77777777" w:rsidR="00180836" w:rsidRDefault="00180836" w:rsidP="00180836">
      <w:pPr>
        <w:pStyle w:val="ListParagraph"/>
        <w:spacing w:line="360" w:lineRule="auto"/>
        <w:jc w:val="both"/>
        <w:rPr>
          <w:rtl/>
        </w:rPr>
      </w:pPr>
    </w:p>
    <w:p w14:paraId="5EBFA636" w14:textId="77777777" w:rsidR="00180836" w:rsidRDefault="00180836" w:rsidP="00180836">
      <w:pPr>
        <w:pStyle w:val="ListParagraph"/>
        <w:numPr>
          <w:ilvl w:val="0"/>
          <w:numId w:val="1"/>
        </w:numPr>
        <w:spacing w:line="360" w:lineRule="auto"/>
        <w:jc w:val="both"/>
      </w:pPr>
      <w:r>
        <w:rPr>
          <w:rFonts w:hint="cs"/>
          <w:rtl/>
        </w:rPr>
        <w:t>הערכים החברתיים המוגנים שנפגעו כתוצאה ממעשי הנאשם כפי שתוארו בכתב האישום המתוקן הינם, בין היתר, פגיעה בשלום הציבור ובריאותו וכן, השמירה על סדרי משטר תקינים ושלטון החוק, וכן הצורך להגן על הציבור מפני הנזקים הרבים הישירים והעקיפים הנגרמים כתוצאה מביצוע עבירות בתחום הסמים.</w:t>
      </w:r>
    </w:p>
    <w:p w14:paraId="795843A6" w14:textId="77777777" w:rsidR="00180836" w:rsidRDefault="00180836" w:rsidP="00180836">
      <w:pPr>
        <w:pStyle w:val="ListParagraph"/>
        <w:spacing w:line="360" w:lineRule="auto"/>
        <w:jc w:val="both"/>
        <w:rPr>
          <w:rtl/>
        </w:rPr>
      </w:pPr>
      <w:r>
        <w:rPr>
          <w:rFonts w:hint="cs"/>
          <w:rtl/>
        </w:rPr>
        <w:t>מידת הפגיעה בערכים משתקפת, מעבר למהות העבירות, בסוג הסם ובכמות שהוחזקה שלא לצריכתו כשהיא מחולקת לאריזות כמפורט באישום וכן שסחר אף בסם מסוג נוסף.</w:t>
      </w:r>
    </w:p>
    <w:p w14:paraId="4A2835EF" w14:textId="77777777" w:rsidR="00180836" w:rsidRDefault="00180836" w:rsidP="00180836">
      <w:pPr>
        <w:pStyle w:val="ListParagraph"/>
        <w:spacing w:line="360" w:lineRule="auto"/>
        <w:jc w:val="both"/>
        <w:rPr>
          <w:rtl/>
        </w:rPr>
      </w:pPr>
    </w:p>
    <w:p w14:paraId="03A9EAC5" w14:textId="77777777" w:rsidR="00180836" w:rsidRPr="0041401D" w:rsidRDefault="00180836" w:rsidP="00180836">
      <w:pPr>
        <w:pStyle w:val="ListParagraph"/>
        <w:spacing w:line="360" w:lineRule="auto"/>
        <w:jc w:val="both"/>
        <w:rPr>
          <w:b/>
          <w:bCs/>
        </w:rPr>
      </w:pPr>
      <w:r>
        <w:rPr>
          <w:rFonts w:hint="cs"/>
          <w:rtl/>
        </w:rPr>
        <w:t xml:space="preserve">התיחסות לסמים הסינטטיים ניתן למצא בעניין </w:t>
      </w:r>
      <w:hyperlink r:id="rId14" w:history="1">
        <w:r w:rsidR="00B80CC7" w:rsidRPr="00B80CC7">
          <w:rPr>
            <w:b/>
            <w:bCs/>
            <w:color w:val="0000FF"/>
            <w:u w:val="single"/>
            <w:rtl/>
          </w:rPr>
          <w:t>ע"פ(העליון) 4915/15</w:t>
        </w:r>
      </w:hyperlink>
      <w:r>
        <w:rPr>
          <w:rFonts w:hint="cs"/>
          <w:b/>
          <w:bCs/>
          <w:rtl/>
        </w:rPr>
        <w:t xml:space="preserve"> ותד ואח' נ' מ"י (02/11/15)</w:t>
      </w:r>
      <w:r>
        <w:rPr>
          <w:rFonts w:hint="cs"/>
          <w:rtl/>
        </w:rPr>
        <w:t xml:space="preserve"> (להלן: "עניין ותד"), כב' השופט הנדל בהתיחסו לסם מסוג "</w:t>
      </w:r>
      <w:r>
        <w:t>AMB-5F</w:t>
      </w:r>
      <w:r>
        <w:rPr>
          <w:rFonts w:hint="cs"/>
          <w:rtl/>
        </w:rPr>
        <w:t xml:space="preserve">", </w:t>
      </w:r>
      <w:r w:rsidRPr="0041401D">
        <w:rPr>
          <w:rFonts w:hint="cs"/>
          <w:b/>
          <w:bCs/>
          <w:rtl/>
        </w:rPr>
        <w:t xml:space="preserve">ציין  כי מדובר ב"סם [ש]אמנם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 ומכאן ש"מאפייניו האינדיבידואליים של הסם מחייבים התייחסות מחמירה לעבירות הקשורות בו כבר עתה". </w:t>
      </w:r>
    </w:p>
    <w:p w14:paraId="28A02BFC" w14:textId="77777777" w:rsidR="00180836" w:rsidRDefault="00180836" w:rsidP="00180836">
      <w:pPr>
        <w:pStyle w:val="ListParagraph"/>
        <w:spacing w:line="360" w:lineRule="auto"/>
        <w:jc w:val="both"/>
        <w:rPr>
          <w:rtl/>
        </w:rPr>
      </w:pPr>
    </w:p>
    <w:p w14:paraId="23C420AA" w14:textId="77777777" w:rsidR="00180836" w:rsidRDefault="00180836" w:rsidP="00180836">
      <w:pPr>
        <w:pStyle w:val="ListParagraph"/>
        <w:spacing w:line="360" w:lineRule="auto"/>
        <w:jc w:val="both"/>
        <w:rPr>
          <w:b/>
          <w:bCs/>
          <w:rtl/>
        </w:rPr>
      </w:pPr>
      <w:r>
        <w:rPr>
          <w:rFonts w:hint="cs"/>
          <w:rtl/>
        </w:rPr>
        <w:t xml:space="preserve">וכן בעניין </w:t>
      </w:r>
      <w:hyperlink r:id="rId15" w:history="1">
        <w:r w:rsidR="00B80CC7" w:rsidRPr="00B80CC7">
          <w:rPr>
            <w:b/>
            <w:bCs/>
            <w:color w:val="0000FF"/>
            <w:u w:val="single"/>
            <w:rtl/>
          </w:rPr>
          <w:t>ע"פ (העליון) 1635/14</w:t>
        </w:r>
      </w:hyperlink>
      <w:r>
        <w:rPr>
          <w:rFonts w:hint="cs"/>
          <w:b/>
          <w:bCs/>
          <w:rtl/>
        </w:rPr>
        <w:t xml:space="preserve"> שי יהודה נ' מדינת ישראל (21/08/2014),</w:t>
      </w:r>
      <w:r>
        <w:rPr>
          <w:rFonts w:hint="cs"/>
          <w:rtl/>
        </w:rPr>
        <w:t xml:space="preserve"> כב'  השופט הנדל, עמד, בין השאר, על סוגיית "סמי הפיצוציות", מהם נשתקף </w:t>
      </w:r>
      <w:r w:rsidRPr="00766AAD">
        <w:rPr>
          <w:rFonts w:hint="cs"/>
          <w:b/>
          <w:bCs/>
          <w:rtl/>
        </w:rPr>
        <w:t>"פן נוסף בחומרת עבירת הסמים. עסקינן בסוג סם חדש יחסית לעומת סמים מוכרים יותר.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w:t>
      </w:r>
    </w:p>
    <w:p w14:paraId="3625E37D" w14:textId="77777777" w:rsidR="00180836" w:rsidRPr="005E1203" w:rsidRDefault="00180836" w:rsidP="00180836">
      <w:pPr>
        <w:spacing w:line="360" w:lineRule="auto"/>
        <w:jc w:val="both"/>
        <w:rPr>
          <w:b/>
          <w:bCs/>
          <w:rtl/>
        </w:rPr>
      </w:pPr>
    </w:p>
    <w:p w14:paraId="6695020F" w14:textId="77777777" w:rsidR="00180836" w:rsidRDefault="00180836" w:rsidP="00180836">
      <w:pPr>
        <w:pStyle w:val="ListParagraph"/>
        <w:numPr>
          <w:ilvl w:val="0"/>
          <w:numId w:val="1"/>
        </w:numPr>
        <w:spacing w:line="360" w:lineRule="auto"/>
        <w:jc w:val="both"/>
      </w:pPr>
      <w:r>
        <w:rPr>
          <w:rFonts w:hint="cs"/>
          <w:rtl/>
        </w:rPr>
        <w:t>מדיניות הענישה הנוהגת במקרים דומים מעלה כי במקרים דומים הוטלו על נאשמים עונשי מאסר.</w:t>
      </w:r>
    </w:p>
    <w:p w14:paraId="7D7CD682" w14:textId="77777777" w:rsidR="00180836" w:rsidRDefault="00180836" w:rsidP="00180836">
      <w:pPr>
        <w:pStyle w:val="ListParagraph"/>
        <w:spacing w:line="360" w:lineRule="auto"/>
        <w:jc w:val="both"/>
        <w:rPr>
          <w:rtl/>
        </w:rPr>
      </w:pPr>
    </w:p>
    <w:p w14:paraId="393E29FF" w14:textId="77777777" w:rsidR="00180836" w:rsidRPr="00766AAD" w:rsidRDefault="00180836" w:rsidP="00180836">
      <w:pPr>
        <w:pStyle w:val="ListParagraph"/>
        <w:spacing w:line="360" w:lineRule="auto"/>
        <w:jc w:val="both"/>
        <w:rPr>
          <w:rFonts w:ascii="Arial (W1)" w:hAnsi="Arial (W1)"/>
          <w:rtl/>
        </w:rPr>
      </w:pPr>
      <w:r w:rsidRPr="00766AAD">
        <w:rPr>
          <w:rFonts w:ascii="Arial (W1)" w:hAnsi="Arial (W1)" w:hint="cs"/>
          <w:rtl/>
        </w:rPr>
        <w:t xml:space="preserve">בענין </w:t>
      </w:r>
      <w:hyperlink r:id="rId16" w:history="1">
        <w:r w:rsidR="00B80CC7" w:rsidRPr="00B80CC7">
          <w:rPr>
            <w:rFonts w:ascii="Arial (W1)" w:hAnsi="Arial (W1)" w:hint="eastAsia"/>
            <w:b/>
            <w:bCs/>
            <w:color w:val="0000FF"/>
            <w:u w:val="single"/>
            <w:rtl/>
          </w:rPr>
          <w:t>ת</w:t>
        </w:r>
        <w:r w:rsidR="00B80CC7" w:rsidRPr="00B80CC7">
          <w:rPr>
            <w:rFonts w:ascii="Arial (W1)" w:hAnsi="Arial (W1)"/>
            <w:b/>
            <w:bCs/>
            <w:color w:val="0000FF"/>
            <w:u w:val="single"/>
            <w:rtl/>
          </w:rPr>
          <w:t>"</w:t>
        </w:r>
        <w:r w:rsidR="00B80CC7" w:rsidRPr="00B80CC7">
          <w:rPr>
            <w:rFonts w:ascii="Arial (W1)" w:hAnsi="Arial (W1)" w:hint="eastAsia"/>
            <w:b/>
            <w:bCs/>
            <w:color w:val="0000FF"/>
            <w:u w:val="single"/>
            <w:rtl/>
          </w:rPr>
          <w:t>פ</w:t>
        </w:r>
        <w:r w:rsidR="00B80CC7" w:rsidRPr="00B80CC7">
          <w:rPr>
            <w:rFonts w:ascii="Arial (W1)" w:hAnsi="Arial (W1)"/>
            <w:b/>
            <w:bCs/>
            <w:color w:val="0000FF"/>
            <w:u w:val="single"/>
            <w:rtl/>
          </w:rPr>
          <w:t xml:space="preserve"> 59586-01-14</w:t>
        </w:r>
      </w:hyperlink>
      <w:r w:rsidRPr="00766AAD">
        <w:rPr>
          <w:rFonts w:ascii="Arial (W1)" w:hAnsi="Arial (W1)" w:hint="cs"/>
          <w:b/>
          <w:bCs/>
          <w:rtl/>
        </w:rPr>
        <w:t xml:space="preserve"> מדינת ישראל נ' קקון (06/10/2014),</w:t>
      </w:r>
      <w:r w:rsidRPr="00766AAD">
        <w:rPr>
          <w:rFonts w:ascii="Arial (W1)" w:hAnsi="Arial (W1)" w:hint="cs"/>
          <w:rtl/>
        </w:rPr>
        <w:t xml:space="preserve"> הורשע נאשם</w:t>
      </w:r>
      <w:r>
        <w:rPr>
          <w:rFonts w:ascii="Arial (W1)" w:hAnsi="Arial (W1)" w:hint="cs"/>
          <w:rtl/>
        </w:rPr>
        <w:t xml:space="preserve"> שלחובתו 8 הרשעות קודמות</w:t>
      </w:r>
      <w:r w:rsidRPr="00766AAD">
        <w:rPr>
          <w:rFonts w:ascii="Arial (W1)" w:hAnsi="Arial (W1)" w:hint="cs"/>
          <w:rtl/>
        </w:rPr>
        <w:t xml:space="preserve"> בשני אישומים בעבירות תיווך ומכירת סמים מסוכנים מסוג </w:t>
      </w:r>
      <w:r w:rsidRPr="00766AAD">
        <w:rPr>
          <w:rFonts w:ascii="Arial (W1)" w:hAnsi="Arial (W1)"/>
        </w:rPr>
        <w:t>LSD</w:t>
      </w:r>
      <w:r w:rsidRPr="00766AAD">
        <w:rPr>
          <w:rFonts w:ascii="Arial (W1)" w:hAnsi="Arial (W1)" w:hint="cs"/>
          <w:rtl/>
        </w:rPr>
        <w:t xml:space="preserve"> ו- </w:t>
      </w:r>
      <w:r w:rsidRPr="00766AAD">
        <w:rPr>
          <w:rFonts w:ascii="Arial (W1)" w:hAnsi="Arial (W1)"/>
        </w:rPr>
        <w:t>MDMA</w:t>
      </w:r>
      <w:r w:rsidRPr="00766AAD">
        <w:rPr>
          <w:rFonts w:ascii="Arial (W1)" w:hAnsi="Arial (W1)" w:hint="cs"/>
          <w:rtl/>
        </w:rPr>
        <w:t xml:space="preserve"> לסוכן משטרתי, </w:t>
      </w:r>
      <w:r>
        <w:rPr>
          <w:rFonts w:ascii="Arial (W1)" w:hAnsi="Arial (W1)" w:hint="cs"/>
          <w:rtl/>
        </w:rPr>
        <w:t xml:space="preserve">ונדון </w:t>
      </w:r>
      <w:r w:rsidRPr="00766AAD">
        <w:rPr>
          <w:rFonts w:ascii="Arial (W1)" w:hAnsi="Arial (W1)" w:hint="cs"/>
          <w:rtl/>
        </w:rPr>
        <w:t>למאסר בפועל בן 17 חודשים, לצד ענישה כלכלית נלווית וענישה מותנית.</w:t>
      </w:r>
    </w:p>
    <w:p w14:paraId="20DDDD5A" w14:textId="77777777" w:rsidR="00180836" w:rsidRDefault="00180836" w:rsidP="00180836">
      <w:pPr>
        <w:pStyle w:val="ListParagraph"/>
        <w:spacing w:line="360" w:lineRule="auto"/>
        <w:jc w:val="both"/>
        <w:rPr>
          <w:rtl/>
        </w:rPr>
      </w:pPr>
    </w:p>
    <w:p w14:paraId="7A8184A2" w14:textId="77777777" w:rsidR="00180836" w:rsidRDefault="00180836" w:rsidP="00180836">
      <w:pPr>
        <w:pStyle w:val="ListParagraph"/>
        <w:spacing w:line="360" w:lineRule="auto"/>
        <w:jc w:val="both"/>
        <w:rPr>
          <w:rtl/>
        </w:rPr>
      </w:pPr>
      <w:r>
        <w:rPr>
          <w:rFonts w:hint="cs"/>
          <w:rtl/>
        </w:rPr>
        <w:t>בענין</w:t>
      </w:r>
      <w:r>
        <w:rPr>
          <w:rFonts w:hint="cs"/>
          <w:b/>
          <w:bCs/>
          <w:rtl/>
        </w:rPr>
        <w:t xml:space="preserve"> </w:t>
      </w:r>
      <w:hyperlink r:id="rId17" w:history="1">
        <w:r w:rsidR="00B80CC7" w:rsidRPr="00B80CC7">
          <w:rPr>
            <w:b/>
            <w:bCs/>
            <w:color w:val="0000FF"/>
            <w:u w:val="single"/>
            <w:rtl/>
          </w:rPr>
          <w:t>ת"פ (השלום באר שבע) 25725-01-14</w:t>
        </w:r>
      </w:hyperlink>
      <w:r>
        <w:rPr>
          <w:rFonts w:hint="cs"/>
          <w:b/>
          <w:bCs/>
          <w:rtl/>
        </w:rPr>
        <w:t xml:space="preserve"> מדינת ישראל נ' וסקר (12/06/14),</w:t>
      </w:r>
      <w:r>
        <w:rPr>
          <w:rFonts w:hint="cs"/>
          <w:rtl/>
        </w:rPr>
        <w:t xml:space="preserve"> נאשם בעל עבר פלילי "ישן" יחסית ונסיבות אישיות קשות, שביצע עבירה אחת של מכירת חומר מסכן בתמורה ל-50 ₪, ועבירה של החזקת 10 שקיות המכילות חומר מסכן במטרה להפיצן,נדון ל 8 חודשי מאסר בפועל וענישה נלווית. בפסק הדין נסקרו מספר פסקי דין בהם נדונו נאשמים במסגרת הסדרי טיעון לעונשי מאסר.</w:t>
      </w:r>
    </w:p>
    <w:p w14:paraId="55CA2ADE" w14:textId="77777777" w:rsidR="00180836" w:rsidRDefault="00180836" w:rsidP="00180836">
      <w:pPr>
        <w:pStyle w:val="ListParagraph"/>
        <w:spacing w:line="360" w:lineRule="auto"/>
        <w:jc w:val="both"/>
        <w:rPr>
          <w:rtl/>
        </w:rPr>
      </w:pPr>
      <w:r>
        <w:rPr>
          <w:rFonts w:hint="cs"/>
          <w:rtl/>
        </w:rPr>
        <w:t>בענין ב</w:t>
      </w:r>
      <w:hyperlink r:id="rId18" w:history="1">
        <w:r w:rsidR="00B80CC7" w:rsidRPr="00B80CC7">
          <w:rPr>
            <w:b/>
            <w:bCs/>
            <w:color w:val="0000FF"/>
            <w:u w:val="single"/>
            <w:rtl/>
          </w:rPr>
          <w:t>ת"פ (השלום באר שבע) 5863-08-15</w:t>
        </w:r>
      </w:hyperlink>
      <w:r>
        <w:rPr>
          <w:rFonts w:hint="cs"/>
          <w:b/>
          <w:bCs/>
          <w:rtl/>
        </w:rPr>
        <w:t xml:space="preserve"> מדינת ישראל נ' בוריס חנקין (18/11/15)</w:t>
      </w:r>
      <w:r>
        <w:rPr>
          <w:rFonts w:hint="cs"/>
          <w:rtl/>
        </w:rPr>
        <w:t>, נגזרו על נאשם בביצוע שלוש עבירות של החזקת סם שלא לצריכה עצמית, בהסדר "סגור", תשעה חודשי מאסר בפועל לצד ענישה נלווית. בכל אחד מן האישומים דובר בשקיות בודדות של סם סינתטי.</w:t>
      </w:r>
    </w:p>
    <w:p w14:paraId="47DB75C4" w14:textId="77777777" w:rsidR="00180836" w:rsidRDefault="00180836" w:rsidP="00180836">
      <w:pPr>
        <w:pStyle w:val="ListParagraph"/>
        <w:spacing w:line="360" w:lineRule="auto"/>
        <w:jc w:val="both"/>
        <w:rPr>
          <w:rtl/>
        </w:rPr>
      </w:pPr>
    </w:p>
    <w:p w14:paraId="4941C85A" w14:textId="77777777" w:rsidR="00180836" w:rsidRDefault="00180836" w:rsidP="00180836">
      <w:pPr>
        <w:pStyle w:val="ListParagraph"/>
        <w:spacing w:line="360" w:lineRule="auto"/>
        <w:jc w:val="both"/>
        <w:rPr>
          <w:rtl/>
        </w:rPr>
      </w:pPr>
      <w:r>
        <w:rPr>
          <w:rFonts w:hint="cs"/>
          <w:rtl/>
        </w:rPr>
        <w:t xml:space="preserve">בענין </w:t>
      </w:r>
      <w:hyperlink r:id="rId19" w:history="1">
        <w:r w:rsidR="00B80CC7" w:rsidRPr="00B80CC7">
          <w:rPr>
            <w:b/>
            <w:bCs/>
            <w:color w:val="0000FF"/>
            <w:u w:val="single"/>
            <w:rtl/>
          </w:rPr>
          <w:t>ת"פ 26709-06-14</w:t>
        </w:r>
      </w:hyperlink>
      <w:r>
        <w:rPr>
          <w:rFonts w:hint="cs"/>
          <w:b/>
          <w:bCs/>
          <w:rtl/>
        </w:rPr>
        <w:t xml:space="preserve"> (השלום רמלה) מדינת ישראל נ' קובי ישראלוב (26/10/2014)</w:t>
      </w:r>
      <w:r>
        <w:rPr>
          <w:rFonts w:hint="cs"/>
          <w:rtl/>
        </w:rPr>
        <w:t xml:space="preserve"> הורשע הנאשם, בעל שני רישומים קודמים, בשלושה אישומים נפרדים בעבירות של סחר בסם מסוכן מסוג חשיש, בגינן נגזרו על הנאשם 11 חודשי מאסר בפועל בניכוי ימי מעצרו, תוך הטלת ענישה מותנית נלווית. </w:t>
      </w:r>
    </w:p>
    <w:p w14:paraId="7BB010F7" w14:textId="77777777" w:rsidR="00180836" w:rsidRDefault="00180836" w:rsidP="00180836">
      <w:pPr>
        <w:pStyle w:val="ListParagraph"/>
        <w:spacing w:line="360" w:lineRule="auto"/>
        <w:jc w:val="both"/>
        <w:rPr>
          <w:b/>
          <w:bCs/>
          <w:rtl/>
        </w:rPr>
      </w:pPr>
    </w:p>
    <w:p w14:paraId="2C87BFA1" w14:textId="77777777" w:rsidR="00180836" w:rsidRPr="005E1203" w:rsidRDefault="00180836" w:rsidP="00180836">
      <w:pPr>
        <w:pStyle w:val="ListParagraph"/>
        <w:spacing w:line="360" w:lineRule="auto"/>
        <w:jc w:val="both"/>
        <w:rPr>
          <w:rtl/>
        </w:rPr>
      </w:pPr>
      <w:r>
        <w:rPr>
          <w:rFonts w:hint="cs"/>
          <w:b/>
          <w:bCs/>
          <w:rtl/>
        </w:rPr>
        <w:t xml:space="preserve">בענין </w:t>
      </w:r>
      <w:hyperlink r:id="rId20" w:history="1">
        <w:r w:rsidR="00B80CC7" w:rsidRPr="00B80CC7">
          <w:rPr>
            <w:b/>
            <w:bCs/>
            <w:color w:val="0000FF"/>
            <w:u w:val="single"/>
            <w:rtl/>
          </w:rPr>
          <w:t>תפ 37002-02-16</w:t>
        </w:r>
      </w:hyperlink>
      <w:r>
        <w:rPr>
          <w:rFonts w:hint="cs"/>
          <w:b/>
          <w:bCs/>
          <w:rtl/>
        </w:rPr>
        <w:t xml:space="preserve"> מד"י נ. דמיטרי טרטיאקוב </w:t>
      </w:r>
      <w:r w:rsidRPr="005E1203">
        <w:rPr>
          <w:rFonts w:hint="cs"/>
          <w:rtl/>
        </w:rPr>
        <w:t>( כב' הש' בן טולילה- 15/6/16),</w:t>
      </w:r>
      <w:r>
        <w:rPr>
          <w:rFonts w:hint="cs"/>
          <w:rtl/>
        </w:rPr>
        <w:t>מתיחס בית המשפט לסוג הסם וכן לשורה של גזרי דין שניתנו בעבירות דומות.</w:t>
      </w:r>
      <w:r w:rsidRPr="005E1203">
        <w:rPr>
          <w:rFonts w:hint="cs"/>
          <w:rtl/>
        </w:rPr>
        <w:t xml:space="preserve"> </w:t>
      </w:r>
    </w:p>
    <w:p w14:paraId="6ECF4C8A" w14:textId="77777777" w:rsidR="00180836" w:rsidRDefault="00180836" w:rsidP="00180836">
      <w:pPr>
        <w:pStyle w:val="ListParagraph"/>
        <w:spacing w:line="360" w:lineRule="auto"/>
        <w:jc w:val="both"/>
        <w:rPr>
          <w:rtl/>
        </w:rPr>
      </w:pPr>
    </w:p>
    <w:p w14:paraId="21B84E29" w14:textId="77777777" w:rsidR="00180836" w:rsidRDefault="00180836" w:rsidP="00180836">
      <w:pPr>
        <w:pStyle w:val="ListParagraph"/>
        <w:spacing w:line="360" w:lineRule="auto"/>
        <w:jc w:val="both"/>
        <w:rPr>
          <w:rtl/>
        </w:rPr>
      </w:pPr>
      <w:r>
        <w:rPr>
          <w:rFonts w:hint="cs"/>
          <w:rtl/>
        </w:rPr>
        <w:t>נוכח נסיבות מעשי העבירות בהן הורשע הנאשם, מידת הפגיעה בערכים המוגנים עקב העבירות אותן ביצע ומדניות הענישה- ראוי לטעמי להעמיד את מתחם הענישה בענייננו כנע בין 15 חודשי מאסר לבין 30 חודש.</w:t>
      </w:r>
    </w:p>
    <w:p w14:paraId="369B3078" w14:textId="77777777" w:rsidR="00180836" w:rsidRDefault="00180836" w:rsidP="00180836">
      <w:pPr>
        <w:pStyle w:val="ListParagraph"/>
        <w:spacing w:line="360" w:lineRule="auto"/>
        <w:jc w:val="both"/>
      </w:pPr>
    </w:p>
    <w:p w14:paraId="7A9F408F" w14:textId="77777777" w:rsidR="00180836" w:rsidRDefault="00180836" w:rsidP="00180836">
      <w:pPr>
        <w:pStyle w:val="ListParagraph"/>
        <w:numPr>
          <w:ilvl w:val="0"/>
          <w:numId w:val="1"/>
        </w:numPr>
        <w:spacing w:line="360" w:lineRule="auto"/>
        <w:jc w:val="both"/>
      </w:pPr>
      <w:r>
        <w:rPr>
          <w:rFonts w:hint="cs"/>
          <w:rtl/>
        </w:rPr>
        <w:t>בתוך המתחם הובאו בחשבון לצד שקולי החומרא אף את עברו הפלילי של נאשם ומנגד לצד שיקולי הקולא -ההודיה, נטילת האחריות, הנסיון לערוך שנוי בדפוסי התנהלותו אף שכשל, הנסיבות האישיות המורכבות, היות הנאשם נתון במעצר על המשתמע מכך לענין תנאי המעצר וכן כי הופקעו במהלך מעצרו עבודות שרות שלא ינוכו ממנין ימי מעצרו.</w:t>
      </w:r>
    </w:p>
    <w:p w14:paraId="4A7CAD67" w14:textId="77777777" w:rsidR="00180836" w:rsidRDefault="00180836" w:rsidP="00180836">
      <w:pPr>
        <w:rPr>
          <w:rtl/>
        </w:rPr>
      </w:pPr>
    </w:p>
    <w:p w14:paraId="2C152136" w14:textId="77777777" w:rsidR="00180836" w:rsidRDefault="00180836" w:rsidP="00180836">
      <w:pPr>
        <w:spacing w:line="360" w:lineRule="auto"/>
        <w:ind w:left="720" w:right="-284"/>
        <w:rPr>
          <w:rtl/>
        </w:rPr>
      </w:pPr>
      <w:r>
        <w:rPr>
          <w:rFonts w:hint="cs"/>
          <w:rtl/>
        </w:rPr>
        <w:t xml:space="preserve">בהקשר זה ולענין עתירת ההגנה לנכות מימי המאסר הצפוי שיוטל על הנאשם את ימי המאסר עקב הפקעת עבודות שרות (תעבורה </w:t>
      </w:r>
      <w:hyperlink r:id="rId21" w:history="1">
        <w:r w:rsidR="00B80CC7" w:rsidRPr="00B80CC7">
          <w:rPr>
            <w:color w:val="0000FF"/>
            <w:u w:val="single"/>
            <w:rtl/>
          </w:rPr>
          <w:t>פ"ל 6589-10-14</w:t>
        </w:r>
      </w:hyperlink>
      <w:r>
        <w:rPr>
          <w:rFonts w:hint="cs"/>
          <w:rtl/>
        </w:rPr>
        <w:t xml:space="preserve">), לא מצאתי שיש מקום להורות על נכוי ימי המאסר  לאור האמור בענין </w:t>
      </w:r>
      <w:hyperlink r:id="rId22" w:history="1">
        <w:r w:rsidR="00B80CC7" w:rsidRPr="00B80CC7">
          <w:rPr>
            <w:color w:val="0000FF"/>
            <w:u w:val="single"/>
            <w:rtl/>
          </w:rPr>
          <w:t>ת.פ 47795-07-15</w:t>
        </w:r>
      </w:hyperlink>
      <w:r>
        <w:rPr>
          <w:rFonts w:hint="cs"/>
          <w:rtl/>
        </w:rPr>
        <w:t xml:space="preserve"> (מחוזי ב"ש), </w:t>
      </w:r>
      <w:r w:rsidRPr="00654D97">
        <w:rPr>
          <w:rFonts w:hint="cs"/>
          <w:b/>
          <w:bCs/>
          <w:rtl/>
        </w:rPr>
        <w:t>מדינת ישראל נ. שנקור</w:t>
      </w:r>
      <w:r>
        <w:rPr>
          <w:rFonts w:hint="cs"/>
          <w:rtl/>
        </w:rPr>
        <w:t xml:space="preserve"> (16/2/16) שם נקבע כי כאשר נאשם מרצה מאסר בגין תיק אחר, לא מתקיים הרציונאל שבבסיס הפחתת ימי מעצר שכן חרות הנאשם כבר נשללה ( פסקה 12 לפסה"ד שניתן ע"י כב' הש' עדן).</w:t>
      </w:r>
    </w:p>
    <w:p w14:paraId="41A7D176" w14:textId="77777777" w:rsidR="00180836" w:rsidRDefault="00180836" w:rsidP="00180836">
      <w:pPr>
        <w:rPr>
          <w:rtl/>
        </w:rPr>
      </w:pPr>
    </w:p>
    <w:p w14:paraId="5E1B6239" w14:textId="77777777" w:rsidR="00180836" w:rsidRDefault="00180836" w:rsidP="00180836">
      <w:pPr>
        <w:rPr>
          <w:rtl/>
        </w:rPr>
      </w:pPr>
      <w:r>
        <w:rPr>
          <w:rtl/>
        </w:rPr>
        <w:tab/>
      </w:r>
    </w:p>
    <w:p w14:paraId="5B94140D" w14:textId="77777777" w:rsidR="00180836" w:rsidRDefault="00180836" w:rsidP="00180836">
      <w:pPr>
        <w:rPr>
          <w:rtl/>
        </w:rPr>
      </w:pPr>
    </w:p>
    <w:p w14:paraId="5AD20D6A" w14:textId="77777777" w:rsidR="00180836" w:rsidRDefault="00180836" w:rsidP="00180836">
      <w:pPr>
        <w:rPr>
          <w:rtl/>
        </w:rPr>
      </w:pPr>
    </w:p>
    <w:p w14:paraId="47597B6A" w14:textId="77777777" w:rsidR="00180836" w:rsidRDefault="00180836" w:rsidP="00180836">
      <w:pPr>
        <w:jc w:val="center"/>
        <w:rPr>
          <w:b/>
          <w:bCs/>
          <w:szCs w:val="32"/>
          <w:u w:val="single"/>
          <w:rtl/>
        </w:rPr>
      </w:pPr>
    </w:p>
    <w:p w14:paraId="4EE07E87" w14:textId="77777777" w:rsidR="00180836" w:rsidRPr="007A54BB" w:rsidRDefault="00180836" w:rsidP="00180836">
      <w:pPr>
        <w:ind w:left="1080"/>
        <w:rPr>
          <w:b/>
          <w:bCs/>
          <w:rtl/>
        </w:rPr>
      </w:pPr>
      <w:r>
        <w:rPr>
          <w:rFonts w:hint="cs"/>
          <w:b/>
          <w:bCs/>
          <w:rtl/>
        </w:rPr>
        <w:t xml:space="preserve">לפיכך ובאיזון הכולל בין מכלול השקולים לכאן ולכאן </w:t>
      </w:r>
      <w:r w:rsidRPr="007A54BB">
        <w:rPr>
          <w:rFonts w:hint="cs"/>
          <w:b/>
          <w:bCs/>
          <w:rtl/>
        </w:rPr>
        <w:t>הנני דנה את הנאשם לעונשים הבאים:</w:t>
      </w:r>
    </w:p>
    <w:p w14:paraId="1562E5E6" w14:textId="77777777" w:rsidR="00180836" w:rsidRDefault="00180836" w:rsidP="00180836">
      <w:pPr>
        <w:rPr>
          <w:rtl/>
        </w:rPr>
      </w:pPr>
    </w:p>
    <w:p w14:paraId="0E1A6EC4" w14:textId="77777777" w:rsidR="00180836" w:rsidRDefault="00180836" w:rsidP="00180836">
      <w:pPr>
        <w:numPr>
          <w:ilvl w:val="0"/>
          <w:numId w:val="2"/>
        </w:numPr>
        <w:spacing w:line="360" w:lineRule="auto"/>
        <w:rPr>
          <w:rtl/>
        </w:rPr>
      </w:pPr>
      <w:r>
        <w:rPr>
          <w:rFonts w:hint="cs"/>
          <w:rtl/>
        </w:rPr>
        <w:t>24 חודשי מאסר בפועל, בניכוי ימי מעצרו מיום 22/5/16 ועד 14/6/16 ומיום 1/7/16 ועד היום ואולם מתקופת הנכוי כאמור , לא ינוכו ימי המאסר עקב עבודות שרות שהופקעו ע"י הממונה מ</w:t>
      </w:r>
      <w:hyperlink r:id="rId23" w:history="1">
        <w:r w:rsidR="00B80CC7" w:rsidRPr="00B80CC7">
          <w:rPr>
            <w:color w:val="0000FF"/>
            <w:u w:val="single"/>
            <w:rtl/>
          </w:rPr>
          <w:t>פ"ל  6589-10-14</w:t>
        </w:r>
      </w:hyperlink>
      <w:r>
        <w:rPr>
          <w:rFonts w:hint="cs"/>
          <w:rtl/>
        </w:rPr>
        <w:t xml:space="preserve">  ( הודעת הממונה בדבר הפקעה - תיקית תיקי ניר- 16/7/16).</w:t>
      </w:r>
    </w:p>
    <w:p w14:paraId="27181040" w14:textId="77777777" w:rsidR="00180836" w:rsidRDefault="00180836" w:rsidP="00180836">
      <w:pPr>
        <w:numPr>
          <w:ilvl w:val="0"/>
          <w:numId w:val="2"/>
        </w:numPr>
        <w:spacing w:line="360" w:lineRule="auto"/>
        <w:rPr>
          <w:rtl/>
        </w:rPr>
      </w:pPr>
      <w:r>
        <w:rPr>
          <w:rFonts w:hint="cs"/>
          <w:rtl/>
        </w:rPr>
        <w:t xml:space="preserve">10 חודשים מאסר על תנאי למשך 3 שנים שלא יעבור עבירת סמים מסוג פשע. </w:t>
      </w:r>
    </w:p>
    <w:p w14:paraId="61341FD2" w14:textId="77777777" w:rsidR="00180836" w:rsidRDefault="00180836" w:rsidP="00180836">
      <w:pPr>
        <w:numPr>
          <w:ilvl w:val="0"/>
          <w:numId w:val="2"/>
        </w:numPr>
        <w:spacing w:line="360" w:lineRule="auto"/>
      </w:pPr>
      <w:r>
        <w:rPr>
          <w:rFonts w:hint="cs"/>
          <w:rtl/>
        </w:rPr>
        <w:t xml:space="preserve">הנני פוסלת את הנאשם מלקבל או מלהחזיק רישיון נהיגה לתקופה של 8   חודשים וזאת על תנאי למשך 3  שנים מיום השחרור, שלא יעבור עבירות על </w:t>
      </w:r>
      <w:hyperlink r:id="rId24" w:history="1">
        <w:r w:rsidR="00B80CC7" w:rsidRPr="00B80CC7">
          <w:rPr>
            <w:color w:val="0000FF"/>
            <w:u w:val="single"/>
            <w:rtl/>
          </w:rPr>
          <w:t>פקודת הסמים המסוכנים</w:t>
        </w:r>
      </w:hyperlink>
      <w:r>
        <w:rPr>
          <w:rFonts w:hint="cs"/>
          <w:rtl/>
        </w:rPr>
        <w:t>.</w:t>
      </w:r>
    </w:p>
    <w:p w14:paraId="27B59A73" w14:textId="77777777" w:rsidR="00180836" w:rsidRDefault="00180836" w:rsidP="00180836">
      <w:pPr>
        <w:numPr>
          <w:ilvl w:val="0"/>
          <w:numId w:val="2"/>
        </w:numPr>
        <w:spacing w:line="360" w:lineRule="auto"/>
      </w:pPr>
      <w:r>
        <w:rPr>
          <w:rFonts w:hint="cs"/>
          <w:rtl/>
        </w:rPr>
        <w:t>קנס כספי בסך של 2500 ₪ או 2 חודשי מאסר תמורתו. הקנס ישולם ב10 תשלומים חודשיים שוים ורצופים מיום 1/1/18.</w:t>
      </w:r>
    </w:p>
    <w:p w14:paraId="7CF2FB79" w14:textId="77777777" w:rsidR="00180836" w:rsidRDefault="00180836" w:rsidP="00180836">
      <w:pPr>
        <w:numPr>
          <w:ilvl w:val="0"/>
          <w:numId w:val="2"/>
        </w:numPr>
        <w:spacing w:line="360" w:lineRule="auto"/>
      </w:pPr>
      <w:r>
        <w:rPr>
          <w:rFonts w:hint="cs"/>
          <w:rtl/>
        </w:rPr>
        <w:t>הסם יושמד. מוצגים אחרים , ככל שבהסכמת צדדים, יושבו לבעליהם.</w:t>
      </w:r>
    </w:p>
    <w:p w14:paraId="10A65F06" w14:textId="77777777" w:rsidR="00180836" w:rsidRPr="007A54BB" w:rsidRDefault="00180836" w:rsidP="00180836">
      <w:pPr>
        <w:spacing w:line="360" w:lineRule="auto"/>
        <w:ind w:left="1080"/>
        <w:rPr>
          <w:rtl/>
        </w:rPr>
      </w:pPr>
    </w:p>
    <w:p w14:paraId="59982BA4" w14:textId="77777777" w:rsidR="00180836" w:rsidRDefault="00180836" w:rsidP="00180836">
      <w:pPr>
        <w:spacing w:line="360" w:lineRule="auto"/>
        <w:ind w:left="1080"/>
        <w:rPr>
          <w:sz w:val="6"/>
          <w:szCs w:val="6"/>
        </w:rPr>
      </w:pPr>
      <w:r>
        <w:rPr>
          <w:sz w:val="6"/>
          <w:szCs w:val="6"/>
          <w:rtl/>
        </w:rPr>
        <w:t>&lt;#3#&gt;</w:t>
      </w:r>
    </w:p>
    <w:p w14:paraId="3DCF10D7" w14:textId="77777777" w:rsidR="00180836" w:rsidRDefault="00180836" w:rsidP="00180836">
      <w:pPr>
        <w:jc w:val="right"/>
        <w:rPr>
          <w:rtl/>
        </w:rPr>
      </w:pPr>
    </w:p>
    <w:p w14:paraId="4BC5CEEA" w14:textId="77777777" w:rsidR="00180836" w:rsidRDefault="00B80CC7" w:rsidP="00180836">
      <w:pPr>
        <w:jc w:val="center"/>
        <w:rPr>
          <w:rtl/>
        </w:rPr>
      </w:pPr>
      <w:r>
        <w:rPr>
          <w:b/>
          <w:bCs/>
          <w:rtl/>
        </w:rPr>
        <w:t xml:space="preserve">ניתנה והודעה היום י"ח תמוז תשע"ו, 24/07/2016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80836" w14:paraId="364E21E6" w14:textId="77777777">
        <w:trPr>
          <w:trHeight w:val="316"/>
          <w:jc w:val="right"/>
        </w:trPr>
        <w:tc>
          <w:tcPr>
            <w:tcW w:w="3936" w:type="dxa"/>
            <w:shd w:val="clear" w:color="auto" w:fill="auto"/>
          </w:tcPr>
          <w:p w14:paraId="7E9FB36E" w14:textId="77777777" w:rsidR="00180836" w:rsidRPr="00D2325E" w:rsidRDefault="00180836" w:rsidP="00B80CC7">
            <w:pPr>
              <w:jc w:val="center"/>
              <w:rPr>
                <w:rFonts w:ascii="Times New Roman" w:eastAsia="Times New Roman" w:hAnsi="Times New Roman" w:cs="Times New Roman"/>
              </w:rPr>
            </w:pPr>
          </w:p>
          <w:p w14:paraId="4FB38DA7" w14:textId="77777777" w:rsidR="00180836" w:rsidRPr="00D2325E" w:rsidRDefault="00180836" w:rsidP="00B80CC7">
            <w:pPr>
              <w:jc w:val="center"/>
              <w:rPr>
                <w:rFonts w:ascii="Times New Roman" w:eastAsia="Times New Roman" w:hAnsi="Times New Roman" w:cs="Times New Roman"/>
                <w:rtl/>
              </w:rPr>
            </w:pPr>
          </w:p>
        </w:tc>
      </w:tr>
      <w:tr w:rsidR="00180836" w14:paraId="72C7E1B2" w14:textId="77777777">
        <w:trPr>
          <w:trHeight w:val="361"/>
          <w:jc w:val="right"/>
        </w:trPr>
        <w:tc>
          <w:tcPr>
            <w:tcW w:w="3936" w:type="dxa"/>
            <w:shd w:val="clear" w:color="auto" w:fill="auto"/>
          </w:tcPr>
          <w:p w14:paraId="6E775369" w14:textId="77777777" w:rsidR="00180836" w:rsidRPr="00D2325E" w:rsidRDefault="00180836" w:rsidP="00B80CC7">
            <w:pPr>
              <w:jc w:val="center"/>
              <w:rPr>
                <w:rFonts w:ascii="Times New Roman" w:eastAsia="Times New Roman" w:hAnsi="Times New Roman"/>
                <w:b/>
                <w:bCs/>
                <w:rtl/>
              </w:rPr>
            </w:pPr>
            <w:r w:rsidRPr="00D2325E">
              <w:rPr>
                <w:rFonts w:ascii="Times New Roman" w:eastAsia="Times New Roman" w:hAnsi="Times New Roman" w:hint="cs"/>
                <w:b/>
                <w:bCs/>
                <w:rtl/>
              </w:rPr>
              <w:t>דינה כהן</w:t>
            </w:r>
            <w:r w:rsidRPr="00D2325E">
              <w:rPr>
                <w:rFonts w:ascii="Times New Roman" w:eastAsia="Times New Roman" w:hAnsi="Times New Roman"/>
                <w:b/>
                <w:bCs/>
                <w:rtl/>
              </w:rPr>
              <w:t xml:space="preserve"> </w:t>
            </w:r>
            <w:r w:rsidRPr="00D2325E">
              <w:rPr>
                <w:rFonts w:ascii="Times New Roman" w:eastAsia="Times New Roman" w:hAnsi="Times New Roman" w:hint="cs"/>
                <w:b/>
                <w:bCs/>
                <w:rtl/>
              </w:rPr>
              <w:t>, שופטת בכירה</w:t>
            </w:r>
            <w:r w:rsidRPr="00D2325E">
              <w:rPr>
                <w:rFonts w:ascii="Times New Roman" w:eastAsia="Times New Roman" w:hAnsi="Times New Roman"/>
                <w:b/>
                <w:bCs/>
                <w:rtl/>
              </w:rPr>
              <w:t xml:space="preserve"> </w:t>
            </w:r>
          </w:p>
        </w:tc>
      </w:tr>
    </w:tbl>
    <w:p w14:paraId="792A61EC" w14:textId="77777777" w:rsidR="00180836" w:rsidRDefault="00180836" w:rsidP="00180836">
      <w:pPr>
        <w:jc w:val="right"/>
        <w:rPr>
          <w:rtl/>
        </w:rPr>
      </w:pPr>
    </w:p>
    <w:p w14:paraId="69FB891A" w14:textId="77777777" w:rsidR="00180836" w:rsidRDefault="00180836" w:rsidP="00180836">
      <w:pPr>
        <w:jc w:val="both"/>
        <w:rPr>
          <w:rtl/>
        </w:rPr>
      </w:pPr>
    </w:p>
    <w:p w14:paraId="71C799B6" w14:textId="77777777" w:rsidR="00180836" w:rsidRDefault="00180836" w:rsidP="00180836">
      <w:pPr>
        <w:spacing w:line="360" w:lineRule="auto"/>
        <w:ind w:left="1080"/>
        <w:jc w:val="center"/>
        <w:rPr>
          <w:rtl/>
        </w:rPr>
      </w:pPr>
    </w:p>
    <w:p w14:paraId="1160D135" w14:textId="77777777" w:rsidR="00180836" w:rsidRPr="00B80CC7" w:rsidRDefault="00B80CC7" w:rsidP="00180836">
      <w:pPr>
        <w:spacing w:line="360" w:lineRule="auto"/>
        <w:ind w:left="1080"/>
        <w:jc w:val="both"/>
        <w:rPr>
          <w:color w:val="FFFFFF"/>
          <w:sz w:val="2"/>
          <w:szCs w:val="2"/>
        </w:rPr>
      </w:pPr>
      <w:r w:rsidRPr="00B80CC7">
        <w:rPr>
          <w:color w:val="FFFFFF"/>
          <w:sz w:val="2"/>
          <w:szCs w:val="2"/>
          <w:rtl/>
        </w:rPr>
        <w:t>5129371</w:t>
      </w:r>
      <w:r w:rsidR="00180836" w:rsidRPr="00B80CC7">
        <w:rPr>
          <w:color w:val="FFFFFF"/>
          <w:sz w:val="2"/>
          <w:szCs w:val="2"/>
          <w:rtl/>
        </w:rPr>
        <w:t xml:space="preserve"> </w:t>
      </w:r>
    </w:p>
    <w:p w14:paraId="4A469BEB" w14:textId="77777777" w:rsidR="00180836" w:rsidRPr="00B80CC7" w:rsidRDefault="00B80CC7" w:rsidP="00180836">
      <w:pPr>
        <w:spacing w:line="360" w:lineRule="auto"/>
        <w:ind w:left="1080"/>
        <w:rPr>
          <w:color w:val="FFFFFF"/>
          <w:sz w:val="2"/>
          <w:szCs w:val="2"/>
        </w:rPr>
      </w:pPr>
      <w:r w:rsidRPr="00B80CC7">
        <w:rPr>
          <w:color w:val="FFFFFF"/>
          <w:sz w:val="2"/>
          <w:szCs w:val="2"/>
          <w:rtl/>
        </w:rPr>
        <w:t>54678313</w:t>
      </w:r>
    </w:p>
    <w:p w14:paraId="11D87305" w14:textId="77777777" w:rsidR="00180836" w:rsidRDefault="00180836" w:rsidP="00180836"/>
    <w:p w14:paraId="37C148D4" w14:textId="77777777" w:rsidR="00180836" w:rsidRPr="00933FF9" w:rsidRDefault="00180836" w:rsidP="00180836">
      <w:pPr>
        <w:spacing w:line="360" w:lineRule="auto"/>
        <w:jc w:val="both"/>
      </w:pPr>
    </w:p>
    <w:p w14:paraId="0D13C7D5" w14:textId="77777777" w:rsidR="00180836" w:rsidRPr="009D0609" w:rsidRDefault="00180836" w:rsidP="00180836">
      <w:pPr>
        <w:spacing w:line="360" w:lineRule="auto"/>
        <w:jc w:val="both"/>
        <w:rPr>
          <w:rtl/>
        </w:rPr>
      </w:pPr>
      <w:r>
        <w:rPr>
          <w:rtl/>
        </w:rPr>
        <w:t xml:space="preserve">  </w:t>
      </w:r>
    </w:p>
    <w:p w14:paraId="4AE5EF8D" w14:textId="77777777" w:rsidR="00180836" w:rsidRDefault="00180836" w:rsidP="00180836">
      <w:r>
        <w:rPr>
          <w:rtl/>
        </w:rPr>
        <w:t>הוקלד</w:t>
      </w:r>
      <w:r>
        <w:t xml:space="preserve"> </w:t>
      </w:r>
      <w:r>
        <w:rPr>
          <w:rtl/>
        </w:rPr>
        <w:t>על</w:t>
      </w:r>
      <w:r>
        <w:t xml:space="preserve"> </w:t>
      </w:r>
      <w:r>
        <w:rPr>
          <w:rtl/>
        </w:rPr>
        <w:t>ידי</w:t>
      </w:r>
      <w:r>
        <w:t xml:space="preserve"> </w:t>
      </w:r>
      <w:r>
        <w:rPr>
          <w:rtl/>
        </w:rPr>
        <w:t>אורן</w:t>
      </w:r>
      <w:r>
        <w:t xml:space="preserve"> </w:t>
      </w:r>
      <w:r>
        <w:rPr>
          <w:rtl/>
        </w:rPr>
        <w:t>חלפון</w:t>
      </w:r>
    </w:p>
    <w:p w14:paraId="7223BE66" w14:textId="77777777" w:rsidR="00B80CC7" w:rsidRPr="00B80CC7" w:rsidRDefault="00B80CC7" w:rsidP="00B80CC7">
      <w:pPr>
        <w:keepNext/>
        <w:rPr>
          <w:color w:val="000000"/>
          <w:sz w:val="22"/>
          <w:szCs w:val="22"/>
          <w:rtl/>
        </w:rPr>
      </w:pPr>
    </w:p>
    <w:p w14:paraId="604C4883" w14:textId="77777777" w:rsidR="00B80CC7" w:rsidRPr="00B80CC7" w:rsidRDefault="00B80CC7" w:rsidP="00B80CC7">
      <w:pPr>
        <w:keepNext/>
        <w:rPr>
          <w:color w:val="000000"/>
          <w:sz w:val="22"/>
          <w:szCs w:val="22"/>
          <w:rtl/>
        </w:rPr>
      </w:pPr>
      <w:r w:rsidRPr="00B80CC7">
        <w:rPr>
          <w:color w:val="000000"/>
          <w:sz w:val="22"/>
          <w:szCs w:val="22"/>
          <w:rtl/>
        </w:rPr>
        <w:t>דינה כהן 54678313</w:t>
      </w:r>
    </w:p>
    <w:p w14:paraId="6986B45C" w14:textId="77777777" w:rsidR="00B80CC7" w:rsidRDefault="00B80CC7" w:rsidP="00B80CC7">
      <w:r w:rsidRPr="00B80CC7">
        <w:rPr>
          <w:color w:val="000000"/>
          <w:rtl/>
        </w:rPr>
        <w:t>נוסח מסמך זה כפוף לשינויי ניסוח ועריכה</w:t>
      </w:r>
    </w:p>
    <w:p w14:paraId="6FC22767" w14:textId="77777777" w:rsidR="00B80CC7" w:rsidRDefault="00B80CC7" w:rsidP="00B80CC7">
      <w:pPr>
        <w:rPr>
          <w:rtl/>
        </w:rPr>
      </w:pPr>
    </w:p>
    <w:p w14:paraId="066E8F89" w14:textId="77777777" w:rsidR="00B80CC7" w:rsidRDefault="00B80CC7" w:rsidP="00B80CC7">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5A852AA6" w14:textId="77777777" w:rsidR="00B1215F" w:rsidRDefault="00B1215F" w:rsidP="00B80CC7">
      <w:pPr>
        <w:jc w:val="center"/>
        <w:rPr>
          <w:rFonts w:hint="cs"/>
          <w:color w:val="0000FF"/>
          <w:u w:val="single"/>
          <w:rtl/>
        </w:rPr>
      </w:pPr>
    </w:p>
    <w:p w14:paraId="41C1FEC4" w14:textId="77777777" w:rsidR="00C87DE6" w:rsidRPr="00B80CC7" w:rsidRDefault="00C87DE6" w:rsidP="00B80CC7">
      <w:pPr>
        <w:jc w:val="center"/>
        <w:rPr>
          <w:color w:val="0000FF"/>
          <w:u w:val="single"/>
        </w:rPr>
      </w:pPr>
    </w:p>
    <w:sectPr w:rsidR="00C87DE6" w:rsidRPr="00B80CC7" w:rsidSect="00B80CC7">
      <w:headerReference w:type="even" r:id="rId26"/>
      <w:headerReference w:type="default" r:id="rId27"/>
      <w:footerReference w:type="even" r:id="rId28"/>
      <w:footerReference w:type="default" r:id="rId29"/>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1FD45" w14:textId="77777777" w:rsidR="004D3B7E" w:rsidRDefault="004D3B7E">
      <w:r>
        <w:separator/>
      </w:r>
    </w:p>
  </w:endnote>
  <w:endnote w:type="continuationSeparator" w:id="0">
    <w:p w14:paraId="6E59FA9E" w14:textId="77777777" w:rsidR="004D3B7E" w:rsidRDefault="004D3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FA42D" w14:textId="77777777" w:rsidR="00B80CC7" w:rsidRDefault="00B80CC7" w:rsidP="00B80C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34</w:t>
    </w:r>
    <w:r>
      <w:rPr>
        <w:rFonts w:ascii="FrankRuehl" w:hAnsi="FrankRuehl" w:cs="FrankRuehl"/>
        <w:rtl/>
      </w:rPr>
      <w:fldChar w:fldCharType="end"/>
    </w:r>
  </w:p>
  <w:p w14:paraId="658A1EC6" w14:textId="77777777" w:rsidR="00B80CC7" w:rsidRPr="00B80CC7" w:rsidRDefault="00B80CC7" w:rsidP="00B80CC7">
    <w:pPr>
      <w:pStyle w:val="a5"/>
      <w:pBdr>
        <w:top w:val="single" w:sz="4" w:space="1" w:color="auto"/>
        <w:between w:val="single" w:sz="4" w:space="0" w:color="auto"/>
      </w:pBdr>
      <w:spacing w:after="60"/>
      <w:jc w:val="center"/>
      <w:rPr>
        <w:rFonts w:ascii="FrankRuehl" w:hAnsi="FrankRuehl" w:cs="FrankRuehl"/>
        <w:color w:val="000000"/>
      </w:rPr>
    </w:pPr>
    <w:r w:rsidRPr="00B80C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84A422" w14:textId="77777777" w:rsidR="00B80CC7" w:rsidRDefault="00B80CC7" w:rsidP="00B80CC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508BD">
      <w:rPr>
        <w:rFonts w:ascii="FrankRuehl" w:hAnsi="FrankRuehl" w:cs="FrankRuehl"/>
        <w:noProof/>
        <w:rtl/>
      </w:rPr>
      <w:t>1</w:t>
    </w:r>
    <w:r>
      <w:rPr>
        <w:rFonts w:ascii="FrankRuehl" w:hAnsi="FrankRuehl" w:cs="FrankRuehl"/>
        <w:rtl/>
      </w:rPr>
      <w:fldChar w:fldCharType="end"/>
    </w:r>
  </w:p>
  <w:p w14:paraId="21998465" w14:textId="77777777" w:rsidR="00B80CC7" w:rsidRPr="00B80CC7" w:rsidRDefault="00B80CC7" w:rsidP="00B80CC7">
    <w:pPr>
      <w:pStyle w:val="a5"/>
      <w:pBdr>
        <w:top w:val="single" w:sz="4" w:space="1" w:color="auto"/>
        <w:between w:val="single" w:sz="4" w:space="0" w:color="auto"/>
      </w:pBdr>
      <w:spacing w:after="60"/>
      <w:jc w:val="center"/>
      <w:rPr>
        <w:rFonts w:ascii="FrankRuehl" w:hAnsi="FrankRuehl" w:cs="FrankRuehl"/>
        <w:color w:val="000000"/>
      </w:rPr>
    </w:pPr>
    <w:r w:rsidRPr="00B80CC7">
      <w:rPr>
        <w:rFonts w:ascii="FrankRuehl" w:hAnsi="FrankRuehl" w:cs="FrankRuehl"/>
        <w:color w:val="000000"/>
      </w:rPr>
      <w:pict w14:anchorId="063E9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6511A" w14:textId="77777777" w:rsidR="004D3B7E" w:rsidRDefault="004D3B7E">
      <w:r>
        <w:separator/>
      </w:r>
    </w:p>
  </w:footnote>
  <w:footnote w:type="continuationSeparator" w:id="0">
    <w:p w14:paraId="53437DD2" w14:textId="77777777" w:rsidR="004D3B7E" w:rsidRDefault="004D3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8004D" w14:textId="77777777" w:rsidR="00B80CC7" w:rsidRPr="00B80CC7" w:rsidRDefault="00B80CC7" w:rsidP="00B80CC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7906-06-15</w:t>
    </w:r>
    <w:r>
      <w:rPr>
        <w:color w:val="000000"/>
        <w:sz w:val="22"/>
        <w:szCs w:val="22"/>
        <w:rtl/>
      </w:rPr>
      <w:tab/>
      <w:t xml:space="preserve"> מדינת ישראל נ' מימון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5BC4F" w14:textId="77777777" w:rsidR="00B80CC7" w:rsidRPr="00B80CC7" w:rsidRDefault="00B80CC7" w:rsidP="00B80CC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(אש') 7906-06-15</w:t>
    </w:r>
    <w:r>
      <w:rPr>
        <w:color w:val="000000"/>
        <w:sz w:val="22"/>
        <w:szCs w:val="22"/>
        <w:rtl/>
      </w:rPr>
      <w:tab/>
      <w:t xml:space="preserve"> מדינת ישראל נ' מימון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C7169"/>
    <w:multiLevelType w:val="hybridMultilevel"/>
    <w:tmpl w:val="29B2E438"/>
    <w:lvl w:ilvl="0" w:tplc="70DC4C8C">
      <w:start w:val="1"/>
      <w:numFmt w:val="decimal"/>
      <w:lvlText w:val="%1."/>
      <w:lvlJc w:val="left"/>
      <w:pPr>
        <w:tabs>
          <w:tab w:val="num" w:pos="1080"/>
        </w:tabs>
        <w:ind w:left="1080" w:hanging="720"/>
      </w:pPr>
    </w:lvl>
    <w:lvl w:ilvl="1" w:tplc="040D0019">
      <w:start w:val="1"/>
      <w:numFmt w:val="lowerLetter"/>
      <w:lvlText w:val="%2."/>
      <w:lvlJc w:val="left"/>
      <w:pPr>
        <w:tabs>
          <w:tab w:val="num" w:pos="1440"/>
        </w:tabs>
        <w:ind w:left="1440" w:hanging="360"/>
      </w:pPr>
    </w:lvl>
    <w:lvl w:ilvl="2" w:tplc="040D001B">
      <w:start w:val="1"/>
      <w:numFmt w:val="lowerRoman"/>
      <w:lvlText w:val="%3."/>
      <w:lvlJc w:val="right"/>
      <w:pPr>
        <w:tabs>
          <w:tab w:val="num" w:pos="2160"/>
        </w:tabs>
        <w:ind w:left="2160" w:hanging="180"/>
      </w:pPr>
    </w:lvl>
    <w:lvl w:ilvl="3" w:tplc="040D000F">
      <w:start w:val="1"/>
      <w:numFmt w:val="decimal"/>
      <w:lvlText w:val="%4."/>
      <w:lvlJc w:val="left"/>
      <w:pPr>
        <w:tabs>
          <w:tab w:val="num" w:pos="2880"/>
        </w:tabs>
        <w:ind w:left="2880" w:hanging="360"/>
      </w:pPr>
    </w:lvl>
    <w:lvl w:ilvl="4" w:tplc="040D0019">
      <w:start w:val="1"/>
      <w:numFmt w:val="lowerLetter"/>
      <w:lvlText w:val="%5."/>
      <w:lvlJc w:val="left"/>
      <w:pPr>
        <w:tabs>
          <w:tab w:val="num" w:pos="3600"/>
        </w:tabs>
        <w:ind w:left="3600" w:hanging="360"/>
      </w:pPr>
    </w:lvl>
    <w:lvl w:ilvl="5" w:tplc="040D001B">
      <w:start w:val="1"/>
      <w:numFmt w:val="lowerRoman"/>
      <w:lvlText w:val="%6."/>
      <w:lvlJc w:val="right"/>
      <w:pPr>
        <w:tabs>
          <w:tab w:val="num" w:pos="4320"/>
        </w:tabs>
        <w:ind w:left="4320" w:hanging="180"/>
      </w:pPr>
    </w:lvl>
    <w:lvl w:ilvl="6" w:tplc="040D000F">
      <w:start w:val="1"/>
      <w:numFmt w:val="decimal"/>
      <w:lvlText w:val="%7."/>
      <w:lvlJc w:val="left"/>
      <w:pPr>
        <w:tabs>
          <w:tab w:val="num" w:pos="5040"/>
        </w:tabs>
        <w:ind w:left="5040" w:hanging="360"/>
      </w:pPr>
    </w:lvl>
    <w:lvl w:ilvl="7" w:tplc="040D0019">
      <w:start w:val="1"/>
      <w:numFmt w:val="lowerLetter"/>
      <w:lvlText w:val="%8."/>
      <w:lvlJc w:val="left"/>
      <w:pPr>
        <w:tabs>
          <w:tab w:val="num" w:pos="5760"/>
        </w:tabs>
        <w:ind w:left="5760" w:hanging="360"/>
      </w:pPr>
    </w:lvl>
    <w:lvl w:ilvl="8" w:tplc="040D001B">
      <w:start w:val="1"/>
      <w:numFmt w:val="lowerRoman"/>
      <w:lvlText w:val="%9."/>
      <w:lvlJc w:val="right"/>
      <w:pPr>
        <w:tabs>
          <w:tab w:val="num" w:pos="6480"/>
        </w:tabs>
        <w:ind w:left="6480" w:hanging="180"/>
      </w:pPr>
    </w:lvl>
  </w:abstractNum>
  <w:abstractNum w:abstractNumId="1" w15:restartNumberingAfterBreak="0">
    <w:nsid w:val="32AD6411"/>
    <w:multiLevelType w:val="hybridMultilevel"/>
    <w:tmpl w:val="EF669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49746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34159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0836"/>
    <w:rsid w:val="00174FB2"/>
    <w:rsid w:val="00180836"/>
    <w:rsid w:val="00195A9B"/>
    <w:rsid w:val="003742E5"/>
    <w:rsid w:val="003C5581"/>
    <w:rsid w:val="00434CBB"/>
    <w:rsid w:val="004D3B7E"/>
    <w:rsid w:val="005508BD"/>
    <w:rsid w:val="005F7E86"/>
    <w:rsid w:val="0069365E"/>
    <w:rsid w:val="008255EE"/>
    <w:rsid w:val="00B1215F"/>
    <w:rsid w:val="00B80CC7"/>
    <w:rsid w:val="00C87DE6"/>
    <w:rsid w:val="00DE43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3C0E69E"/>
  <w15:chartTrackingRefBased/>
  <w15:docId w15:val="{3886B271-2838-49BB-9F3B-12FB8B52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083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80836"/>
  </w:style>
  <w:style w:type="paragraph" w:styleId="a4">
    <w:name w:val="header"/>
    <w:basedOn w:val="a"/>
    <w:rsid w:val="00180836"/>
    <w:pPr>
      <w:tabs>
        <w:tab w:val="center" w:pos="4153"/>
        <w:tab w:val="right" w:pos="8306"/>
      </w:tabs>
    </w:pPr>
  </w:style>
  <w:style w:type="paragraph" w:styleId="a5">
    <w:name w:val="footer"/>
    <w:basedOn w:val="a"/>
    <w:rsid w:val="00180836"/>
    <w:pPr>
      <w:tabs>
        <w:tab w:val="center" w:pos="4153"/>
        <w:tab w:val="right" w:pos="8306"/>
      </w:tabs>
    </w:pPr>
  </w:style>
  <w:style w:type="character" w:styleId="a6">
    <w:name w:val="page number"/>
    <w:basedOn w:val="a0"/>
    <w:rsid w:val="00180836"/>
  </w:style>
  <w:style w:type="paragraph" w:customStyle="1" w:styleId="12">
    <w:name w:val="רגיל + ‏12 נק'"/>
    <w:aliases w:val="מיושר לשני הצדדים,מרווח בין שורות:  שורה וחצי"/>
    <w:basedOn w:val="a"/>
    <w:rsid w:val="00180836"/>
    <w:rPr>
      <w:rFonts w:ascii="Times New Roman" w:eastAsia="Times New Roman" w:hAnsi="Times New Roman"/>
      <w:b/>
      <w:bCs/>
      <w:u w:val="single"/>
    </w:rPr>
  </w:style>
  <w:style w:type="paragraph" w:customStyle="1" w:styleId="ListParagraph">
    <w:name w:val="List Paragraph"/>
    <w:basedOn w:val="a"/>
    <w:rsid w:val="00180836"/>
    <w:pPr>
      <w:ind w:left="720"/>
      <w:contextualSpacing/>
    </w:pPr>
    <w:rPr>
      <w:rFonts w:ascii="Times New Roman" w:eastAsia="Times New Roman" w:hAnsi="Times New Roman"/>
    </w:rPr>
  </w:style>
  <w:style w:type="character" w:styleId="Hyperlink">
    <w:name w:val="Hyperlink"/>
    <w:rsid w:val="00B80C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20482530"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0195287"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1245608"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11280470" TargetMode="External"/><Relationship Id="rId20" Type="http://schemas.openxmlformats.org/officeDocument/2006/relationships/hyperlink" Target="http://www.nevo.co.il/case/20971268"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case/13022249" TargetMode="External"/><Relationship Id="rId23" Type="http://schemas.openxmlformats.org/officeDocument/2006/relationships/hyperlink" Target="http://www.nevo.co.il/case/20195287"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case/17011278"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443128" TargetMode="External"/><Relationship Id="rId22" Type="http://schemas.openxmlformats.org/officeDocument/2006/relationships/hyperlink" Target="http://www.nevo.co.il/case/2045974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1860</Words>
  <Characters>9302</Characters>
  <Application>Microsoft Office Word</Application>
  <DocSecurity>0</DocSecurity>
  <Lines>77</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11140</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4063359</vt:i4>
      </vt:variant>
      <vt:variant>
        <vt:i4>48</vt:i4>
      </vt:variant>
      <vt:variant>
        <vt:i4>0</vt:i4>
      </vt:variant>
      <vt:variant>
        <vt:i4>5</vt:i4>
      </vt:variant>
      <vt:variant>
        <vt:lpwstr>http://www.nevo.co.il/case/20195287</vt:lpwstr>
      </vt:variant>
      <vt:variant>
        <vt:lpwstr/>
      </vt:variant>
      <vt:variant>
        <vt:i4>3866742</vt:i4>
      </vt:variant>
      <vt:variant>
        <vt:i4>45</vt:i4>
      </vt:variant>
      <vt:variant>
        <vt:i4>0</vt:i4>
      </vt:variant>
      <vt:variant>
        <vt:i4>5</vt:i4>
      </vt:variant>
      <vt:variant>
        <vt:lpwstr>http://www.nevo.co.il/case/20459746</vt:lpwstr>
      </vt:variant>
      <vt:variant>
        <vt:lpwstr/>
      </vt:variant>
      <vt:variant>
        <vt:i4>4063359</vt:i4>
      </vt:variant>
      <vt:variant>
        <vt:i4>42</vt:i4>
      </vt:variant>
      <vt:variant>
        <vt:i4>0</vt:i4>
      </vt:variant>
      <vt:variant>
        <vt:i4>5</vt:i4>
      </vt:variant>
      <vt:variant>
        <vt:lpwstr>http://www.nevo.co.il/case/20195287</vt:lpwstr>
      </vt:variant>
      <vt:variant>
        <vt:lpwstr/>
      </vt:variant>
      <vt:variant>
        <vt:i4>3932273</vt:i4>
      </vt:variant>
      <vt:variant>
        <vt:i4>39</vt:i4>
      </vt:variant>
      <vt:variant>
        <vt:i4>0</vt:i4>
      </vt:variant>
      <vt:variant>
        <vt:i4>5</vt:i4>
      </vt:variant>
      <vt:variant>
        <vt:lpwstr>http://www.nevo.co.il/case/20971268</vt:lpwstr>
      </vt:variant>
      <vt:variant>
        <vt:lpwstr/>
      </vt:variant>
      <vt:variant>
        <vt:i4>3604592</vt:i4>
      </vt:variant>
      <vt:variant>
        <vt:i4>36</vt:i4>
      </vt:variant>
      <vt:variant>
        <vt:i4>0</vt:i4>
      </vt:variant>
      <vt:variant>
        <vt:i4>5</vt:i4>
      </vt:variant>
      <vt:variant>
        <vt:lpwstr>http://www.nevo.co.il/case/17011278</vt:lpwstr>
      </vt:variant>
      <vt:variant>
        <vt:lpwstr/>
      </vt:variant>
      <vt:variant>
        <vt:i4>3604601</vt:i4>
      </vt:variant>
      <vt:variant>
        <vt:i4>33</vt:i4>
      </vt:variant>
      <vt:variant>
        <vt:i4>0</vt:i4>
      </vt:variant>
      <vt:variant>
        <vt:i4>5</vt:i4>
      </vt:variant>
      <vt:variant>
        <vt:lpwstr>http://www.nevo.co.il/case/20482530</vt:lpwstr>
      </vt:variant>
      <vt:variant>
        <vt:lpwstr/>
      </vt:variant>
      <vt:variant>
        <vt:i4>3539063</vt:i4>
      </vt:variant>
      <vt:variant>
        <vt:i4>30</vt:i4>
      </vt:variant>
      <vt:variant>
        <vt:i4>0</vt:i4>
      </vt:variant>
      <vt:variant>
        <vt:i4>5</vt:i4>
      </vt:variant>
      <vt:variant>
        <vt:lpwstr>http://www.nevo.co.il/case/11245608</vt:lpwstr>
      </vt:variant>
      <vt:variant>
        <vt:lpwstr/>
      </vt:variant>
      <vt:variant>
        <vt:i4>3407993</vt:i4>
      </vt:variant>
      <vt:variant>
        <vt:i4>27</vt:i4>
      </vt:variant>
      <vt:variant>
        <vt:i4>0</vt:i4>
      </vt:variant>
      <vt:variant>
        <vt:i4>5</vt:i4>
      </vt:variant>
      <vt:variant>
        <vt:lpwstr>http://www.nevo.co.il/case/11280470</vt:lpwstr>
      </vt:variant>
      <vt:variant>
        <vt:lpwstr/>
      </vt:variant>
      <vt:variant>
        <vt:i4>3604599</vt:i4>
      </vt:variant>
      <vt:variant>
        <vt:i4>24</vt:i4>
      </vt:variant>
      <vt:variant>
        <vt:i4>0</vt:i4>
      </vt:variant>
      <vt:variant>
        <vt:i4>5</vt:i4>
      </vt:variant>
      <vt:variant>
        <vt:lpwstr>http://www.nevo.co.il/case/13022249</vt:lpwstr>
      </vt:variant>
      <vt:variant>
        <vt:lpwstr/>
      </vt:variant>
      <vt:variant>
        <vt:i4>3604593</vt:i4>
      </vt:variant>
      <vt:variant>
        <vt:i4>21</vt:i4>
      </vt:variant>
      <vt:variant>
        <vt:i4>0</vt:i4>
      </vt:variant>
      <vt:variant>
        <vt:i4>5</vt:i4>
      </vt:variant>
      <vt:variant>
        <vt:lpwstr>http://www.nevo.co.il/case/20443128</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2025-04-22T22:45:00Z</dcterms:created>
  <dcterms:modified xsi:type="dcterms:W3CDTF">2025-04-22T22:45:00Z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7906</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מימון בוזגלו</vt:lpwstr>
  </property>
  <property fmtid="{D5CDD505-2E9C-101B-9397-08002B2CF9AE}" pid="10" name="LAWYER">
    <vt:lpwstr>המתמחה טל הרוש;מובא ממעצר;אוחנה</vt:lpwstr>
  </property>
  <property fmtid="{D5CDD505-2E9C-101B-9397-08002B2CF9AE}" pid="11" name="JUDGE">
    <vt:lpwstr>דינה כהן</vt:lpwstr>
  </property>
  <property fmtid="{D5CDD505-2E9C-101B-9397-08002B2CF9AE}" pid="12" name="CITY">
    <vt:lpwstr>אש'</vt:lpwstr>
  </property>
  <property fmtid="{D5CDD505-2E9C-101B-9397-08002B2CF9AE}" pid="13" name="DATE">
    <vt:lpwstr>20160724</vt:lpwstr>
  </property>
  <property fmtid="{D5CDD505-2E9C-101B-9397-08002B2CF9AE}" pid="14" name="TYPE_N_DATE">
    <vt:lpwstr>38020160724</vt:lpwstr>
  </property>
  <property fmtid="{D5CDD505-2E9C-101B-9397-08002B2CF9AE}" pid="15" name="WORDNUMPAGES">
    <vt:lpwstr>7</vt:lpwstr>
  </property>
  <property fmtid="{D5CDD505-2E9C-101B-9397-08002B2CF9AE}" pid="16" name="TYPE_ABS_DATE">
    <vt:lpwstr>380020160724</vt:lpwstr>
  </property>
  <property fmtid="{D5CDD505-2E9C-101B-9397-08002B2CF9AE}" pid="17" name="ISABSTRACT">
    <vt:lpwstr>Y</vt:lpwstr>
  </property>
  <property fmtid="{D5CDD505-2E9C-101B-9397-08002B2CF9AE}" pid="18" name="CASESLISTTMP1">
    <vt:lpwstr>20443128;13022249;11280470;11245608;20482530;17011278;20971268;20195287:2;20459746</vt:lpwstr>
  </property>
  <property fmtid="{D5CDD505-2E9C-101B-9397-08002B2CF9AE}" pid="19" name="LAWLISTTMP1">
    <vt:lpwstr>4216/013;007.a;007.c</vt:lpwstr>
  </property>
</Properties>
</file>