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12C48" w:rsidRPr="004E449E" w14:paraId="4F5B55D2" w14:textId="77777777" w:rsidTr="006A525D">
        <w:trPr>
          <w:trHeight w:hRule="exact" w:val="418"/>
          <w:jc w:val="center"/>
        </w:trPr>
        <w:tc>
          <w:tcPr>
            <w:tcW w:w="8721" w:type="dxa"/>
            <w:gridSpan w:val="2"/>
          </w:tcPr>
          <w:p w14:paraId="680628E2" w14:textId="77777777" w:rsidR="00912C48" w:rsidRPr="004E449E" w:rsidRDefault="00912C48" w:rsidP="00E60FC2">
            <w:pPr>
              <w:pStyle w:val="a3"/>
              <w:jc w:val="center"/>
              <w:rPr>
                <w:rFonts w:ascii="Tahoma" w:hAnsi="Tahoma"/>
                <w:color w:val="000080"/>
                <w:sz w:val="32"/>
                <w:szCs w:val="32"/>
                <w:rtl/>
              </w:rPr>
            </w:pPr>
            <w:bookmarkStart w:id="0" w:name="LastJudge"/>
            <w:r w:rsidRPr="004E449E">
              <w:rPr>
                <w:rFonts w:ascii="Tahoma" w:hAnsi="Tahoma"/>
                <w:b/>
                <w:bCs/>
                <w:color w:val="000080"/>
                <w:sz w:val="32"/>
                <w:szCs w:val="32"/>
                <w:rtl/>
              </w:rPr>
              <w:t>בית משפט השלום בתל אביב - יפו</w:t>
            </w:r>
          </w:p>
        </w:tc>
      </w:tr>
      <w:tr w:rsidR="00912C48" w:rsidRPr="004E449E" w14:paraId="2E093AF3" w14:textId="77777777" w:rsidTr="006A525D">
        <w:trPr>
          <w:trHeight w:val="337"/>
          <w:jc w:val="center"/>
        </w:trPr>
        <w:tc>
          <w:tcPr>
            <w:tcW w:w="5054" w:type="dxa"/>
          </w:tcPr>
          <w:p w14:paraId="7DF84376" w14:textId="77777777" w:rsidR="00912C48" w:rsidRPr="004E449E" w:rsidRDefault="00912C48" w:rsidP="00E60FC2">
            <w:pPr>
              <w:rPr>
                <w:sz w:val="26"/>
                <w:szCs w:val="26"/>
                <w:rtl/>
              </w:rPr>
            </w:pPr>
            <w:r w:rsidRPr="004E449E">
              <w:rPr>
                <w:sz w:val="26"/>
                <w:szCs w:val="26"/>
                <w:rtl/>
              </w:rPr>
              <w:t>ת"פ</w:t>
            </w:r>
            <w:r w:rsidRPr="004E449E">
              <w:rPr>
                <w:rFonts w:hint="cs"/>
                <w:sz w:val="26"/>
                <w:szCs w:val="26"/>
                <w:rtl/>
              </w:rPr>
              <w:t xml:space="preserve"> </w:t>
            </w:r>
            <w:r w:rsidRPr="004E449E">
              <w:rPr>
                <w:sz w:val="26"/>
                <w:szCs w:val="26"/>
                <w:rtl/>
              </w:rPr>
              <w:t>34829-07-15</w:t>
            </w:r>
            <w:r w:rsidRPr="004E449E">
              <w:rPr>
                <w:rFonts w:hint="cs"/>
                <w:sz w:val="26"/>
                <w:szCs w:val="26"/>
                <w:rtl/>
              </w:rPr>
              <w:t xml:space="preserve"> </w:t>
            </w:r>
            <w:r w:rsidRPr="004E449E">
              <w:rPr>
                <w:sz w:val="26"/>
                <w:szCs w:val="26"/>
                <w:rtl/>
              </w:rPr>
              <w:t>מדינת ישראל נ' בן בסט</w:t>
            </w:r>
          </w:p>
        </w:tc>
        <w:tc>
          <w:tcPr>
            <w:tcW w:w="3667" w:type="dxa"/>
          </w:tcPr>
          <w:p w14:paraId="3840EE78" w14:textId="77777777" w:rsidR="00912C48" w:rsidRPr="004E449E" w:rsidRDefault="00912C48" w:rsidP="00E60FC2">
            <w:pPr>
              <w:pStyle w:val="a3"/>
              <w:jc w:val="right"/>
              <w:rPr>
                <w:rFonts w:cs="FrankRuehl"/>
                <w:sz w:val="28"/>
                <w:szCs w:val="28"/>
                <w:rtl/>
              </w:rPr>
            </w:pPr>
          </w:p>
        </w:tc>
      </w:tr>
    </w:tbl>
    <w:p w14:paraId="33274F73" w14:textId="77777777" w:rsidR="00912C48" w:rsidRPr="004E449E" w:rsidRDefault="00912C48" w:rsidP="00912C48">
      <w:pPr>
        <w:pStyle w:val="a3"/>
        <w:rPr>
          <w:rtl/>
        </w:rPr>
      </w:pPr>
      <w:r w:rsidRPr="004E449E">
        <w:rPr>
          <w:rFonts w:hint="cs"/>
          <w:rtl/>
        </w:rPr>
        <w:t xml:space="preserve"> </w:t>
      </w:r>
    </w:p>
    <w:p w14:paraId="061FBA16" w14:textId="77777777" w:rsidR="00912C48" w:rsidRPr="004E449E" w:rsidRDefault="00912C48" w:rsidP="00912C4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11"/>
        <w:gridCol w:w="3378"/>
      </w:tblGrid>
      <w:tr w:rsidR="00912C48" w:rsidRPr="004E449E" w14:paraId="0BECCF5A" w14:textId="77777777" w:rsidTr="00912C48">
        <w:trPr>
          <w:trHeight w:val="295"/>
          <w:jc w:val="center"/>
        </w:trPr>
        <w:tc>
          <w:tcPr>
            <w:tcW w:w="8820" w:type="dxa"/>
            <w:gridSpan w:val="3"/>
            <w:tcBorders>
              <w:top w:val="nil"/>
              <w:left w:val="nil"/>
              <w:bottom w:val="nil"/>
              <w:right w:val="nil"/>
            </w:tcBorders>
            <w:shd w:val="clear" w:color="auto" w:fill="auto"/>
          </w:tcPr>
          <w:p w14:paraId="0A32802A" w14:textId="77777777" w:rsidR="00912C48" w:rsidRPr="004E449E" w:rsidRDefault="00912C48" w:rsidP="00912C48">
            <w:pPr>
              <w:jc w:val="both"/>
              <w:rPr>
                <w:sz w:val="26"/>
                <w:szCs w:val="26"/>
                <w:rtl/>
              </w:rPr>
            </w:pPr>
            <w:r w:rsidRPr="004E449E">
              <w:rPr>
                <w:rFonts w:ascii="Arial" w:hAnsi="Arial" w:hint="cs"/>
                <w:b/>
                <w:bCs/>
                <w:sz w:val="26"/>
                <w:szCs w:val="26"/>
                <w:rtl/>
              </w:rPr>
              <w:t>ל</w:t>
            </w:r>
            <w:r w:rsidRPr="004E449E">
              <w:rPr>
                <w:rFonts w:ascii="Arial" w:hAnsi="Arial"/>
                <w:b/>
                <w:bCs/>
                <w:sz w:val="26"/>
                <w:szCs w:val="26"/>
                <w:rtl/>
              </w:rPr>
              <w:t xml:space="preserve">פני </w:t>
            </w:r>
            <w:r w:rsidRPr="004E449E">
              <w:rPr>
                <w:rFonts w:ascii="Arial" w:hAnsi="Arial" w:hint="cs"/>
                <w:b/>
                <w:bCs/>
                <w:sz w:val="26"/>
                <w:szCs w:val="26"/>
                <w:rtl/>
              </w:rPr>
              <w:t>כבוד ה</w:t>
            </w:r>
            <w:r w:rsidRPr="004E449E">
              <w:rPr>
                <w:rFonts w:ascii="Arial" w:hAnsi="Arial"/>
                <w:b/>
                <w:bCs/>
                <w:sz w:val="26"/>
                <w:szCs w:val="26"/>
                <w:rtl/>
              </w:rPr>
              <w:t>שופט</w:t>
            </w:r>
            <w:r w:rsidRPr="004E449E">
              <w:rPr>
                <w:rFonts w:ascii="Arial" w:hAnsi="Arial" w:hint="cs"/>
                <w:b/>
                <w:bCs/>
                <w:sz w:val="26"/>
                <w:szCs w:val="26"/>
                <w:rtl/>
              </w:rPr>
              <w:t xml:space="preserve">  </w:t>
            </w:r>
            <w:r w:rsidRPr="004E449E">
              <w:rPr>
                <w:rFonts w:ascii="Arial" w:hAnsi="Arial"/>
                <w:b/>
                <w:bCs/>
                <w:sz w:val="26"/>
                <w:szCs w:val="26"/>
                <w:rtl/>
              </w:rPr>
              <w:t>עידו דרויאן-גמליאל</w:t>
            </w:r>
          </w:p>
          <w:p w14:paraId="4E6B7824" w14:textId="77777777" w:rsidR="00912C48" w:rsidRPr="004E449E" w:rsidRDefault="00912C48" w:rsidP="00912C48">
            <w:pPr>
              <w:jc w:val="both"/>
              <w:rPr>
                <w:rFonts w:ascii="Arial" w:hAnsi="Arial"/>
                <w:b/>
                <w:bCs/>
                <w:sz w:val="26"/>
                <w:szCs w:val="26"/>
              </w:rPr>
            </w:pPr>
          </w:p>
        </w:tc>
      </w:tr>
      <w:tr w:rsidR="00912C48" w:rsidRPr="004E449E" w14:paraId="03D7FAF6" w14:textId="77777777" w:rsidTr="00912C48">
        <w:trPr>
          <w:trHeight w:val="355"/>
          <w:jc w:val="center"/>
        </w:trPr>
        <w:tc>
          <w:tcPr>
            <w:tcW w:w="885" w:type="dxa"/>
            <w:tcBorders>
              <w:top w:val="nil"/>
              <w:left w:val="nil"/>
              <w:bottom w:val="nil"/>
              <w:right w:val="nil"/>
            </w:tcBorders>
            <w:shd w:val="clear" w:color="auto" w:fill="auto"/>
          </w:tcPr>
          <w:p w14:paraId="16DB741C" w14:textId="77777777" w:rsidR="00912C48" w:rsidRPr="004E449E" w:rsidRDefault="00912C48" w:rsidP="00912C48">
            <w:pPr>
              <w:jc w:val="both"/>
              <w:rPr>
                <w:rFonts w:ascii="Arial" w:hAnsi="Arial"/>
                <w:b/>
                <w:bCs/>
                <w:sz w:val="26"/>
                <w:szCs w:val="26"/>
              </w:rPr>
            </w:pPr>
            <w:bookmarkStart w:id="1" w:name="FirstAppellant"/>
            <w:bookmarkStart w:id="2" w:name="FirstLawyer"/>
            <w:r w:rsidRPr="004E449E">
              <w:rPr>
                <w:rFonts w:ascii="Arial" w:hAnsi="Arial" w:hint="cs"/>
                <w:b/>
                <w:bCs/>
                <w:sz w:val="26"/>
                <w:szCs w:val="26"/>
                <w:rtl/>
              </w:rPr>
              <w:t>ה</w:t>
            </w:r>
            <w:r w:rsidRPr="004E449E">
              <w:rPr>
                <w:rFonts w:ascii="Arial" w:hAnsi="Arial"/>
                <w:b/>
                <w:bCs/>
                <w:sz w:val="26"/>
                <w:szCs w:val="26"/>
                <w:rtl/>
              </w:rPr>
              <w:t>מאשימה</w:t>
            </w:r>
          </w:p>
        </w:tc>
        <w:tc>
          <w:tcPr>
            <w:tcW w:w="4384" w:type="dxa"/>
            <w:tcBorders>
              <w:top w:val="nil"/>
              <w:left w:val="nil"/>
              <w:bottom w:val="nil"/>
              <w:right w:val="nil"/>
            </w:tcBorders>
            <w:shd w:val="clear" w:color="auto" w:fill="auto"/>
          </w:tcPr>
          <w:p w14:paraId="7C02036D" w14:textId="77777777" w:rsidR="00912C48" w:rsidRPr="004E449E" w:rsidRDefault="00912C48" w:rsidP="00E60FC2">
            <w:pPr>
              <w:rPr>
                <w:b/>
                <w:bCs/>
                <w:sz w:val="26"/>
                <w:szCs w:val="26"/>
                <w:rtl/>
              </w:rPr>
            </w:pPr>
            <w:r w:rsidRPr="004E449E">
              <w:rPr>
                <w:rFonts w:ascii="Arial" w:hAnsi="Arial"/>
                <w:b/>
                <w:bCs/>
                <w:sz w:val="26"/>
                <w:szCs w:val="26"/>
                <w:rtl/>
              </w:rPr>
              <w:t>מדינת ישראל</w:t>
            </w:r>
          </w:p>
          <w:p w14:paraId="744A61B5" w14:textId="77777777" w:rsidR="00912C48" w:rsidRPr="004E449E" w:rsidRDefault="00912C48" w:rsidP="00E60FC2">
            <w:pPr>
              <w:rPr>
                <w:sz w:val="26"/>
                <w:szCs w:val="26"/>
              </w:rPr>
            </w:pPr>
            <w:r w:rsidRPr="004E449E">
              <w:rPr>
                <w:rFonts w:hint="cs"/>
                <w:sz w:val="26"/>
                <w:szCs w:val="26"/>
                <w:rtl/>
              </w:rPr>
              <w:t>ע"י ב"כ עו"ד חבר וקיפניס-פרדמן</w:t>
            </w:r>
          </w:p>
        </w:tc>
        <w:tc>
          <w:tcPr>
            <w:tcW w:w="3551" w:type="dxa"/>
            <w:tcBorders>
              <w:top w:val="nil"/>
              <w:left w:val="nil"/>
              <w:bottom w:val="nil"/>
              <w:right w:val="nil"/>
            </w:tcBorders>
            <w:shd w:val="clear" w:color="auto" w:fill="auto"/>
          </w:tcPr>
          <w:p w14:paraId="6493595C" w14:textId="77777777" w:rsidR="00912C48" w:rsidRPr="004E449E" w:rsidRDefault="00912C48" w:rsidP="00912C48">
            <w:pPr>
              <w:jc w:val="both"/>
              <w:rPr>
                <w:rFonts w:ascii="Arial" w:hAnsi="Arial"/>
                <w:sz w:val="26"/>
                <w:szCs w:val="26"/>
              </w:rPr>
            </w:pPr>
          </w:p>
        </w:tc>
      </w:tr>
      <w:bookmarkEnd w:id="1"/>
      <w:bookmarkEnd w:id="2"/>
      <w:tr w:rsidR="00912C48" w:rsidRPr="004E449E" w14:paraId="758967A9" w14:textId="77777777" w:rsidTr="00912C48">
        <w:trPr>
          <w:trHeight w:val="373"/>
          <w:jc w:val="center"/>
        </w:trPr>
        <w:tc>
          <w:tcPr>
            <w:tcW w:w="885" w:type="dxa"/>
            <w:tcBorders>
              <w:top w:val="nil"/>
              <w:left w:val="nil"/>
              <w:bottom w:val="nil"/>
              <w:right w:val="nil"/>
            </w:tcBorders>
            <w:shd w:val="clear" w:color="auto" w:fill="auto"/>
          </w:tcPr>
          <w:p w14:paraId="0FC36F5C" w14:textId="77777777" w:rsidR="00912C48" w:rsidRPr="004E449E" w:rsidRDefault="00912C48" w:rsidP="00912C48">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5793D48B" w14:textId="77777777" w:rsidR="00912C48" w:rsidRPr="004E449E" w:rsidRDefault="00912C48" w:rsidP="00912C48">
            <w:pPr>
              <w:jc w:val="center"/>
              <w:rPr>
                <w:rFonts w:ascii="Arial" w:hAnsi="Arial"/>
                <w:b/>
                <w:bCs/>
                <w:sz w:val="26"/>
                <w:szCs w:val="26"/>
                <w:rtl/>
              </w:rPr>
            </w:pPr>
          </w:p>
          <w:p w14:paraId="5D4DB435" w14:textId="77777777" w:rsidR="00912C48" w:rsidRPr="004E449E" w:rsidRDefault="00912C48" w:rsidP="00912C48">
            <w:pPr>
              <w:jc w:val="center"/>
              <w:rPr>
                <w:rFonts w:ascii="Arial" w:hAnsi="Arial"/>
                <w:b/>
                <w:bCs/>
                <w:sz w:val="26"/>
                <w:szCs w:val="26"/>
                <w:rtl/>
              </w:rPr>
            </w:pPr>
            <w:r w:rsidRPr="004E449E">
              <w:rPr>
                <w:rFonts w:ascii="Arial" w:hAnsi="Arial"/>
                <w:b/>
                <w:bCs/>
                <w:sz w:val="26"/>
                <w:szCs w:val="26"/>
                <w:rtl/>
              </w:rPr>
              <w:t>נגד</w:t>
            </w:r>
          </w:p>
          <w:p w14:paraId="09073BAF" w14:textId="77777777" w:rsidR="00912C48" w:rsidRPr="004E449E" w:rsidRDefault="00912C48" w:rsidP="00912C48">
            <w:pPr>
              <w:jc w:val="both"/>
              <w:rPr>
                <w:rFonts w:ascii="Arial" w:hAnsi="Arial"/>
                <w:sz w:val="26"/>
                <w:szCs w:val="26"/>
              </w:rPr>
            </w:pPr>
          </w:p>
        </w:tc>
      </w:tr>
      <w:tr w:rsidR="00912C48" w:rsidRPr="004E449E" w14:paraId="442C8BD1" w14:textId="77777777" w:rsidTr="00912C48">
        <w:trPr>
          <w:trHeight w:val="355"/>
          <w:jc w:val="center"/>
        </w:trPr>
        <w:tc>
          <w:tcPr>
            <w:tcW w:w="885" w:type="dxa"/>
            <w:tcBorders>
              <w:top w:val="nil"/>
              <w:left w:val="nil"/>
              <w:bottom w:val="nil"/>
              <w:right w:val="nil"/>
            </w:tcBorders>
            <w:shd w:val="clear" w:color="auto" w:fill="auto"/>
          </w:tcPr>
          <w:p w14:paraId="335ABC5A" w14:textId="77777777" w:rsidR="00912C48" w:rsidRPr="004E449E" w:rsidRDefault="00912C48" w:rsidP="00E60FC2">
            <w:pPr>
              <w:rPr>
                <w:rFonts w:ascii="Arial" w:hAnsi="Arial"/>
                <w:b/>
                <w:bCs/>
                <w:sz w:val="26"/>
                <w:szCs w:val="26"/>
                <w:rtl/>
              </w:rPr>
            </w:pPr>
            <w:r w:rsidRPr="004E449E">
              <w:rPr>
                <w:rFonts w:ascii="Arial" w:hAnsi="Arial" w:hint="cs"/>
                <w:b/>
                <w:bCs/>
                <w:sz w:val="26"/>
                <w:szCs w:val="26"/>
                <w:rtl/>
              </w:rPr>
              <w:t>ה</w:t>
            </w:r>
            <w:r w:rsidRPr="004E449E">
              <w:rPr>
                <w:rFonts w:ascii="Arial" w:hAnsi="Arial"/>
                <w:b/>
                <w:bCs/>
                <w:sz w:val="26"/>
                <w:szCs w:val="26"/>
                <w:rtl/>
              </w:rPr>
              <w:t>נאשם</w:t>
            </w:r>
          </w:p>
        </w:tc>
        <w:tc>
          <w:tcPr>
            <w:tcW w:w="4384" w:type="dxa"/>
            <w:tcBorders>
              <w:top w:val="nil"/>
              <w:left w:val="nil"/>
              <w:bottom w:val="nil"/>
              <w:right w:val="nil"/>
            </w:tcBorders>
            <w:shd w:val="clear" w:color="auto" w:fill="auto"/>
          </w:tcPr>
          <w:p w14:paraId="3AF88936" w14:textId="77777777" w:rsidR="00912C48" w:rsidRPr="004E449E" w:rsidRDefault="00912C48" w:rsidP="00E60FC2">
            <w:pPr>
              <w:rPr>
                <w:b/>
                <w:bCs/>
                <w:sz w:val="26"/>
                <w:szCs w:val="26"/>
                <w:rtl/>
              </w:rPr>
            </w:pPr>
            <w:r w:rsidRPr="004E449E">
              <w:rPr>
                <w:rFonts w:ascii="Arial" w:hAnsi="Arial"/>
                <w:b/>
                <w:bCs/>
                <w:sz w:val="26"/>
                <w:szCs w:val="26"/>
                <w:rtl/>
              </w:rPr>
              <w:t>אלי בן בסט</w:t>
            </w:r>
          </w:p>
          <w:p w14:paraId="6BB49F27" w14:textId="77777777" w:rsidR="00912C48" w:rsidRPr="004E449E" w:rsidRDefault="00912C48" w:rsidP="00E60FC2">
            <w:pPr>
              <w:rPr>
                <w:sz w:val="26"/>
                <w:szCs w:val="26"/>
                <w:rtl/>
              </w:rPr>
            </w:pPr>
            <w:r w:rsidRPr="004E449E">
              <w:rPr>
                <w:rFonts w:hint="cs"/>
                <w:sz w:val="26"/>
                <w:szCs w:val="26"/>
                <w:rtl/>
              </w:rPr>
              <w:t>ע"י ב"כ עו"ד קידר</w:t>
            </w:r>
          </w:p>
        </w:tc>
        <w:tc>
          <w:tcPr>
            <w:tcW w:w="3551" w:type="dxa"/>
            <w:tcBorders>
              <w:top w:val="nil"/>
              <w:left w:val="nil"/>
              <w:bottom w:val="nil"/>
              <w:right w:val="nil"/>
            </w:tcBorders>
            <w:shd w:val="clear" w:color="auto" w:fill="auto"/>
          </w:tcPr>
          <w:p w14:paraId="0B4A8066" w14:textId="77777777" w:rsidR="00912C48" w:rsidRPr="004E449E" w:rsidRDefault="00912C48" w:rsidP="00912C48">
            <w:pPr>
              <w:jc w:val="right"/>
              <w:rPr>
                <w:rFonts w:ascii="Arial" w:hAnsi="Arial"/>
                <w:sz w:val="26"/>
                <w:szCs w:val="26"/>
              </w:rPr>
            </w:pPr>
          </w:p>
        </w:tc>
      </w:tr>
    </w:tbl>
    <w:p w14:paraId="7BFCA4B1" w14:textId="77777777" w:rsidR="00C7283F" w:rsidRDefault="00C7283F" w:rsidP="00912C48">
      <w:pPr>
        <w:rPr>
          <w:rtl/>
        </w:rPr>
      </w:pPr>
      <w:bookmarkStart w:id="3" w:name="LawTable"/>
      <w:bookmarkEnd w:id="3"/>
    </w:p>
    <w:p w14:paraId="26471D5A" w14:textId="77777777" w:rsidR="00C7283F" w:rsidRPr="00C7283F" w:rsidRDefault="00C7283F" w:rsidP="00C7283F">
      <w:pPr>
        <w:spacing w:after="120" w:line="240" w:lineRule="exact"/>
        <w:ind w:left="283" w:hanging="283"/>
        <w:jc w:val="both"/>
        <w:rPr>
          <w:rFonts w:ascii="FrankRuehl" w:hAnsi="FrankRuehl" w:cs="FrankRuehl"/>
          <w:rtl/>
        </w:rPr>
      </w:pPr>
    </w:p>
    <w:p w14:paraId="113DD3B3" w14:textId="77777777" w:rsidR="00C7283F" w:rsidRPr="00C7283F" w:rsidRDefault="00C7283F" w:rsidP="00C7283F">
      <w:pPr>
        <w:spacing w:after="120" w:line="240" w:lineRule="exact"/>
        <w:ind w:left="283" w:hanging="283"/>
        <w:jc w:val="both"/>
        <w:rPr>
          <w:rFonts w:ascii="FrankRuehl" w:hAnsi="FrankRuehl" w:cs="FrankRuehl"/>
          <w:rtl/>
        </w:rPr>
      </w:pPr>
      <w:r w:rsidRPr="00C7283F">
        <w:rPr>
          <w:rFonts w:ascii="FrankRuehl" w:hAnsi="FrankRuehl" w:cs="FrankRuehl"/>
          <w:rtl/>
        </w:rPr>
        <w:t xml:space="preserve">חקיקה שאוזכרה: </w:t>
      </w:r>
    </w:p>
    <w:p w14:paraId="0BEF30E1" w14:textId="77777777" w:rsidR="00C7283F" w:rsidRPr="00C7283F" w:rsidRDefault="00C7283F" w:rsidP="00C7283F">
      <w:pPr>
        <w:spacing w:after="120" w:line="240" w:lineRule="exact"/>
        <w:ind w:left="283" w:hanging="283"/>
        <w:jc w:val="both"/>
        <w:rPr>
          <w:rFonts w:ascii="FrankRuehl" w:hAnsi="FrankRuehl" w:cs="FrankRuehl"/>
          <w:rtl/>
        </w:rPr>
      </w:pPr>
      <w:hyperlink r:id="rId7" w:history="1">
        <w:r w:rsidRPr="00C7283F">
          <w:rPr>
            <w:rFonts w:ascii="FrankRuehl" w:hAnsi="FrankRuehl" w:cs="FrankRuehl"/>
            <w:color w:val="0000FF"/>
            <w:u w:val="single"/>
            <w:rtl/>
          </w:rPr>
          <w:t>פקודת הסמים המסוכנים [נוסח חדש], תשל"ג-1973</w:t>
        </w:r>
      </w:hyperlink>
      <w:r w:rsidRPr="00C7283F">
        <w:rPr>
          <w:rFonts w:ascii="FrankRuehl" w:hAnsi="FrankRuehl" w:cs="FrankRuehl"/>
          <w:rtl/>
        </w:rPr>
        <w:t xml:space="preserve">: סע'  </w:t>
      </w:r>
      <w:hyperlink r:id="rId8" w:history="1">
        <w:r w:rsidRPr="00C7283F">
          <w:rPr>
            <w:rFonts w:ascii="FrankRuehl" w:hAnsi="FrankRuehl" w:cs="FrankRuehl"/>
            <w:color w:val="0000FF"/>
            <w:u w:val="single"/>
            <w:rtl/>
          </w:rPr>
          <w:t>6</w:t>
        </w:r>
      </w:hyperlink>
      <w:r w:rsidRPr="00C7283F">
        <w:rPr>
          <w:rFonts w:ascii="FrankRuehl" w:hAnsi="FrankRuehl" w:cs="FrankRuehl"/>
          <w:rtl/>
        </w:rPr>
        <w:t xml:space="preserve">, </w:t>
      </w:r>
      <w:hyperlink r:id="rId9" w:history="1">
        <w:r w:rsidRPr="00C7283F">
          <w:rPr>
            <w:rFonts w:ascii="FrankRuehl" w:hAnsi="FrankRuehl" w:cs="FrankRuehl"/>
            <w:color w:val="0000FF"/>
            <w:u w:val="single"/>
            <w:rtl/>
          </w:rPr>
          <w:t>9(א)</w:t>
        </w:r>
      </w:hyperlink>
    </w:p>
    <w:p w14:paraId="7232D9B6" w14:textId="77777777" w:rsidR="00C7283F" w:rsidRPr="00C7283F" w:rsidRDefault="00C7283F" w:rsidP="00C7283F">
      <w:pPr>
        <w:spacing w:after="120" w:line="240" w:lineRule="exact"/>
        <w:ind w:left="283" w:hanging="283"/>
        <w:jc w:val="both"/>
        <w:rPr>
          <w:rFonts w:ascii="FrankRuehl" w:hAnsi="FrankRuehl" w:cs="FrankRuehl"/>
          <w:rtl/>
        </w:rPr>
      </w:pPr>
    </w:p>
    <w:p w14:paraId="23D7213E" w14:textId="77777777" w:rsidR="00C7283F" w:rsidRPr="00C7283F" w:rsidRDefault="00C7283F" w:rsidP="00912C48">
      <w:pPr>
        <w:rPr>
          <w:rtl/>
        </w:rPr>
      </w:pPr>
      <w:bookmarkStart w:id="4" w:name="LawTable_End"/>
      <w:bookmarkEnd w:id="4"/>
    </w:p>
    <w:p w14:paraId="0F230066" w14:textId="77777777" w:rsidR="00912C48" w:rsidRPr="004E449E" w:rsidRDefault="00912C48" w:rsidP="00912C4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12C48" w14:paraId="446AB133" w14:textId="77777777" w:rsidTr="00912C48">
        <w:trPr>
          <w:trHeight w:val="355"/>
          <w:jc w:val="center"/>
        </w:trPr>
        <w:tc>
          <w:tcPr>
            <w:tcW w:w="8820" w:type="dxa"/>
            <w:tcBorders>
              <w:top w:val="nil"/>
              <w:left w:val="nil"/>
              <w:bottom w:val="nil"/>
              <w:right w:val="nil"/>
            </w:tcBorders>
            <w:shd w:val="clear" w:color="auto" w:fill="auto"/>
          </w:tcPr>
          <w:p w14:paraId="4CD2F75C" w14:textId="77777777" w:rsidR="004E449E" w:rsidRPr="004E449E" w:rsidRDefault="004E449E" w:rsidP="004E449E">
            <w:pPr>
              <w:jc w:val="center"/>
              <w:rPr>
                <w:rFonts w:ascii="Arial" w:hAnsi="Arial"/>
                <w:b/>
                <w:bCs/>
                <w:sz w:val="28"/>
                <w:szCs w:val="28"/>
                <w:u w:val="single"/>
                <w:rtl/>
              </w:rPr>
            </w:pPr>
            <w:bookmarkStart w:id="5" w:name="PsakDin" w:colFirst="0" w:colLast="0"/>
            <w:bookmarkEnd w:id="0"/>
            <w:r w:rsidRPr="004E449E">
              <w:rPr>
                <w:rFonts w:ascii="Arial" w:hAnsi="Arial"/>
                <w:b/>
                <w:bCs/>
                <w:sz w:val="28"/>
                <w:szCs w:val="28"/>
                <w:u w:val="single"/>
                <w:rtl/>
              </w:rPr>
              <w:t>גזר דין</w:t>
            </w:r>
          </w:p>
          <w:p w14:paraId="54686800" w14:textId="77777777" w:rsidR="00912C48" w:rsidRPr="004E449E" w:rsidRDefault="00912C48" w:rsidP="004E449E">
            <w:pPr>
              <w:jc w:val="center"/>
              <w:rPr>
                <w:rFonts w:ascii="Arial" w:hAnsi="Arial"/>
                <w:bCs/>
                <w:sz w:val="28"/>
                <w:szCs w:val="28"/>
                <w:u w:val="single"/>
                <w:rtl/>
              </w:rPr>
            </w:pPr>
          </w:p>
        </w:tc>
      </w:tr>
      <w:bookmarkEnd w:id="5"/>
    </w:tbl>
    <w:p w14:paraId="4C1CCC44" w14:textId="77777777" w:rsidR="00912C48" w:rsidRDefault="00912C48" w:rsidP="00912C48">
      <w:pPr>
        <w:spacing w:line="360" w:lineRule="auto"/>
        <w:jc w:val="both"/>
        <w:rPr>
          <w:rFonts w:ascii="Arial" w:hAnsi="Arial"/>
          <w:b/>
          <w:bCs/>
          <w:u w:val="single"/>
          <w:rtl/>
        </w:rPr>
      </w:pPr>
    </w:p>
    <w:p w14:paraId="07D52546" w14:textId="77777777" w:rsidR="00912C48" w:rsidRPr="00324522" w:rsidRDefault="00912C48" w:rsidP="00912C48">
      <w:pPr>
        <w:spacing w:line="360" w:lineRule="auto"/>
        <w:jc w:val="both"/>
        <w:rPr>
          <w:rFonts w:ascii="Arial" w:hAnsi="Arial"/>
          <w:b/>
          <w:bCs/>
          <w:u w:val="single"/>
          <w:rtl/>
        </w:rPr>
      </w:pPr>
      <w:r>
        <w:rPr>
          <w:rFonts w:ascii="Arial" w:hAnsi="Arial" w:hint="cs"/>
          <w:b/>
          <w:bCs/>
          <w:u w:val="single"/>
          <w:rtl/>
        </w:rPr>
        <w:t>השתלשלות ההליך:</w:t>
      </w:r>
    </w:p>
    <w:p w14:paraId="1703965F" w14:textId="77777777" w:rsidR="00912C48" w:rsidRDefault="00912C48" w:rsidP="00912C48">
      <w:pPr>
        <w:pStyle w:val="ListParagraph"/>
        <w:numPr>
          <w:ilvl w:val="0"/>
          <w:numId w:val="1"/>
        </w:numPr>
        <w:spacing w:line="360" w:lineRule="auto"/>
        <w:jc w:val="both"/>
        <w:rPr>
          <w:rFonts w:ascii="Arial" w:hAnsi="Arial"/>
        </w:rPr>
      </w:pPr>
      <w:r>
        <w:rPr>
          <w:rFonts w:ascii="Arial" w:hAnsi="Arial" w:hint="cs"/>
          <w:rtl/>
        </w:rPr>
        <w:t>ב</w:t>
      </w:r>
      <w:bookmarkStart w:id="6" w:name="ABSTRACT_START"/>
      <w:bookmarkEnd w:id="6"/>
      <w:r>
        <w:rPr>
          <w:rFonts w:ascii="Arial" w:hAnsi="Arial" w:hint="cs"/>
          <w:rtl/>
        </w:rPr>
        <w:t>יום 24.1.16, במסגרת הסדר טיעון דיוני ללא הסכמה עונשית, הודה הנאשם בכתב אישום מתוקן והורשע בעבירות הבאות:</w:t>
      </w:r>
    </w:p>
    <w:p w14:paraId="7FAC66DE" w14:textId="77777777" w:rsidR="00912C48" w:rsidRDefault="00912C48" w:rsidP="00912C48">
      <w:pPr>
        <w:pStyle w:val="ListParagraph"/>
        <w:numPr>
          <w:ilvl w:val="1"/>
          <w:numId w:val="1"/>
        </w:numPr>
        <w:spacing w:line="360" w:lineRule="auto"/>
        <w:jc w:val="both"/>
        <w:rPr>
          <w:rFonts w:ascii="Arial" w:hAnsi="Arial"/>
        </w:rPr>
      </w:pPr>
      <w:r>
        <w:rPr>
          <w:rFonts w:ascii="Arial" w:hAnsi="Arial" w:hint="cs"/>
          <w:rtl/>
        </w:rPr>
        <w:t xml:space="preserve">גידול סם מסוכן, לפי </w:t>
      </w:r>
      <w:hyperlink r:id="rId10" w:history="1">
        <w:r w:rsidR="006A525D" w:rsidRPr="006A525D">
          <w:rPr>
            <w:rFonts w:ascii="Arial" w:hAnsi="Arial"/>
            <w:color w:val="0000FF"/>
            <w:u w:val="single"/>
            <w:rtl/>
          </w:rPr>
          <w:t>סעיף 6</w:t>
        </w:r>
      </w:hyperlink>
      <w:r>
        <w:rPr>
          <w:rFonts w:ascii="Arial" w:hAnsi="Arial" w:hint="cs"/>
          <w:rtl/>
        </w:rPr>
        <w:t xml:space="preserve"> ל</w:t>
      </w:r>
      <w:hyperlink r:id="rId11" w:history="1">
        <w:r w:rsidR="004E449E" w:rsidRPr="004E449E">
          <w:rPr>
            <w:rFonts w:ascii="Arial" w:hAnsi="Arial"/>
            <w:color w:val="0000FF"/>
            <w:u w:val="single"/>
            <w:rtl/>
          </w:rPr>
          <w:t>פקודת הסמים המסוכנים</w:t>
        </w:r>
      </w:hyperlink>
      <w:r>
        <w:rPr>
          <w:rFonts w:ascii="Arial" w:hAnsi="Arial" w:hint="cs"/>
          <w:rtl/>
        </w:rPr>
        <w:t>;</w:t>
      </w:r>
    </w:p>
    <w:p w14:paraId="13F340DF" w14:textId="77777777" w:rsidR="00912C48" w:rsidRDefault="00912C48" w:rsidP="00912C48">
      <w:pPr>
        <w:pStyle w:val="ListParagraph"/>
        <w:numPr>
          <w:ilvl w:val="1"/>
          <w:numId w:val="1"/>
        </w:numPr>
        <w:spacing w:line="360" w:lineRule="auto"/>
        <w:jc w:val="both"/>
        <w:rPr>
          <w:rFonts w:ascii="Arial" w:hAnsi="Arial"/>
        </w:rPr>
      </w:pPr>
      <w:r>
        <w:rPr>
          <w:rFonts w:ascii="Arial" w:hAnsi="Arial" w:hint="cs"/>
          <w:rtl/>
        </w:rPr>
        <w:t xml:space="preserve">החזקת חצרים לעישון או להכנת סמים, לפי </w:t>
      </w:r>
      <w:hyperlink r:id="rId12" w:history="1">
        <w:r w:rsidR="006A525D" w:rsidRPr="006A525D">
          <w:rPr>
            <w:rFonts w:ascii="Arial" w:hAnsi="Arial"/>
            <w:color w:val="0000FF"/>
            <w:u w:val="single"/>
            <w:rtl/>
          </w:rPr>
          <w:t>סעיף 9(א)</w:t>
        </w:r>
      </w:hyperlink>
      <w:r>
        <w:rPr>
          <w:rFonts w:ascii="Arial" w:hAnsi="Arial" w:hint="cs"/>
          <w:rtl/>
        </w:rPr>
        <w:t xml:space="preserve"> לפקודה;</w:t>
      </w:r>
    </w:p>
    <w:p w14:paraId="760C65FA" w14:textId="77777777" w:rsidR="00912C48" w:rsidRDefault="00912C48" w:rsidP="00912C48">
      <w:pPr>
        <w:pStyle w:val="ListParagraph"/>
        <w:numPr>
          <w:ilvl w:val="0"/>
          <w:numId w:val="1"/>
        </w:numPr>
        <w:spacing w:line="360" w:lineRule="auto"/>
        <w:jc w:val="both"/>
        <w:rPr>
          <w:rFonts w:ascii="Arial" w:hAnsi="Arial"/>
        </w:rPr>
      </w:pPr>
      <w:bookmarkStart w:id="7" w:name="ABSTRACT_END"/>
      <w:bookmarkEnd w:id="7"/>
      <w:r>
        <w:rPr>
          <w:rFonts w:ascii="Arial" w:hAnsi="Arial" w:hint="cs"/>
          <w:rtl/>
        </w:rPr>
        <w:t xml:space="preserve">הנאשם הופנה לשירות המבחן והתקבלו בעניינו שלושה תסקירים, מהימים 4.9.16, 21.6.17 ו-24.12.17. עוד לפניי מוצגים שהוגשו לעונש </w:t>
      </w:r>
      <w:r>
        <w:rPr>
          <w:rFonts w:ascii="Arial" w:hAnsi="Arial"/>
          <w:rtl/>
        </w:rPr>
        <w:t>–</w:t>
      </w:r>
      <w:r>
        <w:rPr>
          <w:rFonts w:ascii="Arial" w:hAnsi="Arial" w:hint="cs"/>
          <w:rtl/>
        </w:rPr>
        <w:t xml:space="preserve"> לוח תצלומים של דירת הנאשם ושתילי הסם [תע/1], פרוטוקול ת"פ (רחובות) </w:t>
      </w:r>
      <w:hyperlink r:id="rId13" w:history="1">
        <w:r w:rsidR="00552D9E" w:rsidRPr="00552D9E">
          <w:rPr>
            <w:rFonts w:ascii="Arial" w:hAnsi="Arial"/>
            <w:color w:val="0000FF"/>
            <w:u w:val="single"/>
            <w:rtl/>
          </w:rPr>
          <w:t xml:space="preserve">1097/08 </w:t>
        </w:r>
      </w:hyperlink>
      <w:r>
        <w:rPr>
          <w:rFonts w:ascii="Arial" w:hAnsi="Arial" w:hint="cs"/>
          <w:rtl/>
        </w:rPr>
        <w:t xml:space="preserve"> מיום 22.10.08 [נע/1] ומסמכים הנוגעים למצבו הנפשי של הנאשם [נע/2].</w:t>
      </w:r>
    </w:p>
    <w:p w14:paraId="54B12626" w14:textId="77777777" w:rsidR="00912C48" w:rsidRDefault="00912C48" w:rsidP="00912C48">
      <w:pPr>
        <w:pStyle w:val="ListParagraph"/>
        <w:numPr>
          <w:ilvl w:val="0"/>
          <w:numId w:val="1"/>
        </w:numPr>
        <w:spacing w:line="360" w:lineRule="auto"/>
        <w:jc w:val="both"/>
        <w:rPr>
          <w:rFonts w:ascii="Arial" w:hAnsi="Arial"/>
        </w:rPr>
      </w:pPr>
      <w:r>
        <w:rPr>
          <w:rFonts w:ascii="Arial" w:hAnsi="Arial" w:hint="cs"/>
          <w:rtl/>
        </w:rPr>
        <w:t>ביום 26.12.17 טענו הצדדים לעונש:</w:t>
      </w:r>
    </w:p>
    <w:p w14:paraId="2B11633C" w14:textId="77777777" w:rsidR="00912C48" w:rsidRDefault="00912C48" w:rsidP="00912C48">
      <w:pPr>
        <w:spacing w:line="360" w:lineRule="auto"/>
        <w:ind w:left="360"/>
        <w:jc w:val="both"/>
        <w:rPr>
          <w:rFonts w:ascii="Arial" w:hAnsi="Arial"/>
          <w:rtl/>
        </w:rPr>
      </w:pPr>
      <w:r>
        <w:rPr>
          <w:rFonts w:ascii="Arial" w:hAnsi="Arial" w:hint="cs"/>
          <w:rtl/>
        </w:rPr>
        <w:t>התביעה חזרה על טיעוניה מישיבת יום 18.9.17, אז טענה למתחם עונשי הולם שנע בין שמונה לבין 14 חודשי מאסר, כעונש עיקרי, ועתרה לקבוע את עונשו של הנאשם במחצית המתחם, וכן לרכיבים נלווים של מאסר מותנה, קנס ופסילת רישיון נהיגה;</w:t>
      </w:r>
    </w:p>
    <w:p w14:paraId="5518D00F" w14:textId="77777777" w:rsidR="00912C48" w:rsidRDefault="00912C48" w:rsidP="00912C48">
      <w:pPr>
        <w:spacing w:line="360" w:lineRule="auto"/>
        <w:ind w:left="360"/>
        <w:jc w:val="both"/>
        <w:rPr>
          <w:rFonts w:ascii="Arial" w:hAnsi="Arial"/>
          <w:rtl/>
        </w:rPr>
      </w:pPr>
      <w:r>
        <w:rPr>
          <w:rFonts w:ascii="Arial" w:hAnsi="Arial" w:hint="cs"/>
          <w:rtl/>
        </w:rPr>
        <w:t>ההגנה עתרה להחרגת עונשו של הנאשם מהמתחם ולהשתת מאסר מותנה וצו מבחן;</w:t>
      </w:r>
    </w:p>
    <w:p w14:paraId="33F2B26E" w14:textId="77777777" w:rsidR="00912C48" w:rsidRDefault="00912C48" w:rsidP="00912C48">
      <w:pPr>
        <w:spacing w:line="360" w:lineRule="auto"/>
        <w:jc w:val="both"/>
        <w:rPr>
          <w:rtl/>
        </w:rPr>
      </w:pPr>
    </w:p>
    <w:p w14:paraId="00B3FDC8" w14:textId="77777777" w:rsidR="00912C48" w:rsidRDefault="00912C48" w:rsidP="00912C48">
      <w:pPr>
        <w:spacing w:line="360" w:lineRule="auto"/>
        <w:jc w:val="both"/>
        <w:rPr>
          <w:rtl/>
        </w:rPr>
      </w:pPr>
      <w:r>
        <w:rPr>
          <w:rFonts w:hint="cs"/>
          <w:b/>
          <w:bCs/>
          <w:u w:val="single"/>
          <w:rtl/>
        </w:rPr>
        <w:t>מעשי הנאשם:</w:t>
      </w:r>
    </w:p>
    <w:p w14:paraId="141B90A4" w14:textId="77777777" w:rsidR="00912C48" w:rsidRDefault="00912C48" w:rsidP="00912C48">
      <w:pPr>
        <w:pStyle w:val="ListParagraph"/>
        <w:numPr>
          <w:ilvl w:val="0"/>
          <w:numId w:val="2"/>
        </w:numPr>
        <w:spacing w:line="360" w:lineRule="auto"/>
        <w:jc w:val="both"/>
      </w:pPr>
      <w:r>
        <w:rPr>
          <w:rFonts w:hint="cs"/>
          <w:rtl/>
        </w:rPr>
        <w:lastRenderedPageBreak/>
        <w:t>במשך כשנה וחצי, עד ליום 10.3.15, גידל הנאשם במחסן שבבית הוריו 150 שתילי קנבוס, שביום מעצרו הנ"ל הגיעו למשקל כולל של 1096.43 גרם נטו.</w:t>
      </w:r>
    </w:p>
    <w:p w14:paraId="008892CA" w14:textId="77777777" w:rsidR="00912C48" w:rsidRPr="00555BA8" w:rsidRDefault="00912C48" w:rsidP="00912C48">
      <w:pPr>
        <w:pStyle w:val="ListParagraph"/>
        <w:numPr>
          <w:ilvl w:val="0"/>
          <w:numId w:val="2"/>
        </w:numPr>
        <w:spacing w:line="360" w:lineRule="auto"/>
        <w:jc w:val="both"/>
        <w:rPr>
          <w:rtl/>
        </w:rPr>
      </w:pPr>
      <w:r>
        <w:rPr>
          <w:rFonts w:hint="cs"/>
          <w:rtl/>
        </w:rPr>
        <w:t>לצורך גידול הסם החזיק הנאשם והפעיל ציוד גידול, ובו שרוולי אלומיניום לאוורור ונידוף, מנורות חימום, נורות פלורסנט, מאווררים חשמליים, חומרי דישון, מדחומים ומסנן פחם [תצלומים תע/1].</w:t>
      </w:r>
    </w:p>
    <w:p w14:paraId="1273F8A2" w14:textId="77777777" w:rsidR="00912C48" w:rsidRDefault="00912C48" w:rsidP="00912C48">
      <w:pPr>
        <w:spacing w:line="360" w:lineRule="auto"/>
        <w:jc w:val="both"/>
        <w:rPr>
          <w:rtl/>
        </w:rPr>
      </w:pPr>
    </w:p>
    <w:p w14:paraId="06162540" w14:textId="77777777" w:rsidR="00912C48" w:rsidRDefault="00912C48" w:rsidP="00912C48">
      <w:pPr>
        <w:spacing w:line="360" w:lineRule="auto"/>
        <w:jc w:val="both"/>
        <w:rPr>
          <w:rtl/>
        </w:rPr>
      </w:pPr>
      <w:r>
        <w:rPr>
          <w:rFonts w:hint="cs"/>
          <w:b/>
          <w:bCs/>
          <w:u w:val="single"/>
          <w:rtl/>
        </w:rPr>
        <w:t xml:space="preserve">נסיבות העבירה </w:t>
      </w:r>
      <w:r>
        <w:rPr>
          <w:b/>
          <w:bCs/>
          <w:u w:val="single"/>
          <w:rtl/>
        </w:rPr>
        <w:t>–</w:t>
      </w:r>
      <w:r>
        <w:rPr>
          <w:rFonts w:hint="cs"/>
          <w:b/>
          <w:bCs/>
          <w:u w:val="single"/>
          <w:rtl/>
        </w:rPr>
        <w:t xml:space="preserve"> קביעת מתחם העונש ההולם:</w:t>
      </w:r>
    </w:p>
    <w:p w14:paraId="1A9FCD09" w14:textId="77777777" w:rsidR="00912C48" w:rsidRDefault="00912C48" w:rsidP="00912C48">
      <w:pPr>
        <w:pStyle w:val="ListParagraph"/>
        <w:numPr>
          <w:ilvl w:val="0"/>
          <w:numId w:val="3"/>
        </w:numPr>
        <w:spacing w:line="360" w:lineRule="auto"/>
        <w:jc w:val="both"/>
      </w:pPr>
      <w:r>
        <w:rPr>
          <w:rFonts w:hint="cs"/>
          <w:rtl/>
        </w:rPr>
        <w:t xml:space="preserve">כידוע, פגיעתם של הסמים בחברה אינה נקודתית, אלא משתרעת על מרחבים וזמנים נרחבים: נפגע הצרכן המתמכר, נפגעת משפחתו, נפגעים אלו הניזוקים מפעילותו הפלילית של הצרכן המבקש לספק את הדחף לסם, ובנוסף – מעגלי היצור והשיווק של הסם מייצרים כשלעצמם פעילות עבריינית הנלווית לעצם העיסוק בסם, והרווחים העצומים מגיעים לעתים קרובות לארגוני פשע וטרור ומאפשרים את פעילותם הפוגענית. </w:t>
      </w:r>
    </w:p>
    <w:p w14:paraId="7F89A25D" w14:textId="77777777" w:rsidR="00912C48" w:rsidRDefault="00912C48" w:rsidP="00912C48">
      <w:pPr>
        <w:pStyle w:val="ListParagraph"/>
        <w:numPr>
          <w:ilvl w:val="0"/>
          <w:numId w:val="3"/>
        </w:numPr>
        <w:spacing w:line="360" w:lineRule="auto"/>
        <w:jc w:val="both"/>
        <w:rPr>
          <w:rtl/>
        </w:rPr>
      </w:pPr>
      <w:r>
        <w:rPr>
          <w:rFonts w:hint="cs"/>
          <w:rtl/>
        </w:rPr>
        <w:t>במקרה דנן מדובר בגידולו של סם "קל" מסוג קנביס, כך שחלקם של הנזקים המלווים את העיסוק בסמים אחרים אינם רלוונטיים. עם זאת, גם פעילות זו אסורה ומזיקה, ויש אפוא לתת משקל להיקפי הנזק, הפוטנציאליים והקונקרטיים, שהם תולדה של מספר השתילים וכמות הסם.</w:t>
      </w:r>
    </w:p>
    <w:p w14:paraId="5E26D0A8" w14:textId="77777777" w:rsidR="00912C48" w:rsidRDefault="00912C48" w:rsidP="00912C48">
      <w:pPr>
        <w:pStyle w:val="ListParagraph"/>
        <w:numPr>
          <w:ilvl w:val="0"/>
          <w:numId w:val="3"/>
        </w:numPr>
        <w:spacing w:line="360" w:lineRule="auto"/>
        <w:jc w:val="both"/>
        <w:rPr>
          <w:rtl/>
        </w:rPr>
      </w:pPr>
      <w:r>
        <w:rPr>
          <w:rFonts w:hint="cs"/>
          <w:rtl/>
        </w:rPr>
        <w:t>מדובר בביצוע עבירה מתוכננת, שבוצעה לאורך כשנה וחצי, תוך השקעת מחשבה ומשאבים, שהניבה  שתילים רבים וכמות סם ניכרת. לעניין זה יש להדגיש, כי למספר השתילים  יש משמעות רבה ביחס למשקלם, שנעוץ בנקודת הזמן האקראית בה התגלו.</w:t>
      </w:r>
    </w:p>
    <w:p w14:paraId="121F9513" w14:textId="77777777" w:rsidR="00912C48" w:rsidRDefault="00912C48" w:rsidP="00912C48">
      <w:pPr>
        <w:pStyle w:val="ListParagraph"/>
        <w:numPr>
          <w:ilvl w:val="0"/>
          <w:numId w:val="3"/>
        </w:numPr>
        <w:spacing w:line="360" w:lineRule="auto"/>
        <w:jc w:val="both"/>
        <w:rPr>
          <w:rtl/>
        </w:rPr>
      </w:pPr>
      <w:r>
        <w:rPr>
          <w:rFonts w:hint="cs"/>
          <w:rtl/>
        </w:rPr>
        <w:t>גידול הסם וייצורו נעשו על-ידי הנאשם לשם צריכתו וכפתרון לדוחק כלכלי, עובדה המדגישה את היותו חוליית-יסוד במערך הפצה. לטענת הנאשם, שלא גובתה בראיות, עשה כן מחמת משבר משפחתי עם מחלת אביו; גם לו היתה טענתו מוכחת ומתקבלת, לא היה בכך כדי להקל בחומרת מעשיו: אין לקבל, ולו במעט, דרך זו של פתרון פלילי ומזיק לבעיות אישיות וכלכליות.</w:t>
      </w:r>
    </w:p>
    <w:p w14:paraId="60A6BDC9" w14:textId="77777777" w:rsidR="00912C48" w:rsidRDefault="00912C48" w:rsidP="00912C48">
      <w:pPr>
        <w:pStyle w:val="ListParagraph"/>
        <w:numPr>
          <w:ilvl w:val="0"/>
          <w:numId w:val="3"/>
        </w:numPr>
        <w:spacing w:line="360" w:lineRule="auto"/>
        <w:jc w:val="both"/>
      </w:pPr>
      <w:r>
        <w:rPr>
          <w:rFonts w:hint="cs"/>
          <w:rtl/>
        </w:rPr>
        <w:t>התצלומים של מערך הגידול מלמדים כי מדובר ב"מעבדה" לכל דבר ועניין, שבציודה הושקעו משאבים רבים. זה מכבר נקבע, כי סוג גידול זה הפך ל"מכת מדינה"</w:t>
      </w:r>
      <w:r>
        <w:rPr>
          <w:rStyle w:val="ab"/>
          <w:rtl/>
        </w:rPr>
        <w:footnoteReference w:id="1"/>
      </w:r>
      <w:r>
        <w:rPr>
          <w:rFonts w:hint="cs"/>
          <w:rtl/>
        </w:rPr>
        <w:t xml:space="preserve">: אין לטעות בגידול שבהיקף התופעה בעירנו ובמחוזנו, שהפכו באופן בלתי-צפוי למרכז של חקלאות משוכללת ומכניסה, כפי שניתן להסיק מריבוי המקרים המובאים לבית המשפט, ואף תוך זהירות והתחשבות בהטיות אפשריות (כגון עליה ביכולות ובהיקפי אכיפה). כך ראו </w:t>
      </w:r>
      <w:hyperlink r:id="rId14" w:history="1">
        <w:r w:rsidR="004E449E" w:rsidRPr="004E449E">
          <w:rPr>
            <w:color w:val="0000FF"/>
            <w:u w:val="single"/>
            <w:rtl/>
          </w:rPr>
          <w:t>עפ"ג 12819-11-15</w:t>
        </w:r>
      </w:hyperlink>
      <w:r>
        <w:rPr>
          <w:rFonts w:hint="cs"/>
          <w:rtl/>
        </w:rPr>
        <w:t xml:space="preserve"> </w:t>
      </w:r>
      <w:r>
        <w:rPr>
          <w:rFonts w:hint="cs"/>
          <w:b/>
          <w:bCs/>
          <w:rtl/>
        </w:rPr>
        <w:t>מ.י. נ' בן-צבי</w:t>
      </w:r>
      <w:r>
        <w:rPr>
          <w:rFonts w:hint="cs"/>
          <w:rtl/>
        </w:rPr>
        <w:t xml:space="preserve"> (2015), </w:t>
      </w:r>
      <w:hyperlink r:id="rId15" w:history="1">
        <w:r w:rsidR="004E449E" w:rsidRPr="004E449E">
          <w:rPr>
            <w:color w:val="0000FF"/>
            <w:u w:val="single"/>
            <w:rtl/>
          </w:rPr>
          <w:t>עפ"ג 17796-10-14</w:t>
        </w:r>
      </w:hyperlink>
      <w:r>
        <w:rPr>
          <w:rFonts w:hint="cs"/>
          <w:rtl/>
        </w:rPr>
        <w:t xml:space="preserve"> </w:t>
      </w:r>
      <w:r>
        <w:rPr>
          <w:rFonts w:hint="cs"/>
          <w:b/>
          <w:bCs/>
          <w:rtl/>
        </w:rPr>
        <w:t xml:space="preserve">מ.י. נ' דדון </w:t>
      </w:r>
      <w:r>
        <w:rPr>
          <w:rFonts w:hint="cs"/>
          <w:rtl/>
        </w:rPr>
        <w:t xml:space="preserve">(2015) </w:t>
      </w:r>
      <w:hyperlink r:id="rId16" w:history="1">
        <w:r w:rsidR="004E449E" w:rsidRPr="004E449E">
          <w:rPr>
            <w:color w:val="0000FF"/>
            <w:u w:val="single"/>
            <w:rtl/>
          </w:rPr>
          <w:t>עפ"ג 31126-05-14</w:t>
        </w:r>
      </w:hyperlink>
      <w:r>
        <w:rPr>
          <w:rFonts w:hint="cs"/>
          <w:rtl/>
        </w:rPr>
        <w:t xml:space="preserve"> </w:t>
      </w:r>
      <w:r>
        <w:rPr>
          <w:rFonts w:hint="cs"/>
          <w:b/>
          <w:bCs/>
          <w:rtl/>
        </w:rPr>
        <w:t>מ.י. נ' חריט</w:t>
      </w:r>
      <w:r>
        <w:rPr>
          <w:rFonts w:hint="cs"/>
          <w:rtl/>
        </w:rPr>
        <w:t xml:space="preserve"> (2015) ו</w:t>
      </w:r>
      <w:hyperlink r:id="rId17" w:history="1">
        <w:r w:rsidR="004E449E" w:rsidRPr="004E449E">
          <w:rPr>
            <w:color w:val="0000FF"/>
            <w:u w:val="single"/>
            <w:rtl/>
          </w:rPr>
          <w:t>עפ"ג 46738-09-14</w:t>
        </w:r>
      </w:hyperlink>
      <w:r>
        <w:rPr>
          <w:rFonts w:hint="cs"/>
          <w:rtl/>
        </w:rPr>
        <w:t xml:space="preserve"> </w:t>
      </w:r>
      <w:r>
        <w:rPr>
          <w:rFonts w:hint="cs"/>
          <w:b/>
          <w:bCs/>
          <w:rtl/>
        </w:rPr>
        <w:t>מ.י. נ' צקבאשווילי</w:t>
      </w:r>
      <w:r>
        <w:rPr>
          <w:rFonts w:hint="cs"/>
          <w:rtl/>
        </w:rPr>
        <w:t xml:space="preserve"> (2014) – ענייניהן של שתיים ושלוש מעבדות סמים מסוג זה מובאים מדי שבוע בפני ערכאת הערעור בבית המשפט המחוזי בתל-אביב – יפו, </w:t>
      </w:r>
      <w:r>
        <w:rPr>
          <w:rFonts w:hint="cs"/>
          <w:rtl/>
        </w:rPr>
        <w:lastRenderedPageBreak/>
        <w:t xml:space="preserve">כאמור בפסיקתו; וממחוזות אחרים – </w:t>
      </w:r>
      <w:hyperlink r:id="rId18" w:history="1">
        <w:r w:rsidR="004E449E" w:rsidRPr="004E449E">
          <w:rPr>
            <w:color w:val="0000FF"/>
            <w:u w:val="single"/>
            <w:rtl/>
          </w:rPr>
          <w:t>ת"פ (מרכז) 21059-03-16</w:t>
        </w:r>
      </w:hyperlink>
      <w:r>
        <w:rPr>
          <w:rFonts w:hint="cs"/>
          <w:rtl/>
        </w:rPr>
        <w:t xml:space="preserve"> </w:t>
      </w:r>
      <w:r>
        <w:rPr>
          <w:rFonts w:hint="cs"/>
          <w:b/>
          <w:bCs/>
          <w:rtl/>
        </w:rPr>
        <w:t>מ.י. נ' איליספוב</w:t>
      </w:r>
      <w:r>
        <w:rPr>
          <w:rFonts w:hint="cs"/>
          <w:rtl/>
        </w:rPr>
        <w:t xml:space="preserve"> (2017) וע"פ (מחוזי חיפה) </w:t>
      </w:r>
      <w:hyperlink r:id="rId19" w:history="1">
        <w:r w:rsidR="002515F2" w:rsidRPr="002515F2">
          <w:rPr>
            <w:color w:val="0000FF"/>
            <w:u w:val="single"/>
            <w:rtl/>
          </w:rPr>
          <w:t>42358-10-14</w:t>
        </w:r>
      </w:hyperlink>
      <w:r>
        <w:rPr>
          <w:rFonts w:hint="cs"/>
          <w:rtl/>
        </w:rPr>
        <w:t xml:space="preserve"> </w:t>
      </w:r>
      <w:r>
        <w:rPr>
          <w:rFonts w:hint="cs"/>
          <w:b/>
          <w:bCs/>
          <w:rtl/>
        </w:rPr>
        <w:t>גיא נ' מ.י.</w:t>
      </w:r>
      <w:r>
        <w:rPr>
          <w:rFonts w:hint="cs"/>
          <w:rtl/>
        </w:rPr>
        <w:t xml:space="preserve"> (2015);</w:t>
      </w:r>
    </w:p>
    <w:p w14:paraId="77CBB796" w14:textId="77777777" w:rsidR="00912C48" w:rsidRPr="004444B7" w:rsidRDefault="00912C48" w:rsidP="00912C48">
      <w:pPr>
        <w:pStyle w:val="ListParagraph"/>
        <w:numPr>
          <w:ilvl w:val="0"/>
          <w:numId w:val="3"/>
        </w:numPr>
        <w:spacing w:line="360" w:lineRule="auto"/>
        <w:jc w:val="both"/>
      </w:pPr>
      <w:r>
        <w:rPr>
          <w:rFonts w:hint="cs"/>
          <w:rtl/>
        </w:rPr>
        <w:t xml:space="preserve">המתחם שהציעה התביעה תואם את מדיניות הענישה הנוהגת, ואף הסניגורית המלומדת לא טענה נגדו. לפיכך ייקבע המתחם </w:t>
      </w:r>
      <w:r>
        <w:rPr>
          <w:rFonts w:ascii="Arial" w:hAnsi="Arial" w:hint="cs"/>
          <w:rtl/>
        </w:rPr>
        <w:t>בין שמונה לבין 14 חודשי מאסר, כעונש עיקרי.</w:t>
      </w:r>
    </w:p>
    <w:p w14:paraId="5D4EE116" w14:textId="77777777" w:rsidR="00912C48" w:rsidRDefault="00912C48" w:rsidP="00912C48">
      <w:pPr>
        <w:spacing w:line="360" w:lineRule="auto"/>
        <w:jc w:val="both"/>
        <w:rPr>
          <w:rtl/>
        </w:rPr>
      </w:pPr>
    </w:p>
    <w:p w14:paraId="361E02E7" w14:textId="77777777" w:rsidR="00912C48" w:rsidRDefault="00912C48" w:rsidP="00912C48">
      <w:pPr>
        <w:spacing w:line="360" w:lineRule="auto"/>
        <w:jc w:val="both"/>
        <w:rPr>
          <w:rtl/>
        </w:rPr>
      </w:pPr>
      <w:r>
        <w:rPr>
          <w:rFonts w:hint="cs"/>
          <w:b/>
          <w:bCs/>
          <w:u w:val="single"/>
          <w:rtl/>
        </w:rPr>
        <w:t>חריגה ממתחם העונש הההולם מטעמי שיקום:</w:t>
      </w:r>
    </w:p>
    <w:p w14:paraId="38621FB3" w14:textId="77777777" w:rsidR="00912C48" w:rsidRDefault="00912C48" w:rsidP="00912C48">
      <w:pPr>
        <w:pStyle w:val="ListParagraph"/>
        <w:numPr>
          <w:ilvl w:val="0"/>
          <w:numId w:val="4"/>
        </w:numPr>
        <w:spacing w:line="360" w:lineRule="auto"/>
        <w:jc w:val="both"/>
      </w:pPr>
      <w:r>
        <w:rPr>
          <w:rFonts w:hint="cs"/>
          <w:rtl/>
        </w:rPr>
        <w:t>הנאשם יליד 1981, כבן 36 כיום, רווק המתגורר עם אמו ועובד כנגר בעבודות מזדמנות. מוצא הנאשם במשפחה רבת-בעיות שלא יכלה לספק לו ולאחאיו תמיכה והנחייה, בה חווה אלימות מצד אמו. בילדותו אובחן הנאשם כסובל מהפרעת קשב וריכוז, אך למד במסגרת רגילה והשלים 12 שנות לימוד. הנאשם שירת שירות צבאי מלא, במהלכו אובחן כסובל מקשיי הסתגלות וחרדה.</w:t>
      </w:r>
    </w:p>
    <w:p w14:paraId="2766F051" w14:textId="77777777" w:rsidR="00912C48" w:rsidRDefault="00912C48" w:rsidP="00912C48">
      <w:pPr>
        <w:pStyle w:val="ListParagraph"/>
        <w:numPr>
          <w:ilvl w:val="0"/>
          <w:numId w:val="4"/>
        </w:numPr>
        <w:spacing w:line="360" w:lineRule="auto"/>
        <w:jc w:val="both"/>
      </w:pPr>
      <w:r>
        <w:rPr>
          <w:rFonts w:hint="cs"/>
          <w:rtl/>
        </w:rPr>
        <w:t>לחובת הנאשם רישום יחיד ללא הרשעה משנת 2008 בגין החזקת סם מסוכן לצריכה עצמית.</w:t>
      </w:r>
    </w:p>
    <w:p w14:paraId="331E288C" w14:textId="77777777" w:rsidR="00912C48" w:rsidRDefault="00912C48" w:rsidP="00912C48">
      <w:pPr>
        <w:pStyle w:val="ListParagraph"/>
        <w:numPr>
          <w:ilvl w:val="0"/>
          <w:numId w:val="4"/>
        </w:numPr>
        <w:spacing w:line="360" w:lineRule="auto"/>
        <w:jc w:val="both"/>
      </w:pPr>
      <w:r>
        <w:rPr>
          <w:rFonts w:hint="cs"/>
          <w:rtl/>
        </w:rPr>
        <w:t>הנאשם אובחן כסובל מהפרעה דיכאונית משולבת עם תסמינים חרדתיים מסוג התקפי חרדה [תסקירים; נע/2]. התיעוד הפסיכיאטרי לאורך השנים מעיד על מצוקתו של הנאשם, כשההפרעה גררה קשיים תפקודיים, אישיותיים ורגשיים, שהם בתורם תרמו להתמכרות הנאשם לסמים, בהם השתמש הנאשם לצורך אלחוש עצמי. שירות המבחן מצא כי מערכת ערכיו של הנאשם תקינה והוא אינו לוקה בדפוסי חשיבה והתנהגות עברייניים.</w:t>
      </w:r>
    </w:p>
    <w:p w14:paraId="27064386" w14:textId="77777777" w:rsidR="00912C48" w:rsidRDefault="00912C48" w:rsidP="00912C48">
      <w:pPr>
        <w:pStyle w:val="ListParagraph"/>
        <w:numPr>
          <w:ilvl w:val="0"/>
          <w:numId w:val="4"/>
        </w:numPr>
        <w:spacing w:line="360" w:lineRule="auto"/>
        <w:jc w:val="both"/>
      </w:pPr>
      <w:r>
        <w:rPr>
          <w:rFonts w:hint="cs"/>
          <w:rtl/>
        </w:rPr>
        <w:t>מצבו הנפשי של הנאשם והתנודות האופייניות במצב רוחו, הקשו עליו ועל שירות המבחן למצוא דרך לשיקומו ולטיפול בהתמכרותו לסם. לאורך הזמן, כפי שמראים התסקירים העיתיים, הלכה והשתפרה יכולתו של הנאשם להימנע משמוש בסם וכך גם מידת רצונו ויכולתו להשתלב בטיפול.</w:t>
      </w:r>
    </w:p>
    <w:p w14:paraId="36593C27" w14:textId="77777777" w:rsidR="00912C48" w:rsidRDefault="00912C48" w:rsidP="00912C48">
      <w:pPr>
        <w:pStyle w:val="ListParagraph"/>
        <w:numPr>
          <w:ilvl w:val="0"/>
          <w:numId w:val="4"/>
        </w:numPr>
        <w:spacing w:line="360" w:lineRule="auto"/>
        <w:jc w:val="both"/>
      </w:pPr>
      <w:r>
        <w:rPr>
          <w:rFonts w:hint="cs"/>
          <w:rtl/>
        </w:rPr>
        <w:t>הנאשם נקי מסמים מתחילת שנת 2017. ביולי 2017 החל בטיפול במרכז "מאור" לתחלואה כפולה באשדוד: הנאשם הסתגל למסגרת, הגם שבקשיים מרובים מחמת התקפי חרדה והצפה רגשית, והשתתף בפעילויות הטיפוליות. מצבו של הנאשם השתפר ולא הצריך עוד את שהותו במרכז, ולכן המשיך הטיפול בו ביחידה העירונית להתמכרויות החל מאוקטובר 2017. גם במסגרת זו נרתם הנאשם לטיפול ונתרם ממנו.</w:t>
      </w:r>
    </w:p>
    <w:p w14:paraId="18658128" w14:textId="77777777" w:rsidR="00912C48" w:rsidRDefault="00912C48" w:rsidP="00912C48">
      <w:pPr>
        <w:pStyle w:val="ListParagraph"/>
        <w:numPr>
          <w:ilvl w:val="0"/>
          <w:numId w:val="4"/>
        </w:numPr>
        <w:spacing w:line="360" w:lineRule="auto"/>
        <w:jc w:val="both"/>
      </w:pPr>
      <w:r>
        <w:rPr>
          <w:rFonts w:hint="cs"/>
          <w:rtl/>
        </w:rPr>
        <w:t>יש לומר בקול ברור: הצלחתו של הנאשם בדרך השיקום, בסיוע גורמי התָקוֹן והרווחה, היא הישג אדיר, כמעט בלתי צפוי. אחרי שנים של אומללות והתמכרות לסם, בגין הפרעה נפשית, מנצל הנאשם לטובה את המערך הטיפולי, ולראשונה מזה שנים רבות מאוד הוא חופשי (יחסית) מכבלי ההפרעה והסם.</w:t>
      </w:r>
    </w:p>
    <w:p w14:paraId="09189EF8" w14:textId="77777777" w:rsidR="00912C48" w:rsidRPr="007D4309" w:rsidRDefault="00912C48" w:rsidP="00912C48">
      <w:pPr>
        <w:pStyle w:val="ListParagraph"/>
        <w:numPr>
          <w:ilvl w:val="0"/>
          <w:numId w:val="4"/>
        </w:numPr>
        <w:spacing w:line="360" w:lineRule="auto"/>
        <w:jc w:val="both"/>
      </w:pPr>
      <w:r>
        <w:rPr>
          <w:rFonts w:hint="cs"/>
          <w:rtl/>
        </w:rPr>
        <w:t>הנאשם עדיין בדרכו לסיום מוצלח של הטיפול, אך כבר עתה רבים ההישגים, ובהם שנה של ניקיון מסם. הצפי לשיקום מלא הוא אופטימי, ומה שהושג עד-עתה הינו כשלעצמו בחזקת שיקום. "</w:t>
      </w:r>
      <w:r w:rsidRPr="007D4309">
        <w:rPr>
          <w:rtl/>
        </w:rPr>
        <w:t xml:space="preserve">במקרה זה, השיקום אינו רק משאלת לב או תקווה. הוא הפך נגד עינינו למציאות שלא ניתן להפנות לה עורף. המובהקות שלו היא שמהווה אותן </w:t>
      </w:r>
      <w:r>
        <w:rPr>
          <w:rFonts w:hint="cs"/>
          <w:rtl/>
        </w:rPr>
        <w:t>'</w:t>
      </w:r>
      <w:r>
        <w:rPr>
          <w:rtl/>
        </w:rPr>
        <w:t>נסיבות מיוחדות ויוצאות דופן</w:t>
      </w:r>
      <w:r>
        <w:rPr>
          <w:rFonts w:hint="cs"/>
          <w:rtl/>
        </w:rPr>
        <w:t>'</w:t>
      </w:r>
      <w:r w:rsidRPr="007D4309">
        <w:rPr>
          <w:rtl/>
        </w:rPr>
        <w:t>, המצדיקות סטייה מן המתחם בשל שיקולי שיקום אף כאשר העבירות הן בעלות חומרה יתרה</w:t>
      </w:r>
      <w:r>
        <w:rPr>
          <w:rFonts w:hint="cs"/>
          <w:rtl/>
        </w:rPr>
        <w:t xml:space="preserve">" </w:t>
      </w:r>
      <w:r>
        <w:rPr>
          <w:rtl/>
        </w:rPr>
        <w:t>–</w:t>
      </w:r>
      <w:r>
        <w:rPr>
          <w:rFonts w:hint="cs"/>
          <w:rtl/>
        </w:rPr>
        <w:t xml:space="preserve"> כך נאמר ב</w:t>
      </w:r>
      <w:hyperlink r:id="rId20" w:history="1">
        <w:r w:rsidR="004E449E" w:rsidRPr="004E449E">
          <w:rPr>
            <w:color w:val="0000FF"/>
            <w:u w:val="single"/>
            <w:rtl/>
          </w:rPr>
          <w:t>ע"פ 779/15</w:t>
        </w:r>
      </w:hyperlink>
      <w:r w:rsidRPr="000F58E0">
        <w:rPr>
          <w:rtl/>
        </w:rPr>
        <w:t xml:space="preserve"> </w:t>
      </w:r>
      <w:r w:rsidRPr="000F58E0">
        <w:rPr>
          <w:b/>
          <w:bCs/>
          <w:rtl/>
        </w:rPr>
        <w:t>פלוני נ' מ.י.</w:t>
      </w:r>
      <w:r w:rsidRPr="000F58E0">
        <w:rPr>
          <w:rtl/>
        </w:rPr>
        <w:t xml:space="preserve"> (2015)</w:t>
      </w:r>
      <w:r>
        <w:rPr>
          <w:rFonts w:hint="cs"/>
          <w:rtl/>
        </w:rPr>
        <w:t>, והדבר יפה גם לענייננו.</w:t>
      </w:r>
    </w:p>
    <w:p w14:paraId="109755DB" w14:textId="77777777" w:rsidR="00912C48" w:rsidRDefault="00912C48" w:rsidP="00912C48">
      <w:pPr>
        <w:pStyle w:val="ListParagraph"/>
        <w:numPr>
          <w:ilvl w:val="0"/>
          <w:numId w:val="4"/>
        </w:numPr>
        <w:spacing w:line="360" w:lineRule="auto"/>
        <w:jc w:val="both"/>
      </w:pPr>
      <w:r>
        <w:rPr>
          <w:rFonts w:hint="cs"/>
          <w:rtl/>
        </w:rPr>
        <w:t>לנוכח האמור, אאמץ את עתירת ההגנה ואת המלצת שירות המבחן. בנסיבותיו המיוחדות של הנאשם, וכשכוחותיו המוגבלים (לעת-עתה) מתועלים להליך הטיפולי, אמנע מכל רכיב-ענישה קונקרטי שיכול לפגוע בשיקומו של הנאשם.</w:t>
      </w:r>
    </w:p>
    <w:p w14:paraId="18C56A28" w14:textId="77777777" w:rsidR="00912C48" w:rsidRPr="00D36CD6" w:rsidRDefault="00912C48" w:rsidP="00912C48">
      <w:pPr>
        <w:spacing w:line="360" w:lineRule="auto"/>
        <w:jc w:val="both"/>
        <w:rPr>
          <w:rtl/>
        </w:rPr>
      </w:pPr>
    </w:p>
    <w:p w14:paraId="688651D4" w14:textId="77777777" w:rsidR="00912C48" w:rsidRPr="000F58E0" w:rsidRDefault="00912C48" w:rsidP="00912C48">
      <w:pPr>
        <w:spacing w:line="360" w:lineRule="auto"/>
        <w:jc w:val="both"/>
        <w:rPr>
          <w:b/>
          <w:bCs/>
          <w:u w:val="single"/>
        </w:rPr>
      </w:pPr>
      <w:r>
        <w:rPr>
          <w:rFonts w:hint="cs"/>
          <w:b/>
          <w:bCs/>
          <w:u w:val="single"/>
          <w:rtl/>
        </w:rPr>
        <w:t>סוף-דבר, אני גוזר על הנאשם את העונשים הבאים:</w:t>
      </w:r>
    </w:p>
    <w:p w14:paraId="03FE0EEE" w14:textId="77777777" w:rsidR="00912C48" w:rsidRDefault="00912C48" w:rsidP="00912C48">
      <w:pPr>
        <w:spacing w:line="360" w:lineRule="auto"/>
        <w:jc w:val="both"/>
        <w:rPr>
          <w:rtl/>
        </w:rPr>
      </w:pPr>
      <w:r>
        <w:rPr>
          <w:rFonts w:hint="cs"/>
          <w:rtl/>
        </w:rPr>
        <w:t>א.</w:t>
      </w:r>
      <w:r>
        <w:rPr>
          <w:rFonts w:hint="cs"/>
          <w:rtl/>
        </w:rPr>
        <w:tab/>
        <w:t>ארבעה חודשי מאסר על-תנאי למשך שנתיים מהיום, שלא יעבור עבירת סמים שהיא פשע;</w:t>
      </w:r>
    </w:p>
    <w:p w14:paraId="448F7CEE" w14:textId="77777777" w:rsidR="00912C48" w:rsidRDefault="00912C48" w:rsidP="00912C48">
      <w:pPr>
        <w:spacing w:line="360" w:lineRule="auto"/>
        <w:ind w:left="720" w:hanging="720"/>
        <w:jc w:val="both"/>
        <w:rPr>
          <w:rtl/>
        </w:rPr>
      </w:pPr>
      <w:r>
        <w:rPr>
          <w:rFonts w:hint="cs"/>
          <w:rtl/>
        </w:rPr>
        <w:t>ב.</w:t>
      </w:r>
      <w:r>
        <w:rPr>
          <w:rFonts w:hint="cs"/>
          <w:rtl/>
        </w:rPr>
        <w:tab/>
        <w:t>אני מעמיד את הנאשם בפיקוח שירות המבחן למשך שנה מהיום, ותנאי מפורש בצו יהא המשך טיפול ביחידה העירונית לטיפול בהתמכרויות ברחובות, כל זמן ששירות המבחן ימצא צורך בכך. הנאשם מוזהר, כי הימנעות משיתוף פעולה עם שירות המבחן יוביל להשבת התיק לבית המשפט ולגזירת עונש חלופי נוסף;</w:t>
      </w:r>
    </w:p>
    <w:p w14:paraId="4FB88057" w14:textId="77777777" w:rsidR="00912C48" w:rsidRDefault="00912C48" w:rsidP="00912C48">
      <w:pPr>
        <w:spacing w:line="360" w:lineRule="auto"/>
        <w:ind w:left="720" w:hanging="720"/>
        <w:jc w:val="both"/>
        <w:rPr>
          <w:rtl/>
        </w:rPr>
      </w:pPr>
    </w:p>
    <w:p w14:paraId="74206730" w14:textId="77777777" w:rsidR="00912C48" w:rsidRDefault="00912C48" w:rsidP="00912C48">
      <w:pPr>
        <w:spacing w:line="360" w:lineRule="auto"/>
        <w:ind w:left="720" w:hanging="720"/>
        <w:jc w:val="both"/>
        <w:rPr>
          <w:rtl/>
        </w:rPr>
      </w:pPr>
      <w:r>
        <w:rPr>
          <w:rFonts w:hint="cs"/>
          <w:b/>
          <w:bCs/>
          <w:u w:val="single"/>
          <w:rtl/>
        </w:rPr>
        <w:t>הוראות נלוות:</w:t>
      </w:r>
    </w:p>
    <w:p w14:paraId="1A23979F" w14:textId="77777777" w:rsidR="00912C48" w:rsidRDefault="00912C48" w:rsidP="00912C48">
      <w:pPr>
        <w:spacing w:line="360" w:lineRule="auto"/>
        <w:ind w:left="720" w:hanging="720"/>
        <w:jc w:val="both"/>
        <w:rPr>
          <w:rtl/>
        </w:rPr>
      </w:pPr>
      <w:r>
        <w:rPr>
          <w:rFonts w:hint="cs"/>
          <w:rtl/>
        </w:rPr>
        <w:t>א.</w:t>
      </w:r>
      <w:r>
        <w:rPr>
          <w:rFonts w:hint="cs"/>
          <w:rtl/>
        </w:rPr>
        <w:tab/>
        <w:t>עותק גזר הדין יועבר לשירות המבחן;</w:t>
      </w:r>
    </w:p>
    <w:p w14:paraId="627C79EA" w14:textId="77777777" w:rsidR="00912C48" w:rsidRDefault="00912C48" w:rsidP="00912C48">
      <w:pPr>
        <w:spacing w:line="360" w:lineRule="auto"/>
        <w:ind w:left="720" w:hanging="720"/>
        <w:jc w:val="both"/>
        <w:rPr>
          <w:rtl/>
        </w:rPr>
      </w:pPr>
      <w:r>
        <w:rPr>
          <w:rFonts w:hint="cs"/>
          <w:rtl/>
        </w:rPr>
        <w:t>ב.</w:t>
      </w:r>
      <w:r>
        <w:rPr>
          <w:rFonts w:hint="cs"/>
          <w:rtl/>
        </w:rPr>
        <w:tab/>
        <w:t>סמים וציוד גידול יושמדו. כל מוצג אחר, פרט לכסף, יועבר להכרעה פרטנית של קצין משטרה;</w:t>
      </w:r>
    </w:p>
    <w:p w14:paraId="5C5DE6F7" w14:textId="77777777" w:rsidR="00912C48" w:rsidRDefault="00912C48" w:rsidP="00912C48">
      <w:pPr>
        <w:spacing w:line="360" w:lineRule="auto"/>
        <w:ind w:left="720" w:hanging="720"/>
        <w:jc w:val="both"/>
        <w:rPr>
          <w:rtl/>
        </w:rPr>
      </w:pPr>
      <w:r>
        <w:rPr>
          <w:rFonts w:hint="cs"/>
          <w:rtl/>
        </w:rPr>
        <w:t>ג.</w:t>
      </w:r>
      <w:r>
        <w:rPr>
          <w:rFonts w:hint="cs"/>
          <w:rtl/>
        </w:rPr>
        <w:tab/>
        <w:t>אם הפקיד הנאשם פיקדון בתיק זה, בתיק קשור או בתחנת משטרה, יושב לו הפיקדון;</w:t>
      </w:r>
    </w:p>
    <w:p w14:paraId="19726D38" w14:textId="77777777" w:rsidR="00912C48" w:rsidRDefault="00912C48" w:rsidP="00912C48">
      <w:pPr>
        <w:spacing w:line="360" w:lineRule="auto"/>
        <w:ind w:left="720" w:hanging="720"/>
        <w:jc w:val="both"/>
        <w:rPr>
          <w:rtl/>
        </w:rPr>
      </w:pPr>
    </w:p>
    <w:p w14:paraId="55D4CEDD" w14:textId="77777777" w:rsidR="00912C48" w:rsidRPr="00CD7E9E" w:rsidRDefault="00912C48" w:rsidP="00912C48">
      <w:pPr>
        <w:spacing w:line="360" w:lineRule="auto"/>
        <w:ind w:left="720" w:hanging="720"/>
        <w:jc w:val="both"/>
        <w:rPr>
          <w:rtl/>
        </w:rPr>
      </w:pPr>
      <w:r>
        <w:rPr>
          <w:rFonts w:hint="cs"/>
          <w:rtl/>
        </w:rPr>
        <w:t>זכות ערעור תוך 45 יום מהיום לבית המשפט המחוזי.</w:t>
      </w:r>
    </w:p>
    <w:p w14:paraId="6010E619" w14:textId="77777777" w:rsidR="00912C48" w:rsidRPr="004E449E" w:rsidRDefault="004E449E" w:rsidP="00912C48">
      <w:pPr>
        <w:spacing w:line="360" w:lineRule="auto"/>
        <w:jc w:val="both"/>
        <w:rPr>
          <w:color w:val="FFFFFF"/>
          <w:sz w:val="2"/>
          <w:szCs w:val="2"/>
          <w:rtl/>
        </w:rPr>
      </w:pPr>
      <w:r w:rsidRPr="004E449E">
        <w:rPr>
          <w:color w:val="FFFFFF"/>
          <w:sz w:val="2"/>
          <w:szCs w:val="2"/>
          <w:rtl/>
        </w:rPr>
        <w:t>5129371</w:t>
      </w:r>
    </w:p>
    <w:p w14:paraId="035849EB" w14:textId="77777777" w:rsidR="00912C48" w:rsidRPr="00250B83" w:rsidRDefault="004E449E" w:rsidP="00912C48">
      <w:pPr>
        <w:rPr>
          <w:rtl/>
        </w:rPr>
      </w:pPr>
      <w:r w:rsidRPr="004E449E">
        <w:rPr>
          <w:rFonts w:ascii="Arial" w:hAnsi="Arial"/>
          <w:color w:val="FFFFFF"/>
          <w:sz w:val="2"/>
          <w:szCs w:val="2"/>
          <w:rtl/>
        </w:rPr>
        <w:t>54678313</w:t>
      </w:r>
      <w:r>
        <w:rPr>
          <w:rFonts w:ascii="Arial" w:hAnsi="Arial"/>
          <w:rtl/>
        </w:rPr>
        <w:t xml:space="preserve">ניתן היום,  ט"ו טבת תשע"ח, 2 ינואר 2018, במעמד הצדדים. </w:t>
      </w:r>
    </w:p>
    <w:p w14:paraId="6D186102" w14:textId="77777777" w:rsidR="00912C48" w:rsidRPr="00250B83" w:rsidRDefault="00912C48" w:rsidP="00912C48">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5B4E831C" w14:textId="77777777" w:rsidR="00912C48" w:rsidRPr="00250B83" w:rsidRDefault="00912C48" w:rsidP="00912C48">
      <w:pPr>
        <w:jc w:val="center"/>
        <w:rPr>
          <w:rFonts w:ascii="Arial" w:hAnsi="Arial"/>
          <w:rtl/>
        </w:rPr>
      </w:pPr>
    </w:p>
    <w:p w14:paraId="6E08ACE6" w14:textId="77777777" w:rsidR="00912C48" w:rsidRPr="00250B83" w:rsidRDefault="00912C48" w:rsidP="00912C48">
      <w:pPr>
        <w:rPr>
          <w:rtl/>
        </w:rPr>
      </w:pPr>
    </w:p>
    <w:p w14:paraId="5DDDEAB0" w14:textId="77777777" w:rsidR="00912C48" w:rsidRDefault="00912C48" w:rsidP="00912C48">
      <w:pPr>
        <w:pStyle w:val="a3"/>
        <w:jc w:val="center"/>
        <w:rPr>
          <w:rtl/>
        </w:rPr>
      </w:pPr>
    </w:p>
    <w:p w14:paraId="25815AF3" w14:textId="77777777" w:rsidR="002D7B2F" w:rsidRPr="004E449E" w:rsidRDefault="002D7B2F" w:rsidP="004E449E">
      <w:pPr>
        <w:keepNext/>
        <w:rPr>
          <w:rFonts w:ascii="David" w:hAnsi="David"/>
          <w:color w:val="000000"/>
          <w:sz w:val="22"/>
          <w:szCs w:val="22"/>
          <w:rtl/>
        </w:rPr>
      </w:pPr>
    </w:p>
    <w:p w14:paraId="6E8ADD2A" w14:textId="77777777" w:rsidR="004E449E" w:rsidRPr="004E449E" w:rsidRDefault="004E449E" w:rsidP="004E449E">
      <w:pPr>
        <w:keepNext/>
        <w:rPr>
          <w:rFonts w:ascii="David" w:hAnsi="David"/>
          <w:color w:val="000000"/>
          <w:sz w:val="22"/>
          <w:szCs w:val="22"/>
          <w:rtl/>
        </w:rPr>
      </w:pPr>
      <w:r w:rsidRPr="004E449E">
        <w:rPr>
          <w:rFonts w:ascii="David" w:hAnsi="David"/>
          <w:color w:val="000000"/>
          <w:sz w:val="22"/>
          <w:szCs w:val="22"/>
          <w:rtl/>
        </w:rPr>
        <w:t>עידו דרויאן גמליאל 54678313</w:t>
      </w:r>
    </w:p>
    <w:p w14:paraId="605379A2" w14:textId="77777777" w:rsidR="004E449E" w:rsidRDefault="004E449E" w:rsidP="004E449E">
      <w:r w:rsidRPr="004E449E">
        <w:rPr>
          <w:color w:val="000000"/>
          <w:rtl/>
        </w:rPr>
        <w:t>נוסח מסמך זה כפוף לשינויי ניסוח ועריכה</w:t>
      </w:r>
    </w:p>
    <w:p w14:paraId="7D6E32E9" w14:textId="77777777" w:rsidR="004E449E" w:rsidRDefault="004E449E" w:rsidP="004E449E">
      <w:pPr>
        <w:rPr>
          <w:rtl/>
        </w:rPr>
      </w:pPr>
    </w:p>
    <w:p w14:paraId="07A4068A" w14:textId="77777777" w:rsidR="004E449E" w:rsidRDefault="004E449E" w:rsidP="004E449E">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3A9B9335" w14:textId="77777777" w:rsidR="004E449E" w:rsidRDefault="004E449E" w:rsidP="004E449E">
      <w:pPr>
        <w:jc w:val="center"/>
        <w:rPr>
          <w:rFonts w:hint="cs"/>
          <w:color w:val="0000FF"/>
          <w:u w:val="single"/>
          <w:rtl/>
        </w:rPr>
      </w:pPr>
    </w:p>
    <w:p w14:paraId="7D6B1F22" w14:textId="77777777" w:rsidR="002515F2" w:rsidRPr="004E449E" w:rsidRDefault="002515F2" w:rsidP="004E449E">
      <w:pPr>
        <w:jc w:val="center"/>
        <w:rPr>
          <w:color w:val="0000FF"/>
          <w:u w:val="single"/>
        </w:rPr>
      </w:pPr>
    </w:p>
    <w:sectPr w:rsidR="002515F2" w:rsidRPr="004E449E" w:rsidSect="004E449E">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55CE2" w14:textId="77777777" w:rsidR="001C52D2" w:rsidRDefault="001C52D2" w:rsidP="00912C48">
      <w:r>
        <w:separator/>
      </w:r>
    </w:p>
  </w:endnote>
  <w:endnote w:type="continuationSeparator" w:id="0">
    <w:p w14:paraId="7A572AD2" w14:textId="77777777" w:rsidR="001C52D2" w:rsidRDefault="001C52D2" w:rsidP="00912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154E1" w14:textId="77777777" w:rsidR="008B5386" w:rsidRDefault="008B5386" w:rsidP="004E449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B20B64" w14:textId="77777777" w:rsidR="008B5386" w:rsidRPr="004E449E" w:rsidRDefault="008B5386" w:rsidP="004E449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980F3" w14:textId="77777777" w:rsidR="008B5386" w:rsidRDefault="008B5386" w:rsidP="004E449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42289">
      <w:rPr>
        <w:rFonts w:ascii="FrankRuehl" w:hAnsi="FrankRuehl" w:cs="FrankRuehl"/>
        <w:noProof/>
        <w:rtl/>
      </w:rPr>
      <w:t>1</w:t>
    </w:r>
    <w:r>
      <w:rPr>
        <w:rFonts w:ascii="FrankRuehl" w:hAnsi="FrankRuehl" w:cs="FrankRuehl"/>
        <w:rtl/>
      </w:rPr>
      <w:fldChar w:fldCharType="end"/>
    </w:r>
  </w:p>
  <w:p w14:paraId="72F4B760" w14:textId="77777777" w:rsidR="008B5386" w:rsidRPr="004E449E" w:rsidRDefault="008B5386" w:rsidP="004E449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A393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BF374" w14:textId="77777777" w:rsidR="001C52D2" w:rsidRDefault="001C52D2" w:rsidP="00912C48">
      <w:r>
        <w:separator/>
      </w:r>
    </w:p>
  </w:footnote>
  <w:footnote w:type="continuationSeparator" w:id="0">
    <w:p w14:paraId="16516DD4" w14:textId="77777777" w:rsidR="001C52D2" w:rsidRDefault="001C52D2" w:rsidP="00912C48">
      <w:r>
        <w:continuationSeparator/>
      </w:r>
    </w:p>
  </w:footnote>
  <w:footnote w:id="1">
    <w:p w14:paraId="7101789C" w14:textId="77777777" w:rsidR="008B5386" w:rsidRDefault="008B5386" w:rsidP="00912C48">
      <w:pPr>
        <w:pStyle w:val="a9"/>
        <w:ind w:left="720" w:hanging="720"/>
        <w:jc w:val="both"/>
        <w:rPr>
          <w:rtl/>
        </w:rPr>
      </w:pPr>
      <w:r>
        <w:rPr>
          <w:rStyle w:val="ab"/>
        </w:rPr>
        <w:footnoteRef/>
      </w:r>
      <w:r>
        <w:rPr>
          <w:rtl/>
        </w:rPr>
        <w:t xml:space="preserve"> </w:t>
      </w:r>
      <w:r>
        <w:rPr>
          <w:rtl/>
        </w:rPr>
        <w:tab/>
      </w:r>
      <w:r w:rsidRPr="00C04F28">
        <w:rPr>
          <w:rtl/>
        </w:rPr>
        <w:t>ההלכה הפסוקה מאפשרת לערכאה הדיונית, הנחשפת למספר גדול של כתבי אישום ותיקים דומים, מרווח שיקול דעת וגמישות להסיק מסקנות אודות התגברותה של תופעת פשיעה בתחום עבריינות מסוים, אף אם לא הובאו לפניה נתונים עובדתיים חד משמעיים (</w:t>
      </w:r>
      <w:hyperlink r:id="rId1" w:history="1">
        <w:r w:rsidRPr="004E449E">
          <w:rPr>
            <w:color w:val="0000FF"/>
            <w:u w:val="single"/>
            <w:rtl/>
          </w:rPr>
          <w:t>ע"פ 4841/13</w:t>
        </w:r>
      </w:hyperlink>
      <w:r w:rsidRPr="00C04F28">
        <w:rPr>
          <w:rtl/>
        </w:rPr>
        <w:t xml:space="preserve"> </w:t>
      </w:r>
      <w:r w:rsidRPr="00C04F28">
        <w:rPr>
          <w:b/>
          <w:bCs/>
          <w:rtl/>
        </w:rPr>
        <w:t xml:space="preserve">ספי נ' מ.י. </w:t>
      </w:r>
      <w:r w:rsidRPr="00C04F28">
        <w:rPr>
          <w:rtl/>
        </w:rPr>
        <w:t xml:space="preserve">(2014), </w:t>
      </w:r>
      <w:hyperlink r:id="rId2" w:history="1">
        <w:r w:rsidRPr="004E449E">
          <w:rPr>
            <w:color w:val="0000FF"/>
            <w:u w:val="single"/>
            <w:rtl/>
          </w:rPr>
          <w:t>ע"פ 5535/12</w:t>
        </w:r>
      </w:hyperlink>
      <w:r w:rsidRPr="00C04F28">
        <w:rPr>
          <w:rtl/>
        </w:rPr>
        <w:t xml:space="preserve"> </w:t>
      </w:r>
      <w:r w:rsidRPr="00C04F28">
        <w:rPr>
          <w:b/>
          <w:bCs/>
          <w:rtl/>
        </w:rPr>
        <w:t>כאברי נ' מ.י.</w:t>
      </w:r>
      <w:r w:rsidRPr="00C04F28">
        <w:rPr>
          <w:rtl/>
        </w:rPr>
        <w:t xml:space="preserve"> (2013), </w:t>
      </w:r>
      <w:r>
        <w:rPr>
          <w:rFonts w:hint="cs"/>
          <w:rtl/>
        </w:rPr>
        <w:t>ו</w:t>
      </w:r>
      <w:hyperlink r:id="rId3" w:history="1">
        <w:r w:rsidRPr="004E449E">
          <w:rPr>
            <w:color w:val="0000FF"/>
            <w:u w:val="single"/>
            <w:rtl/>
          </w:rPr>
          <w:t>ע"פ 3160/12</w:t>
        </w:r>
      </w:hyperlink>
      <w:r w:rsidRPr="00C04F28">
        <w:rPr>
          <w:rtl/>
        </w:rPr>
        <w:t xml:space="preserve"> </w:t>
      </w:r>
      <w:r w:rsidRPr="00C04F28">
        <w:rPr>
          <w:b/>
          <w:bCs/>
          <w:rtl/>
        </w:rPr>
        <w:t>כריסטיאן נ' מ.י.</w:t>
      </w:r>
      <w:r w:rsidRPr="00C04F28">
        <w:rPr>
          <w:rtl/>
        </w:rPr>
        <w:t xml:space="preserve"> (2013)</w:t>
      </w:r>
      <w:r>
        <w:rPr>
          <w:rFonts w:hint="cs"/>
          <w:rtl/>
        </w:rPr>
        <w:t>)</w:t>
      </w:r>
      <w:r w:rsidRPr="00C04F28">
        <w:rPr>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58E13" w14:textId="77777777" w:rsidR="008B5386" w:rsidRPr="004E449E" w:rsidRDefault="008B5386" w:rsidP="004E449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34829-07-15</w:t>
    </w:r>
    <w:r>
      <w:rPr>
        <w:rFonts w:ascii="David" w:hAnsi="David"/>
        <w:color w:val="000000"/>
        <w:sz w:val="22"/>
        <w:szCs w:val="22"/>
        <w:rtl/>
      </w:rPr>
      <w:tab/>
      <w:t xml:space="preserve"> מדינת ישראל נ' אלי בן בסט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8F43F" w14:textId="77777777" w:rsidR="008B5386" w:rsidRPr="004E449E" w:rsidRDefault="008B5386" w:rsidP="004E449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34829-07-15</w:t>
    </w:r>
    <w:r>
      <w:rPr>
        <w:rFonts w:ascii="David" w:hAnsi="David"/>
        <w:color w:val="000000"/>
        <w:sz w:val="22"/>
        <w:szCs w:val="22"/>
        <w:rtl/>
      </w:rPr>
      <w:tab/>
      <w:t xml:space="preserve"> מדינת ישראל נ' אלי בן בסט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E385B"/>
    <w:multiLevelType w:val="hybridMultilevel"/>
    <w:tmpl w:val="DBC842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1715872"/>
    <w:multiLevelType w:val="hybridMultilevel"/>
    <w:tmpl w:val="CDE0AE0E"/>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0A7241B"/>
    <w:multiLevelType w:val="hybridMultilevel"/>
    <w:tmpl w:val="9F26EDEC"/>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781352DF"/>
    <w:multiLevelType w:val="hybridMultilevel"/>
    <w:tmpl w:val="DCC28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12400061">
    <w:abstractNumId w:val="1"/>
  </w:num>
  <w:num w:numId="2" w16cid:durableId="768231604">
    <w:abstractNumId w:val="0"/>
  </w:num>
  <w:num w:numId="3" w16cid:durableId="17252580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4183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12C48"/>
    <w:rsid w:val="00042289"/>
    <w:rsid w:val="001C52D2"/>
    <w:rsid w:val="002515F2"/>
    <w:rsid w:val="002D7B2F"/>
    <w:rsid w:val="0037069D"/>
    <w:rsid w:val="003A5D15"/>
    <w:rsid w:val="004757F9"/>
    <w:rsid w:val="004E449E"/>
    <w:rsid w:val="00552D9E"/>
    <w:rsid w:val="005A2BFA"/>
    <w:rsid w:val="00636DC9"/>
    <w:rsid w:val="006A525D"/>
    <w:rsid w:val="008B5386"/>
    <w:rsid w:val="00912C48"/>
    <w:rsid w:val="00BA16A0"/>
    <w:rsid w:val="00C16BB5"/>
    <w:rsid w:val="00C7283F"/>
    <w:rsid w:val="00E60FC2"/>
    <w:rsid w:val="00F43CC6"/>
    <w:rsid w:val="00FB51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BBF1116"/>
  <w15:chartTrackingRefBased/>
  <w15:docId w15:val="{7C09A2CC-B848-4D23-843B-F582EC9C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2C4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12C48"/>
    <w:pPr>
      <w:tabs>
        <w:tab w:val="center" w:pos="4153"/>
        <w:tab w:val="right" w:pos="8306"/>
      </w:tabs>
    </w:pPr>
  </w:style>
  <w:style w:type="character" w:customStyle="1" w:styleId="a4">
    <w:name w:val="כותרת עליונה תו"/>
    <w:link w:val="a3"/>
    <w:rsid w:val="00912C48"/>
    <w:rPr>
      <w:rFonts w:ascii="Times New Roman" w:eastAsia="Times New Roman" w:hAnsi="Times New Roman" w:cs="David"/>
      <w:sz w:val="24"/>
      <w:szCs w:val="24"/>
    </w:rPr>
  </w:style>
  <w:style w:type="paragraph" w:styleId="a5">
    <w:name w:val="footer"/>
    <w:basedOn w:val="a"/>
    <w:link w:val="a6"/>
    <w:rsid w:val="00912C48"/>
    <w:pPr>
      <w:tabs>
        <w:tab w:val="center" w:pos="4153"/>
        <w:tab w:val="right" w:pos="8306"/>
      </w:tabs>
    </w:pPr>
  </w:style>
  <w:style w:type="character" w:customStyle="1" w:styleId="a6">
    <w:name w:val="כותרת תחתונה תו"/>
    <w:link w:val="a5"/>
    <w:rsid w:val="00912C48"/>
    <w:rPr>
      <w:rFonts w:ascii="Times New Roman" w:eastAsia="Times New Roman" w:hAnsi="Times New Roman" w:cs="David"/>
      <w:sz w:val="24"/>
      <w:szCs w:val="24"/>
    </w:rPr>
  </w:style>
  <w:style w:type="table" w:styleId="a7">
    <w:name w:val="Table Grid"/>
    <w:basedOn w:val="a1"/>
    <w:rsid w:val="00912C4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12C48"/>
  </w:style>
  <w:style w:type="paragraph" w:customStyle="1" w:styleId="ListParagraph">
    <w:name w:val="List Paragraph"/>
    <w:basedOn w:val="a"/>
    <w:qFormat/>
    <w:rsid w:val="00912C48"/>
    <w:pPr>
      <w:ind w:left="720"/>
      <w:contextualSpacing/>
    </w:pPr>
  </w:style>
  <w:style w:type="paragraph" w:styleId="a9">
    <w:name w:val="footnote text"/>
    <w:basedOn w:val="a"/>
    <w:link w:val="aa"/>
    <w:rsid w:val="00912C48"/>
    <w:rPr>
      <w:sz w:val="20"/>
      <w:szCs w:val="20"/>
    </w:rPr>
  </w:style>
  <w:style w:type="character" w:customStyle="1" w:styleId="aa">
    <w:name w:val="טקסט הערת שוליים תו"/>
    <w:link w:val="a9"/>
    <w:rsid w:val="00912C48"/>
    <w:rPr>
      <w:rFonts w:ascii="Times New Roman" w:eastAsia="Times New Roman" w:hAnsi="Times New Roman" w:cs="David"/>
      <w:sz w:val="20"/>
      <w:szCs w:val="20"/>
    </w:rPr>
  </w:style>
  <w:style w:type="character" w:styleId="ab">
    <w:name w:val="footnote reference"/>
    <w:rsid w:val="00912C48"/>
    <w:rPr>
      <w:vertAlign w:val="superscript"/>
    </w:rPr>
  </w:style>
  <w:style w:type="character" w:styleId="Hyperlink">
    <w:name w:val="Hyperlink"/>
    <w:rsid w:val="004E449E"/>
    <w:rPr>
      <w:color w:val="0563C1"/>
      <w:u w:val="single"/>
    </w:rPr>
  </w:style>
  <w:style w:type="character" w:styleId="ac">
    <w:name w:val="Unresolved Mention"/>
    <w:rsid w:val="004E44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case/2268822" TargetMode="External"/><Relationship Id="rId18" Type="http://schemas.openxmlformats.org/officeDocument/2006/relationships/hyperlink" Target="http://www.nevo.co.il/case/2102009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9.a" TargetMode="External"/><Relationship Id="rId17" Type="http://schemas.openxmlformats.org/officeDocument/2006/relationships/hyperlink" Target="http://www.nevo.co.il/case/18045843"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16938303" TargetMode="External"/><Relationship Id="rId20" Type="http://schemas.openxmlformats.org/officeDocument/2006/relationships/hyperlink" Target="http://www.nevo.co.il/case/200094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18090154" TargetMode="External"/><Relationship Id="rId23" Type="http://schemas.openxmlformats.org/officeDocument/2006/relationships/header" Target="header2.xml"/><Relationship Id="rId10" Type="http://schemas.openxmlformats.org/officeDocument/2006/relationships/hyperlink" Target="http://www.nevo.co.il/law/4216/6" TargetMode="External"/><Relationship Id="rId19" Type="http://schemas.openxmlformats.org/officeDocument/2006/relationships/hyperlink" Target="http://www.nevo.co.il/case/18119161" TargetMode="External"/><Relationship Id="rId4" Type="http://schemas.openxmlformats.org/officeDocument/2006/relationships/webSettings" Target="webSettings.xml"/><Relationship Id="rId9" Type="http://schemas.openxmlformats.org/officeDocument/2006/relationships/hyperlink" Target="http://www.nevo.co.il/law/4216/9.a" TargetMode="External"/><Relationship Id="rId14" Type="http://schemas.openxmlformats.org/officeDocument/2006/relationships/hyperlink" Target="http://www.nevo.co.il/case/20705570"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www.nevo.co.il/case/5583050" TargetMode="External"/><Relationship Id="rId2" Type="http://schemas.openxmlformats.org/officeDocument/2006/relationships/hyperlink" Target="http://www.nevo.co.il/case/5590454" TargetMode="External"/><Relationship Id="rId1" Type="http://schemas.openxmlformats.org/officeDocument/2006/relationships/hyperlink" Target="http://www.nevo.co.il/case/7773349"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1255</Words>
  <Characters>6275</Characters>
  <Application>Microsoft Office Word</Application>
  <DocSecurity>0</DocSecurity>
  <Lines>52</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7515</CharactersWithSpaces>
  <SharedDoc>false</SharedDoc>
  <HLinks>
    <vt:vector size="108" baseType="variant">
      <vt:variant>
        <vt:i4>393283</vt:i4>
      </vt:variant>
      <vt:variant>
        <vt:i4>42</vt:i4>
      </vt:variant>
      <vt:variant>
        <vt:i4>0</vt:i4>
      </vt:variant>
      <vt:variant>
        <vt:i4>5</vt:i4>
      </vt:variant>
      <vt:variant>
        <vt:lpwstr>http://www.nevo.co.il/advertisements/nevo-100.doc</vt:lpwstr>
      </vt:variant>
      <vt:variant>
        <vt:lpwstr/>
      </vt:variant>
      <vt:variant>
        <vt:i4>3801200</vt:i4>
      </vt:variant>
      <vt:variant>
        <vt:i4>39</vt:i4>
      </vt:variant>
      <vt:variant>
        <vt:i4>0</vt:i4>
      </vt:variant>
      <vt:variant>
        <vt:i4>5</vt:i4>
      </vt:variant>
      <vt:variant>
        <vt:lpwstr>http://www.nevo.co.il/case/20009419</vt:lpwstr>
      </vt:variant>
      <vt:variant>
        <vt:lpwstr/>
      </vt:variant>
      <vt:variant>
        <vt:i4>4128892</vt:i4>
      </vt:variant>
      <vt:variant>
        <vt:i4>36</vt:i4>
      </vt:variant>
      <vt:variant>
        <vt:i4>0</vt:i4>
      </vt:variant>
      <vt:variant>
        <vt:i4>5</vt:i4>
      </vt:variant>
      <vt:variant>
        <vt:lpwstr>http://www.nevo.co.il/case/18119161</vt:lpwstr>
      </vt:variant>
      <vt:variant>
        <vt:lpwstr/>
      </vt:variant>
      <vt:variant>
        <vt:i4>3866743</vt:i4>
      </vt:variant>
      <vt:variant>
        <vt:i4>33</vt:i4>
      </vt:variant>
      <vt:variant>
        <vt:i4>0</vt:i4>
      </vt:variant>
      <vt:variant>
        <vt:i4>5</vt:i4>
      </vt:variant>
      <vt:variant>
        <vt:lpwstr>http://www.nevo.co.il/case/21020095</vt:lpwstr>
      </vt:variant>
      <vt:variant>
        <vt:lpwstr/>
      </vt:variant>
      <vt:variant>
        <vt:i4>3145840</vt:i4>
      </vt:variant>
      <vt:variant>
        <vt:i4>30</vt:i4>
      </vt:variant>
      <vt:variant>
        <vt:i4>0</vt:i4>
      </vt:variant>
      <vt:variant>
        <vt:i4>5</vt:i4>
      </vt:variant>
      <vt:variant>
        <vt:lpwstr>http://www.nevo.co.il/case/18045843</vt:lpwstr>
      </vt:variant>
      <vt:variant>
        <vt:lpwstr/>
      </vt:variant>
      <vt:variant>
        <vt:i4>3145842</vt:i4>
      </vt:variant>
      <vt:variant>
        <vt:i4>27</vt:i4>
      </vt:variant>
      <vt:variant>
        <vt:i4>0</vt:i4>
      </vt:variant>
      <vt:variant>
        <vt:i4>5</vt:i4>
      </vt:variant>
      <vt:variant>
        <vt:lpwstr>http://www.nevo.co.il/case/16938303</vt:lpwstr>
      </vt:variant>
      <vt:variant>
        <vt:lpwstr/>
      </vt:variant>
      <vt:variant>
        <vt:i4>3407988</vt:i4>
      </vt:variant>
      <vt:variant>
        <vt:i4>24</vt:i4>
      </vt:variant>
      <vt:variant>
        <vt:i4>0</vt:i4>
      </vt:variant>
      <vt:variant>
        <vt:i4>5</vt:i4>
      </vt:variant>
      <vt:variant>
        <vt:lpwstr>http://www.nevo.co.il/case/18090154</vt:lpwstr>
      </vt:variant>
      <vt:variant>
        <vt:lpwstr/>
      </vt:variant>
      <vt:variant>
        <vt:i4>3604593</vt:i4>
      </vt:variant>
      <vt:variant>
        <vt:i4>21</vt:i4>
      </vt:variant>
      <vt:variant>
        <vt:i4>0</vt:i4>
      </vt:variant>
      <vt:variant>
        <vt:i4>5</vt:i4>
      </vt:variant>
      <vt:variant>
        <vt:lpwstr>http://www.nevo.co.il/case/20705570</vt:lpwstr>
      </vt:variant>
      <vt:variant>
        <vt:lpwstr/>
      </vt:variant>
      <vt:variant>
        <vt:i4>4063356</vt:i4>
      </vt:variant>
      <vt:variant>
        <vt:i4>18</vt:i4>
      </vt:variant>
      <vt:variant>
        <vt:i4>0</vt:i4>
      </vt:variant>
      <vt:variant>
        <vt:i4>5</vt:i4>
      </vt:variant>
      <vt:variant>
        <vt:lpwstr>http://www.nevo.co.il/case/2268822</vt:lpwstr>
      </vt:variant>
      <vt:variant>
        <vt:lpwstr/>
      </vt:variant>
      <vt:variant>
        <vt:i4>2490468</vt:i4>
      </vt:variant>
      <vt:variant>
        <vt:i4>15</vt:i4>
      </vt:variant>
      <vt:variant>
        <vt:i4>0</vt:i4>
      </vt:variant>
      <vt:variant>
        <vt:i4>5</vt:i4>
      </vt:variant>
      <vt:variant>
        <vt:lpwstr>http://www.nevo.co.il/law/4216/9.a</vt:lpwstr>
      </vt:variant>
      <vt:variant>
        <vt:lpwstr/>
      </vt:variant>
      <vt:variant>
        <vt:i4>8257637</vt:i4>
      </vt:variant>
      <vt:variant>
        <vt:i4>12</vt:i4>
      </vt:variant>
      <vt:variant>
        <vt:i4>0</vt:i4>
      </vt:variant>
      <vt:variant>
        <vt:i4>5</vt:i4>
      </vt:variant>
      <vt:variant>
        <vt:lpwstr>http://www.nevo.co.il/law/4216</vt:lpwstr>
      </vt:variant>
      <vt:variant>
        <vt:lpwstr/>
      </vt:variant>
      <vt:variant>
        <vt:i4>4718666</vt:i4>
      </vt:variant>
      <vt:variant>
        <vt:i4>9</vt:i4>
      </vt:variant>
      <vt:variant>
        <vt:i4>0</vt:i4>
      </vt:variant>
      <vt:variant>
        <vt:i4>5</vt:i4>
      </vt:variant>
      <vt:variant>
        <vt:lpwstr>http://www.nevo.co.il/law/4216/6</vt:lpwstr>
      </vt:variant>
      <vt:variant>
        <vt:lpwstr/>
      </vt:variant>
      <vt:variant>
        <vt:i4>2490468</vt:i4>
      </vt:variant>
      <vt:variant>
        <vt:i4>6</vt:i4>
      </vt:variant>
      <vt:variant>
        <vt:i4>0</vt:i4>
      </vt:variant>
      <vt:variant>
        <vt:i4>5</vt:i4>
      </vt:variant>
      <vt:variant>
        <vt:lpwstr>http://www.nevo.co.il/law/4216/9.a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ariant>
        <vt:i4>3997815</vt:i4>
      </vt:variant>
      <vt:variant>
        <vt:i4>6</vt:i4>
      </vt:variant>
      <vt:variant>
        <vt:i4>0</vt:i4>
      </vt:variant>
      <vt:variant>
        <vt:i4>5</vt:i4>
      </vt:variant>
      <vt:variant>
        <vt:lpwstr>http://www.nevo.co.il/case/5583050</vt:lpwstr>
      </vt:variant>
      <vt:variant>
        <vt:lpwstr/>
      </vt:variant>
      <vt:variant>
        <vt:i4>3932276</vt:i4>
      </vt:variant>
      <vt:variant>
        <vt:i4>3</vt:i4>
      </vt:variant>
      <vt:variant>
        <vt:i4>0</vt:i4>
      </vt:variant>
      <vt:variant>
        <vt:i4>5</vt:i4>
      </vt:variant>
      <vt:variant>
        <vt:lpwstr>http://www.nevo.co.il/case/5590454</vt:lpwstr>
      </vt:variant>
      <vt:variant>
        <vt:lpwstr/>
      </vt:variant>
      <vt:variant>
        <vt:i4>3801204</vt:i4>
      </vt:variant>
      <vt:variant>
        <vt:i4>0</vt:i4>
      </vt:variant>
      <vt:variant>
        <vt:i4>0</vt:i4>
      </vt:variant>
      <vt:variant>
        <vt:i4>5</vt:i4>
      </vt:variant>
      <vt:variant>
        <vt:lpwstr>http://www.nevo.co.il/case/7773349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2025-04-22T22:46:00Z</dcterms:created>
  <dcterms:modified xsi:type="dcterms:W3CDTF">2025-04-22T22:46:00Z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34829</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אלי בן בסט</vt:lpwstr>
  </property>
  <property fmtid="{D5CDD505-2E9C-101B-9397-08002B2CF9AE}" pid="10" name="LAWYER">
    <vt:lpwstr>חבר ;קיפניס פרדמן;קידר</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20180102</vt:lpwstr>
  </property>
  <property fmtid="{D5CDD505-2E9C-101B-9397-08002B2CF9AE}" pid="14" name="TYPE_N_DATE">
    <vt:lpwstr>38020180102</vt:lpwstr>
  </property>
  <property fmtid="{D5CDD505-2E9C-101B-9397-08002B2CF9AE}" pid="15" name="WORDNUMPAGES">
    <vt:lpwstr>4</vt:lpwstr>
  </property>
  <property fmtid="{D5CDD505-2E9C-101B-9397-08002B2CF9AE}" pid="16" name="TYPE_ABS_DATE">
    <vt:lpwstr>380020180102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2268822;20705570;18090154;16938303;18045843;21020095;18119161;20009419;7773349;5590454;5583050</vt:lpwstr>
  </property>
  <property fmtid="{D5CDD505-2E9C-101B-9397-08002B2CF9AE}" pid="36" name="LAWLISTTMP1">
    <vt:lpwstr>4216/006:2;009.a:2</vt:lpwstr>
  </property>
</Properties>
</file>