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3A3FA" w14:textId="77777777" w:rsidR="00E10A98" w:rsidRPr="00BB3696" w:rsidRDefault="00E10A98">
      <w:pPr>
        <w:pStyle w:val="a3"/>
        <w:jc w:val="center"/>
        <w:rPr>
          <w:rFonts w:ascii="Tahoma" w:hAnsi="Tahoma" w:cs="Tahoma"/>
          <w:color w:val="000080"/>
          <w:rtl/>
        </w:rPr>
      </w:pPr>
      <w:r w:rsidRPr="00BB3696">
        <w:rPr>
          <w:rFonts w:ascii="Tahoma" w:hAnsi="Tahoma" w:cs="Tahoma"/>
          <w:b/>
          <w:bCs/>
          <w:color w:val="000080"/>
          <w:rtl/>
        </w:rPr>
        <w:t>בית משפט השלום בירושלים</w:t>
      </w:r>
    </w:p>
    <w:p w14:paraId="64E69059" w14:textId="77777777" w:rsidR="00E10A98" w:rsidRPr="00BB3696" w:rsidRDefault="00E10A98">
      <w:pPr>
        <w:rPr>
          <w:rFonts w:cs="FrankRuehl"/>
          <w:sz w:val="28"/>
          <w:szCs w:val="28"/>
          <w:rtl/>
        </w:rPr>
      </w:pPr>
      <w:r w:rsidRPr="00BB3696">
        <w:rPr>
          <w:rFonts w:cs="FrankRuehl"/>
          <w:sz w:val="28"/>
          <w:szCs w:val="28"/>
          <w:rtl/>
        </w:rPr>
        <w:t>ת"פ</w:t>
      </w:r>
      <w:r w:rsidRPr="00BB3696">
        <w:rPr>
          <w:rFonts w:cs="FrankRuehl" w:hint="cs"/>
          <w:sz w:val="28"/>
          <w:szCs w:val="28"/>
          <w:rtl/>
        </w:rPr>
        <w:t xml:space="preserve"> </w:t>
      </w:r>
      <w:r w:rsidRPr="00BB3696">
        <w:rPr>
          <w:rFonts w:cs="FrankRuehl"/>
          <w:sz w:val="28"/>
          <w:szCs w:val="28"/>
          <w:rtl/>
        </w:rPr>
        <w:t>37364-07-15</w:t>
      </w:r>
      <w:r w:rsidRPr="00BB3696">
        <w:rPr>
          <w:rFonts w:cs="FrankRuehl" w:hint="cs"/>
          <w:sz w:val="28"/>
          <w:szCs w:val="28"/>
          <w:rtl/>
        </w:rPr>
        <w:t xml:space="preserve"> </w:t>
      </w:r>
      <w:r w:rsidRPr="00BB3696">
        <w:rPr>
          <w:rFonts w:cs="FrankRuehl"/>
          <w:sz w:val="28"/>
          <w:szCs w:val="28"/>
          <w:rtl/>
        </w:rPr>
        <w:t>מדינת ישראל נ' בן עטר(עציר) ואח'</w:t>
      </w:r>
    </w:p>
    <w:p w14:paraId="7C3CA123" w14:textId="77777777" w:rsidR="00E10A98" w:rsidRPr="00BB3696" w:rsidRDefault="00E10A98">
      <w:pPr>
        <w:pStyle w:val="a3"/>
        <w:jc w:val="right"/>
        <w:rPr>
          <w:rFonts w:cs="FrankRuehl"/>
          <w:sz w:val="28"/>
          <w:szCs w:val="28"/>
          <w:rtl/>
        </w:rPr>
      </w:pPr>
      <w:r w:rsidRPr="00BB3696">
        <w:rPr>
          <w:rFonts w:cs="Times New Roman"/>
          <w:sz w:val="28"/>
          <w:szCs w:val="28"/>
          <w:rtl/>
        </w:rPr>
        <w:t>05 נובמבר 2015</w:t>
      </w:r>
    </w:p>
    <w:p w14:paraId="3CFEB0C1" w14:textId="77777777" w:rsidR="001811FF" w:rsidRPr="00BB3696" w:rsidRDefault="00BB3696">
      <w:pPr>
        <w:pStyle w:val="a3"/>
        <w:rPr>
          <w:rtl/>
        </w:rPr>
      </w:pPr>
      <w:r w:rsidRPr="00BB3696">
        <w:rPr>
          <w:rFonts w:hint="cs"/>
          <w:rtl/>
        </w:rPr>
        <w:t xml:space="preserve"> </w:t>
      </w:r>
    </w:p>
    <w:p w14:paraId="11CFAB77" w14:textId="77777777" w:rsidR="001811FF" w:rsidRPr="00BB3696" w:rsidRDefault="00BB3696">
      <w:pPr>
        <w:pStyle w:val="a3"/>
      </w:pPr>
      <w:r w:rsidRPr="00BB3696">
        <w:rPr>
          <w:rFonts w:cs="Times New Roman" w:hint="cs"/>
          <w:b/>
          <w:bCs/>
          <w:sz w:val="26"/>
          <w:szCs w:val="28"/>
          <w:rtl/>
        </w:rPr>
        <w:t xml:space="preserve"> </w:t>
      </w:r>
    </w:p>
    <w:p w14:paraId="66F1B56B" w14:textId="77777777" w:rsidR="001811FF" w:rsidRPr="00BB3696" w:rsidRDefault="001811F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1811FF" w:rsidRPr="00BB3696" w14:paraId="35A73F3E" w14:textId="77777777">
        <w:trPr>
          <w:trHeight w:val="295"/>
          <w:jc w:val="center"/>
        </w:trPr>
        <w:tc>
          <w:tcPr>
            <w:tcW w:w="923" w:type="dxa"/>
            <w:tcBorders>
              <w:top w:val="nil"/>
              <w:left w:val="nil"/>
              <w:bottom w:val="nil"/>
              <w:right w:val="nil"/>
            </w:tcBorders>
            <w:shd w:val="clear" w:color="auto" w:fill="auto"/>
          </w:tcPr>
          <w:p w14:paraId="61C9A4C2" w14:textId="77777777" w:rsidR="001811FF" w:rsidRPr="00BB3696" w:rsidRDefault="00BB3696">
            <w:pPr>
              <w:jc w:val="both"/>
              <w:rPr>
                <w:rFonts w:ascii="Arial" w:hAnsi="Arial" w:cs="FrankRuehl"/>
                <w:sz w:val="28"/>
                <w:szCs w:val="28"/>
              </w:rPr>
            </w:pPr>
            <w:r w:rsidRPr="00BB3696">
              <w:rPr>
                <w:rFonts w:ascii="Arial" w:hAnsi="Arial" w:cs="FrankRuehl" w:hint="cs"/>
                <w:sz w:val="28"/>
                <w:szCs w:val="28"/>
                <w:rtl/>
              </w:rPr>
              <w:t>ב</w:t>
            </w:r>
            <w:r w:rsidRPr="00BB3696">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0FC28CFB" w14:textId="77777777" w:rsidR="001811FF" w:rsidRPr="00BB3696" w:rsidRDefault="00BB3696">
            <w:pPr>
              <w:rPr>
                <w:rFonts w:ascii="Arial" w:hAnsi="Arial"/>
                <w:b/>
                <w:bCs/>
              </w:rPr>
            </w:pPr>
            <w:r w:rsidRPr="00BB3696">
              <w:rPr>
                <w:rFonts w:ascii="Arial" w:hAnsi="Arial" w:hint="cs"/>
                <w:b/>
                <w:bCs/>
                <w:rtl/>
              </w:rPr>
              <w:t>כב' השופטת חגית מאק-קלמנוביץ, ס. נשיא</w:t>
            </w:r>
          </w:p>
        </w:tc>
      </w:tr>
      <w:tr w:rsidR="001811FF" w:rsidRPr="00BB3696" w14:paraId="7ABF5A91" w14:textId="77777777">
        <w:trPr>
          <w:trHeight w:val="355"/>
          <w:jc w:val="center"/>
        </w:trPr>
        <w:tc>
          <w:tcPr>
            <w:tcW w:w="923" w:type="dxa"/>
            <w:tcBorders>
              <w:top w:val="nil"/>
              <w:left w:val="nil"/>
              <w:bottom w:val="nil"/>
              <w:right w:val="nil"/>
            </w:tcBorders>
            <w:shd w:val="clear" w:color="auto" w:fill="auto"/>
          </w:tcPr>
          <w:p w14:paraId="6C3200FE" w14:textId="77777777" w:rsidR="001811FF" w:rsidRPr="00BB3696" w:rsidRDefault="001811FF">
            <w:pPr>
              <w:jc w:val="both"/>
              <w:rPr>
                <w:rFonts w:ascii="Arial" w:hAnsi="Arial"/>
                <w:sz w:val="28"/>
                <w:szCs w:val="28"/>
                <w:rtl/>
              </w:rPr>
            </w:pPr>
            <w:bookmarkStart w:id="0" w:name="FirstAppellant"/>
            <w:bookmarkStart w:id="1" w:name="LastJudge"/>
            <w:bookmarkEnd w:id="1"/>
          </w:p>
          <w:p w14:paraId="555CF773" w14:textId="77777777" w:rsidR="001811FF" w:rsidRPr="00BB3696" w:rsidRDefault="00BB3696">
            <w:pPr>
              <w:jc w:val="both"/>
              <w:rPr>
                <w:rFonts w:ascii="Arial" w:hAnsi="Arial"/>
                <w:sz w:val="28"/>
                <w:szCs w:val="28"/>
              </w:rPr>
            </w:pPr>
            <w:r w:rsidRPr="00BB3696">
              <w:rPr>
                <w:rFonts w:ascii="Arial" w:hAnsi="Arial" w:hint="cs"/>
                <w:sz w:val="28"/>
                <w:szCs w:val="28"/>
                <w:rtl/>
              </w:rPr>
              <w:t>בעניין:</w:t>
            </w:r>
          </w:p>
        </w:tc>
        <w:tc>
          <w:tcPr>
            <w:tcW w:w="3219" w:type="dxa"/>
            <w:tcBorders>
              <w:top w:val="nil"/>
              <w:left w:val="nil"/>
              <w:bottom w:val="nil"/>
              <w:right w:val="nil"/>
            </w:tcBorders>
            <w:shd w:val="clear" w:color="auto" w:fill="auto"/>
          </w:tcPr>
          <w:p w14:paraId="6A8DD542" w14:textId="77777777" w:rsidR="001811FF" w:rsidRPr="00BB3696" w:rsidRDefault="001811FF">
            <w:pPr>
              <w:jc w:val="both"/>
              <w:rPr>
                <w:rFonts w:ascii="Arial" w:hAnsi="Arial"/>
                <w:sz w:val="28"/>
                <w:szCs w:val="28"/>
                <w:rtl/>
              </w:rPr>
            </w:pPr>
          </w:p>
          <w:p w14:paraId="5E3B470D" w14:textId="77777777" w:rsidR="001811FF" w:rsidRPr="00BB3696" w:rsidRDefault="00BB3696">
            <w:r w:rsidRPr="00BB3696">
              <w:rPr>
                <w:rFonts w:hint="cs"/>
                <w:rtl/>
              </w:rPr>
              <w:t>מדינת ישראל</w:t>
            </w:r>
          </w:p>
          <w:p w14:paraId="2321A427" w14:textId="77777777" w:rsidR="001811FF" w:rsidRPr="00BB3696" w:rsidRDefault="001811FF">
            <w:pPr>
              <w:jc w:val="both"/>
              <w:rPr>
                <w:rFonts w:ascii="Arial" w:hAnsi="Arial"/>
                <w:sz w:val="28"/>
                <w:szCs w:val="28"/>
              </w:rPr>
            </w:pPr>
          </w:p>
        </w:tc>
        <w:tc>
          <w:tcPr>
            <w:tcW w:w="4678" w:type="dxa"/>
            <w:tcBorders>
              <w:top w:val="nil"/>
              <w:left w:val="nil"/>
              <w:bottom w:val="nil"/>
              <w:right w:val="nil"/>
            </w:tcBorders>
            <w:shd w:val="clear" w:color="auto" w:fill="auto"/>
          </w:tcPr>
          <w:p w14:paraId="5CA32B42" w14:textId="77777777" w:rsidR="001811FF" w:rsidRPr="00BB3696" w:rsidRDefault="001811FF">
            <w:pPr>
              <w:jc w:val="both"/>
              <w:rPr>
                <w:rFonts w:ascii="Arial" w:hAnsi="Arial"/>
                <w:sz w:val="28"/>
                <w:szCs w:val="28"/>
              </w:rPr>
            </w:pPr>
          </w:p>
        </w:tc>
      </w:tr>
      <w:bookmarkEnd w:id="0"/>
      <w:tr w:rsidR="001811FF" w:rsidRPr="00BB3696" w14:paraId="28ADEF42" w14:textId="77777777">
        <w:trPr>
          <w:trHeight w:val="355"/>
          <w:jc w:val="center"/>
        </w:trPr>
        <w:tc>
          <w:tcPr>
            <w:tcW w:w="923" w:type="dxa"/>
            <w:tcBorders>
              <w:top w:val="nil"/>
              <w:left w:val="nil"/>
              <w:bottom w:val="nil"/>
              <w:right w:val="nil"/>
            </w:tcBorders>
            <w:shd w:val="clear" w:color="auto" w:fill="auto"/>
          </w:tcPr>
          <w:p w14:paraId="1A02537B" w14:textId="77777777" w:rsidR="001811FF" w:rsidRPr="00BB3696" w:rsidRDefault="001811FF">
            <w:pPr>
              <w:jc w:val="both"/>
              <w:rPr>
                <w:rFonts w:ascii="Arial" w:hAnsi="Arial"/>
                <w:sz w:val="28"/>
                <w:szCs w:val="28"/>
                <w:rtl/>
              </w:rPr>
            </w:pPr>
          </w:p>
        </w:tc>
        <w:tc>
          <w:tcPr>
            <w:tcW w:w="3219" w:type="dxa"/>
            <w:tcBorders>
              <w:top w:val="nil"/>
              <w:left w:val="nil"/>
              <w:bottom w:val="nil"/>
              <w:right w:val="nil"/>
            </w:tcBorders>
            <w:shd w:val="clear" w:color="auto" w:fill="auto"/>
          </w:tcPr>
          <w:p w14:paraId="66495140" w14:textId="77777777" w:rsidR="001811FF" w:rsidRPr="00BB3696" w:rsidRDefault="001811FF">
            <w:pPr>
              <w:jc w:val="both"/>
              <w:rPr>
                <w:rtl/>
              </w:rPr>
            </w:pPr>
          </w:p>
        </w:tc>
        <w:tc>
          <w:tcPr>
            <w:tcW w:w="4678" w:type="dxa"/>
            <w:tcBorders>
              <w:top w:val="nil"/>
              <w:left w:val="nil"/>
              <w:bottom w:val="nil"/>
              <w:right w:val="nil"/>
            </w:tcBorders>
            <w:shd w:val="clear" w:color="auto" w:fill="auto"/>
          </w:tcPr>
          <w:p w14:paraId="25BEED9A" w14:textId="77777777" w:rsidR="001811FF" w:rsidRPr="00BB3696" w:rsidRDefault="00BB3696">
            <w:pPr>
              <w:jc w:val="right"/>
              <w:rPr>
                <w:rFonts w:ascii="Arial" w:hAnsi="Arial"/>
                <w:sz w:val="28"/>
                <w:szCs w:val="28"/>
                <w:rtl/>
              </w:rPr>
            </w:pPr>
            <w:r w:rsidRPr="00BB3696">
              <w:rPr>
                <w:rFonts w:ascii="Arial" w:hAnsi="Arial" w:hint="cs"/>
                <w:sz w:val="28"/>
                <w:szCs w:val="28"/>
                <w:rtl/>
              </w:rPr>
              <w:t>ה</w:t>
            </w:r>
            <w:r w:rsidRPr="00BB3696">
              <w:rPr>
                <w:rFonts w:hint="cs"/>
                <w:rtl/>
              </w:rPr>
              <w:t>מאשימה</w:t>
            </w:r>
          </w:p>
        </w:tc>
      </w:tr>
      <w:tr w:rsidR="001811FF" w:rsidRPr="00BB3696" w14:paraId="2BA98835" w14:textId="77777777">
        <w:trPr>
          <w:trHeight w:val="355"/>
          <w:jc w:val="center"/>
        </w:trPr>
        <w:tc>
          <w:tcPr>
            <w:tcW w:w="923" w:type="dxa"/>
            <w:tcBorders>
              <w:top w:val="nil"/>
              <w:left w:val="nil"/>
              <w:bottom w:val="nil"/>
              <w:right w:val="nil"/>
            </w:tcBorders>
            <w:shd w:val="clear" w:color="auto" w:fill="auto"/>
          </w:tcPr>
          <w:p w14:paraId="33C0874D" w14:textId="77777777" w:rsidR="001811FF" w:rsidRPr="00BB3696" w:rsidRDefault="001811FF">
            <w:pPr>
              <w:jc w:val="both"/>
              <w:rPr>
                <w:rFonts w:ascii="Arial" w:hAnsi="Arial"/>
                <w:sz w:val="28"/>
                <w:szCs w:val="28"/>
                <w:rtl/>
              </w:rPr>
            </w:pPr>
          </w:p>
        </w:tc>
        <w:tc>
          <w:tcPr>
            <w:tcW w:w="7897" w:type="dxa"/>
            <w:gridSpan w:val="2"/>
            <w:tcBorders>
              <w:top w:val="nil"/>
              <w:left w:val="nil"/>
              <w:bottom w:val="nil"/>
              <w:right w:val="nil"/>
            </w:tcBorders>
            <w:shd w:val="clear" w:color="auto" w:fill="auto"/>
          </w:tcPr>
          <w:p w14:paraId="7C136405" w14:textId="77777777" w:rsidR="001811FF" w:rsidRPr="00BB3696" w:rsidRDefault="001811FF">
            <w:pPr>
              <w:jc w:val="center"/>
              <w:rPr>
                <w:rFonts w:ascii="Arial" w:hAnsi="Arial"/>
                <w:b/>
                <w:bCs/>
                <w:sz w:val="28"/>
                <w:szCs w:val="28"/>
                <w:rtl/>
              </w:rPr>
            </w:pPr>
          </w:p>
          <w:p w14:paraId="0EF105DC" w14:textId="77777777" w:rsidR="001811FF" w:rsidRPr="00BB3696" w:rsidRDefault="00BB3696">
            <w:pPr>
              <w:jc w:val="center"/>
              <w:rPr>
                <w:rFonts w:ascii="Arial" w:hAnsi="Arial"/>
                <w:b/>
                <w:bCs/>
                <w:sz w:val="28"/>
                <w:szCs w:val="28"/>
                <w:rtl/>
              </w:rPr>
            </w:pPr>
            <w:r w:rsidRPr="00BB3696">
              <w:rPr>
                <w:rFonts w:ascii="Arial" w:hAnsi="Arial"/>
                <w:b/>
                <w:bCs/>
                <w:sz w:val="28"/>
                <w:szCs w:val="28"/>
                <w:rtl/>
              </w:rPr>
              <w:t>נגד</w:t>
            </w:r>
          </w:p>
          <w:p w14:paraId="4F7A8E14" w14:textId="77777777" w:rsidR="001811FF" w:rsidRPr="00BB3696" w:rsidRDefault="001811FF">
            <w:pPr>
              <w:jc w:val="both"/>
              <w:rPr>
                <w:rFonts w:ascii="Arial" w:hAnsi="Arial"/>
                <w:sz w:val="28"/>
                <w:szCs w:val="28"/>
              </w:rPr>
            </w:pPr>
          </w:p>
        </w:tc>
      </w:tr>
      <w:tr w:rsidR="001811FF" w:rsidRPr="00BB3696" w14:paraId="53FE1287" w14:textId="77777777">
        <w:trPr>
          <w:trHeight w:val="355"/>
          <w:jc w:val="center"/>
        </w:trPr>
        <w:tc>
          <w:tcPr>
            <w:tcW w:w="923" w:type="dxa"/>
            <w:tcBorders>
              <w:top w:val="nil"/>
              <w:left w:val="nil"/>
              <w:bottom w:val="nil"/>
              <w:right w:val="nil"/>
            </w:tcBorders>
            <w:shd w:val="clear" w:color="auto" w:fill="auto"/>
          </w:tcPr>
          <w:p w14:paraId="21DB2529" w14:textId="77777777" w:rsidR="001811FF" w:rsidRPr="00BB3696" w:rsidRDefault="001811FF">
            <w:pPr>
              <w:jc w:val="both"/>
              <w:rPr>
                <w:rFonts w:ascii="Arial" w:hAnsi="Arial" w:hint="cs"/>
                <w:b/>
                <w:bCs/>
                <w:sz w:val="28"/>
                <w:szCs w:val="28"/>
                <w:rtl/>
              </w:rPr>
            </w:pPr>
            <w:bookmarkStart w:id="2" w:name="FirstLawyer"/>
          </w:p>
        </w:tc>
        <w:tc>
          <w:tcPr>
            <w:tcW w:w="3219" w:type="dxa"/>
            <w:tcBorders>
              <w:top w:val="nil"/>
              <w:left w:val="nil"/>
              <w:bottom w:val="nil"/>
              <w:right w:val="nil"/>
            </w:tcBorders>
            <w:shd w:val="clear" w:color="auto" w:fill="auto"/>
          </w:tcPr>
          <w:p w14:paraId="6F2D4971" w14:textId="77777777" w:rsidR="001811FF" w:rsidRPr="00BB3696" w:rsidRDefault="00BB3696">
            <w:pPr>
              <w:jc w:val="both"/>
              <w:rPr>
                <w:b/>
                <w:bCs/>
                <w:sz w:val="28"/>
                <w:szCs w:val="28"/>
                <w:rtl/>
              </w:rPr>
            </w:pPr>
            <w:r w:rsidRPr="00BB3696">
              <w:rPr>
                <w:rFonts w:hint="cs"/>
                <w:b/>
                <w:bCs/>
                <w:sz w:val="28"/>
                <w:szCs w:val="28"/>
                <w:rtl/>
              </w:rPr>
              <w:t>1</w:t>
            </w:r>
            <w:r w:rsidRPr="00BB3696">
              <w:rPr>
                <w:rFonts w:ascii="Arial" w:hAnsi="Arial" w:hint="cs"/>
                <w:b/>
                <w:bCs/>
                <w:sz w:val="28"/>
                <w:szCs w:val="28"/>
                <w:rtl/>
              </w:rPr>
              <w:t>.</w:t>
            </w:r>
            <w:r w:rsidRPr="00BB3696">
              <w:rPr>
                <w:rFonts w:hint="cs"/>
                <w:b/>
                <w:bCs/>
                <w:sz w:val="28"/>
                <w:szCs w:val="28"/>
                <w:rtl/>
              </w:rPr>
              <w:t xml:space="preserve">שרונה בן עטר </w:t>
            </w:r>
          </w:p>
          <w:p w14:paraId="3767730E" w14:textId="77777777" w:rsidR="001811FF" w:rsidRPr="00BB3696" w:rsidRDefault="00BB3696">
            <w:pPr>
              <w:jc w:val="both"/>
              <w:rPr>
                <w:b/>
                <w:bCs/>
                <w:sz w:val="28"/>
                <w:szCs w:val="28"/>
                <w:rtl/>
              </w:rPr>
            </w:pPr>
            <w:r w:rsidRPr="00BB3696">
              <w:rPr>
                <w:rFonts w:hint="cs"/>
                <w:b/>
                <w:bCs/>
                <w:sz w:val="28"/>
                <w:szCs w:val="28"/>
                <w:rtl/>
              </w:rPr>
              <w:t xml:space="preserve">   ע"י ב"כ עו"ד חגית רייזמן</w:t>
            </w:r>
            <w:r w:rsidRPr="00BB3696">
              <w:rPr>
                <w:rFonts w:hint="cs"/>
                <w:b/>
                <w:bCs/>
                <w:sz w:val="28"/>
                <w:szCs w:val="28"/>
                <w:rtl/>
              </w:rPr>
              <w:br/>
            </w:r>
            <w:r w:rsidRPr="00BB3696">
              <w:rPr>
                <w:rFonts w:hint="cs"/>
                <w:b/>
                <w:bCs/>
                <w:sz w:val="28"/>
                <w:szCs w:val="28"/>
                <w:rtl/>
              </w:rPr>
              <w:br/>
              <w:t>2</w:t>
            </w:r>
            <w:r w:rsidRPr="00BB3696">
              <w:rPr>
                <w:rFonts w:ascii="Arial" w:hAnsi="Arial" w:hint="cs"/>
                <w:b/>
                <w:bCs/>
                <w:sz w:val="28"/>
                <w:szCs w:val="28"/>
                <w:rtl/>
              </w:rPr>
              <w:t>.</w:t>
            </w:r>
            <w:r w:rsidRPr="00BB3696">
              <w:rPr>
                <w:rFonts w:hint="cs"/>
                <w:b/>
                <w:bCs/>
                <w:sz w:val="28"/>
                <w:szCs w:val="28"/>
                <w:rtl/>
              </w:rPr>
              <w:t xml:space="preserve">נאדר עודה </w:t>
            </w:r>
          </w:p>
        </w:tc>
        <w:tc>
          <w:tcPr>
            <w:tcW w:w="4678" w:type="dxa"/>
            <w:tcBorders>
              <w:top w:val="nil"/>
              <w:left w:val="nil"/>
              <w:bottom w:val="nil"/>
              <w:right w:val="nil"/>
            </w:tcBorders>
            <w:shd w:val="clear" w:color="auto" w:fill="auto"/>
          </w:tcPr>
          <w:p w14:paraId="16B5B56F" w14:textId="77777777" w:rsidR="001811FF" w:rsidRPr="00BB3696" w:rsidRDefault="001811FF">
            <w:pPr>
              <w:jc w:val="right"/>
              <w:rPr>
                <w:rFonts w:ascii="Arial" w:hAnsi="Arial"/>
                <w:sz w:val="28"/>
                <w:szCs w:val="28"/>
              </w:rPr>
            </w:pPr>
          </w:p>
        </w:tc>
      </w:tr>
      <w:bookmarkEnd w:id="2"/>
      <w:tr w:rsidR="001811FF" w:rsidRPr="00BB3696" w14:paraId="6C417307" w14:textId="77777777">
        <w:trPr>
          <w:trHeight w:val="355"/>
          <w:jc w:val="center"/>
        </w:trPr>
        <w:tc>
          <w:tcPr>
            <w:tcW w:w="923" w:type="dxa"/>
            <w:tcBorders>
              <w:top w:val="nil"/>
              <w:left w:val="nil"/>
              <w:bottom w:val="nil"/>
              <w:right w:val="nil"/>
            </w:tcBorders>
            <w:shd w:val="clear" w:color="auto" w:fill="auto"/>
          </w:tcPr>
          <w:p w14:paraId="5519AF84" w14:textId="77777777" w:rsidR="001811FF" w:rsidRPr="00BB3696" w:rsidRDefault="00BB3696">
            <w:pPr>
              <w:jc w:val="both"/>
              <w:rPr>
                <w:rFonts w:ascii="Arial" w:hAnsi="Arial"/>
                <w:sz w:val="28"/>
                <w:szCs w:val="28"/>
                <w:rtl/>
              </w:rPr>
            </w:pPr>
            <w:r w:rsidRPr="00BB3696">
              <w:rPr>
                <w:rFonts w:ascii="Arial" w:hAnsi="Arial" w:hint="cs"/>
                <w:sz w:val="28"/>
                <w:szCs w:val="28"/>
                <w:rtl/>
              </w:rPr>
              <w:t xml:space="preserve"> </w:t>
            </w:r>
          </w:p>
        </w:tc>
        <w:tc>
          <w:tcPr>
            <w:tcW w:w="3219" w:type="dxa"/>
            <w:tcBorders>
              <w:top w:val="nil"/>
              <w:left w:val="nil"/>
              <w:bottom w:val="nil"/>
              <w:right w:val="nil"/>
            </w:tcBorders>
            <w:shd w:val="clear" w:color="auto" w:fill="auto"/>
          </w:tcPr>
          <w:p w14:paraId="556F3910" w14:textId="77777777" w:rsidR="001811FF" w:rsidRPr="00BB3696" w:rsidRDefault="001811FF">
            <w:pPr>
              <w:jc w:val="both"/>
              <w:rPr>
                <w:rtl/>
              </w:rPr>
            </w:pPr>
          </w:p>
        </w:tc>
        <w:tc>
          <w:tcPr>
            <w:tcW w:w="4678" w:type="dxa"/>
            <w:tcBorders>
              <w:top w:val="nil"/>
              <w:left w:val="nil"/>
              <w:bottom w:val="nil"/>
              <w:right w:val="nil"/>
            </w:tcBorders>
            <w:shd w:val="clear" w:color="auto" w:fill="auto"/>
          </w:tcPr>
          <w:p w14:paraId="26ECFA0C" w14:textId="77777777" w:rsidR="001811FF" w:rsidRPr="00BB3696" w:rsidRDefault="00BB3696">
            <w:pPr>
              <w:jc w:val="right"/>
              <w:rPr>
                <w:rFonts w:ascii="Arial" w:hAnsi="Arial"/>
                <w:sz w:val="28"/>
                <w:szCs w:val="28"/>
              </w:rPr>
            </w:pPr>
            <w:r w:rsidRPr="00BB3696">
              <w:rPr>
                <w:rFonts w:ascii="Arial" w:hAnsi="Arial" w:hint="cs"/>
                <w:sz w:val="28"/>
                <w:szCs w:val="28"/>
                <w:rtl/>
              </w:rPr>
              <w:t>ה</w:t>
            </w:r>
            <w:r w:rsidRPr="00BB3696">
              <w:rPr>
                <w:rFonts w:hint="cs"/>
                <w:rtl/>
              </w:rPr>
              <w:t>נאשמים</w:t>
            </w:r>
          </w:p>
        </w:tc>
      </w:tr>
    </w:tbl>
    <w:p w14:paraId="25E6B720" w14:textId="77777777" w:rsidR="001811FF" w:rsidRDefault="001811FF">
      <w:pPr>
        <w:rPr>
          <w:rFonts w:hint="cs"/>
          <w:rtl/>
        </w:rPr>
      </w:pPr>
    </w:p>
    <w:p w14:paraId="1F0C098A" w14:textId="77777777" w:rsidR="00E10A98" w:rsidRDefault="00E10A98">
      <w:pPr>
        <w:rPr>
          <w:rFonts w:hint="cs"/>
          <w:rtl/>
        </w:rPr>
      </w:pPr>
    </w:p>
    <w:p w14:paraId="2BD6AE7A" w14:textId="77777777" w:rsidR="00E10A98" w:rsidRPr="00E10A98" w:rsidRDefault="00E10A98" w:rsidP="00E10A98">
      <w:pPr>
        <w:pStyle w:val="a3"/>
        <w:spacing w:after="120" w:line="240" w:lineRule="exact"/>
        <w:ind w:left="283" w:hanging="283"/>
        <w:jc w:val="both"/>
        <w:rPr>
          <w:rFonts w:ascii="FrankRuehl" w:hAnsi="FrankRuehl" w:cs="FrankRuehl"/>
          <w:color w:val="000080"/>
          <w:rtl/>
        </w:rPr>
      </w:pPr>
      <w:r w:rsidRPr="00E10A98">
        <w:rPr>
          <w:rFonts w:ascii="FrankRuehl" w:hAnsi="FrankRuehl" w:cs="FrankRuehl"/>
          <w:color w:val="000080"/>
          <w:rtl/>
        </w:rPr>
        <w:t xml:space="preserve">חקיקה שאוזכרה: </w:t>
      </w:r>
    </w:p>
    <w:p w14:paraId="65F052C3" w14:textId="77777777" w:rsidR="00E10A98" w:rsidRPr="00E10A98" w:rsidRDefault="00E10A98" w:rsidP="00E10A98">
      <w:pPr>
        <w:pStyle w:val="a3"/>
        <w:spacing w:after="120" w:line="240" w:lineRule="exact"/>
        <w:ind w:left="283" w:hanging="283"/>
        <w:jc w:val="both"/>
        <w:rPr>
          <w:rFonts w:ascii="FrankRuehl" w:hAnsi="FrankRuehl" w:cs="FrankRuehl"/>
          <w:rtl/>
        </w:rPr>
      </w:pPr>
      <w:hyperlink r:id="rId6" w:history="1">
        <w:r w:rsidRPr="00E10A98">
          <w:rPr>
            <w:rFonts w:ascii="FrankRuehl" w:hAnsi="FrankRuehl" w:cs="FrankRuehl"/>
            <w:color w:val="0000FF"/>
            <w:u w:val="single"/>
            <w:rtl/>
          </w:rPr>
          <w:t>פקודת הסמים המסוכנים [נוסח חדש], תשל"ג-1973</w:t>
        </w:r>
      </w:hyperlink>
    </w:p>
    <w:p w14:paraId="4FA3F7E1" w14:textId="77777777" w:rsidR="00E10A98" w:rsidRPr="00BB3696" w:rsidRDefault="00E10A98">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811FF" w:rsidRPr="00BB3696" w14:paraId="41136DCD" w14:textId="77777777">
        <w:trPr>
          <w:trHeight w:val="355"/>
          <w:jc w:val="center"/>
        </w:trPr>
        <w:tc>
          <w:tcPr>
            <w:tcW w:w="8820" w:type="dxa"/>
            <w:tcBorders>
              <w:top w:val="nil"/>
              <w:left w:val="nil"/>
              <w:bottom w:val="nil"/>
              <w:right w:val="nil"/>
            </w:tcBorders>
            <w:shd w:val="clear" w:color="auto" w:fill="auto"/>
          </w:tcPr>
          <w:p w14:paraId="606941F0" w14:textId="77777777" w:rsidR="001811FF" w:rsidRPr="00BB3696" w:rsidRDefault="00BB3696">
            <w:pPr>
              <w:jc w:val="center"/>
              <w:rPr>
                <w:rFonts w:ascii="Arial" w:hAnsi="Arial"/>
                <w:sz w:val="32"/>
                <w:szCs w:val="32"/>
                <w:rtl/>
              </w:rPr>
            </w:pPr>
            <w:bookmarkStart w:id="3" w:name="PsakDin"/>
            <w:r w:rsidRPr="00BB3696">
              <w:rPr>
                <w:rFonts w:ascii="Arial" w:hAnsi="Arial" w:hint="cs"/>
                <w:b/>
                <w:bCs/>
                <w:sz w:val="32"/>
                <w:szCs w:val="32"/>
                <w:rtl/>
              </w:rPr>
              <w:t xml:space="preserve">גזר דין </w:t>
            </w:r>
            <w:bookmarkEnd w:id="3"/>
            <w:r w:rsidRPr="00BB3696">
              <w:rPr>
                <w:rFonts w:ascii="Arial" w:hAnsi="Arial" w:hint="cs"/>
                <w:b/>
                <w:bCs/>
                <w:sz w:val="32"/>
                <w:szCs w:val="32"/>
                <w:rtl/>
              </w:rPr>
              <w:t>לנאשמת 1</w:t>
            </w:r>
          </w:p>
        </w:tc>
      </w:tr>
    </w:tbl>
    <w:p w14:paraId="2168349B" w14:textId="77777777" w:rsidR="001811FF" w:rsidRPr="00BB3696" w:rsidRDefault="001811FF">
      <w:pPr>
        <w:rPr>
          <w:rFonts w:ascii="Arial" w:hAnsi="Arial" w:cs="FrankRuehl"/>
          <w:sz w:val="28"/>
          <w:szCs w:val="28"/>
          <w:rtl/>
        </w:rPr>
      </w:pPr>
    </w:p>
    <w:p w14:paraId="35B6DDB3" w14:textId="77777777" w:rsidR="001811FF" w:rsidRPr="00BB3696" w:rsidRDefault="001811FF">
      <w:pPr>
        <w:spacing w:after="120"/>
        <w:rPr>
          <w:rFonts w:ascii="Arial" w:hAnsi="Arial" w:cs="FrankRuehl"/>
          <w:sz w:val="28"/>
          <w:szCs w:val="28"/>
          <w:rtl/>
        </w:rPr>
      </w:pPr>
    </w:p>
    <w:p w14:paraId="4363E921" w14:textId="77777777" w:rsidR="001811FF" w:rsidRPr="00BB3696" w:rsidRDefault="00BB3696">
      <w:pPr>
        <w:spacing w:after="120" w:line="360" w:lineRule="auto"/>
        <w:jc w:val="both"/>
        <w:rPr>
          <w:b/>
          <w:bCs/>
          <w:sz w:val="26"/>
          <w:szCs w:val="26"/>
          <w:rtl/>
        </w:rPr>
      </w:pPr>
      <w:r w:rsidRPr="00BB3696">
        <w:rPr>
          <w:rFonts w:hint="cs"/>
          <w:b/>
          <w:bCs/>
          <w:sz w:val="26"/>
          <w:szCs w:val="26"/>
          <w:rtl/>
        </w:rPr>
        <w:t>העובדות וטענות הצדדים</w:t>
      </w:r>
    </w:p>
    <w:p w14:paraId="6AF36D4E" w14:textId="77777777" w:rsidR="001811FF" w:rsidRPr="00BB3696" w:rsidRDefault="00BB3696">
      <w:pPr>
        <w:spacing w:after="120" w:line="360" w:lineRule="auto"/>
        <w:ind w:firstLine="720"/>
        <w:jc w:val="both"/>
        <w:rPr>
          <w:sz w:val="26"/>
          <w:szCs w:val="26"/>
          <w:rtl/>
        </w:rPr>
      </w:pPr>
      <w:bookmarkStart w:id="4" w:name="ABSTRACT_START"/>
      <w:bookmarkEnd w:id="4"/>
      <w:r w:rsidRPr="00BB3696">
        <w:rPr>
          <w:rFonts w:hint="cs"/>
          <w:sz w:val="26"/>
          <w:szCs w:val="26"/>
          <w:rtl/>
        </w:rPr>
        <w:t xml:space="preserve">נאשמת 1 (להלן: הנאשמת) הודתה והורשעה במסגרת הסדר שכלל תיקון כתב האישום ללא הסכמה לעונש. על פי כתב האישום המתוקן הורשעה הנאשמת בשלוש עבירות של סיוע בסחר בסם מסוכן ובעבירה אחת של החזקת סם מסוכן שלא לצריכה עצמית. בכל האישומים מדובר בסמים מהסוג המכונה "נייס גאי". באישום החמישי הוא אישום ההחזקה מדובר בהחזקה של סם במשקל 1.0238 גרם שהחזיקה הנאשמת עם נאשם 2 בביתם. באישום השלישי מואשמת הנאשמת בכך שסייעה לנאשם 2 למכור לסוכן שתי שקיות סם מהסוג האמור תמורת 350 ₪, כאשר הסיוע התבטא בכך שהנאשמת נכחה במקום והעבירה את הסם לסוכן. באישום הרביעי מדובר בסיוע לנאשם 2 למכור לסוכן שתי שקיות סם תמורת 300 ₪, כשהסיוע התבטא בנוכחותה של הנאשמת במקום ובכך שהתקשרה לסוכן וזירזה אותו להגיע למקום המפגש. באישום השישי מדובר על מכירת סם מסוג נייס גאי לאדם אחר במספר מועדים שאינם ידועים במדוייק, במחיר הנע בין 100-150 ₪. הנאשמת סייעה למכירה בכך שנכחה במקום ותיאמה את מועדי המפגשים בין נאשם 2 לקונה. </w:t>
      </w:r>
    </w:p>
    <w:p w14:paraId="17B52CC5" w14:textId="77777777" w:rsidR="001811FF" w:rsidRPr="00BB3696" w:rsidRDefault="00BB3696">
      <w:pPr>
        <w:spacing w:after="120" w:line="360" w:lineRule="auto"/>
        <w:jc w:val="both"/>
        <w:rPr>
          <w:sz w:val="26"/>
          <w:szCs w:val="26"/>
          <w:rtl/>
        </w:rPr>
      </w:pPr>
      <w:bookmarkStart w:id="5" w:name="ABSTRACT_END"/>
      <w:bookmarkEnd w:id="5"/>
      <w:r w:rsidRPr="00BB3696">
        <w:rPr>
          <w:sz w:val="28"/>
          <w:szCs w:val="28"/>
          <w:rtl/>
        </w:rPr>
        <w:lastRenderedPageBreak/>
        <w:tab/>
      </w:r>
      <w:r w:rsidRPr="00BB3696">
        <w:rPr>
          <w:rFonts w:hint="cs"/>
          <w:sz w:val="26"/>
          <w:szCs w:val="26"/>
          <w:rtl/>
        </w:rPr>
        <w:t xml:space="preserve">המאשימה טענה כי מתחם הענישה לעבירה של סחר ב"נייס גאי", בדומה לסחר בחשיש, עומד על מאסר לתקופה שבין שישה לבין שנים עשר חודשים. מאחר שבמקרה זה מדובר בעבירות סיוע לסחר ולא בסחר, המתחם לעבירות אלו נע בין שלושה לבין שישה חודשים. לגבי עבירת החזקת הסם טענה המאשימה למתחם שבין מאסר על תנאי לבין מספר חודשי מאסר. המתחם נקבע בהתחשב בכך שהנאשמת נטלה חלק פעיל והיתה שותפה לתכנון הסחר בסמים, ובכך שמדובר במספר מקרים ולא באירוע בודד. המאשימה ביקשה להטיל על הנאשמת עונש נפרד בגין כל אחד מהאישומים. </w:t>
      </w:r>
    </w:p>
    <w:p w14:paraId="1C83368B" w14:textId="77777777" w:rsidR="001811FF" w:rsidRPr="00BB3696" w:rsidRDefault="00BB3696">
      <w:pPr>
        <w:spacing w:after="120" w:line="360" w:lineRule="auto"/>
        <w:jc w:val="both"/>
        <w:rPr>
          <w:sz w:val="26"/>
          <w:szCs w:val="26"/>
          <w:rtl/>
        </w:rPr>
      </w:pPr>
      <w:r w:rsidRPr="00BB3696">
        <w:rPr>
          <w:rFonts w:hint="cs"/>
          <w:sz w:val="26"/>
          <w:szCs w:val="26"/>
          <w:rtl/>
        </w:rPr>
        <w:t xml:space="preserve">באשר לשיקולים במסגרת המתחם ציינה התובעת כי לנאשמת נסיבות חיים קשות, היא השתמשה בסמים במשך שנים רבות והיא אם לבן שגילו פחות משמונה עשרה המצוי תחת אחריותה. היא הזכירה גם את הודאתה של הנאשמת והחיסכון בזמן שיפוטי, ומאידך גיסא את עברה של הנאשמת והעובדה שאין מדובר בעבירה בודדת. לאור כל אלה ביקשה להטיל על הנאשמת עונשים במרכז מתחמי הענישה,  ארבעה חודשי מאסר על כל אחד מאישומי הסחר וחודש אחד על עבירת ההחזקה, ובסך הכל שלושה עשר חודשי מאסר בפועל. כמו כן ביקשה להטיל על הנאשמת מאסר על תנאי ולפסול את רישיון הנהיגה שלה. </w:t>
      </w:r>
    </w:p>
    <w:p w14:paraId="70D03614" w14:textId="77777777" w:rsidR="001811FF" w:rsidRPr="00BB3696" w:rsidRDefault="00BB3696">
      <w:pPr>
        <w:spacing w:after="120" w:line="360" w:lineRule="auto"/>
        <w:ind w:firstLine="720"/>
        <w:jc w:val="both"/>
        <w:rPr>
          <w:sz w:val="26"/>
          <w:szCs w:val="26"/>
          <w:rtl/>
        </w:rPr>
      </w:pPr>
      <w:r w:rsidRPr="00BB3696">
        <w:rPr>
          <w:rFonts w:hint="cs"/>
          <w:sz w:val="26"/>
          <w:szCs w:val="26"/>
          <w:rtl/>
        </w:rPr>
        <w:t xml:space="preserve">ב"כ הנאשמת ביקשה להסתפק בתקופת מעצרה של הנאשמת, העומדת על כשלושה וחצי חודשים. היא ציינה את הודאתה של הנאשמת ולקיחת האחריות מצידה, ואת חלקה הקטן יחסית של הנאשמת באירועים המתוארים בכתב האישום. הסניגורית תיארה בפירוט את נסיבות חייה הקשות של הנאשמת, החל מגיל צעיר מאד. מחמת צנעת הפרט לא אחזור על הדברים. עיקרי העובדות מופיעות גם בתסקיר מעצר שהוגש במסגרת הבקשה למעצר, ובהסכמת הצדדים הוגש התסקיר גם בתיק זה. עוד טענה כי הנאשמת סובלת מתחלואים פיזיים שונים ואף אושפזה לאחרונה, וכי עברה הפלילי ישן ואינו מכביד. באשר למתחם הענישה טענה ב"כ הנאשמת כי המתחם נמוך מזה שטענה לו המאשימה ומתחיל ממאסר על תנאי, וכי מקומה של הנאשמת בקצה הנמוך של המתחם. </w:t>
      </w:r>
    </w:p>
    <w:p w14:paraId="7EB79752" w14:textId="77777777" w:rsidR="001811FF" w:rsidRPr="00BB3696" w:rsidRDefault="00BB3696">
      <w:pPr>
        <w:spacing w:after="120" w:line="360" w:lineRule="auto"/>
        <w:jc w:val="both"/>
        <w:rPr>
          <w:b/>
          <w:bCs/>
          <w:sz w:val="26"/>
          <w:szCs w:val="26"/>
          <w:rtl/>
        </w:rPr>
      </w:pPr>
      <w:r w:rsidRPr="00BB3696">
        <w:rPr>
          <w:rFonts w:hint="cs"/>
          <w:b/>
          <w:bCs/>
          <w:sz w:val="26"/>
          <w:szCs w:val="26"/>
          <w:rtl/>
        </w:rPr>
        <w:t>מתחם הענישה ההולם</w:t>
      </w:r>
    </w:p>
    <w:p w14:paraId="643520F2" w14:textId="77777777" w:rsidR="001811FF" w:rsidRPr="00BB3696" w:rsidRDefault="00BB3696">
      <w:pPr>
        <w:spacing w:after="120" w:line="360" w:lineRule="auto"/>
        <w:ind w:firstLine="720"/>
        <w:jc w:val="both"/>
        <w:rPr>
          <w:sz w:val="26"/>
          <w:szCs w:val="26"/>
          <w:rtl/>
        </w:rPr>
      </w:pPr>
      <w:r w:rsidRPr="00BB3696">
        <w:rPr>
          <w:rFonts w:hint="cs"/>
          <w:sz w:val="26"/>
          <w:szCs w:val="26"/>
          <w:rtl/>
        </w:rPr>
        <w:t xml:space="preserve">אין צורך להכביר מילים באשר לנזקים הנובעים מעבירות סמים. במישור האישי של המשתמש בסמים, השימוש מביא להתמכרות ומשבש את מהלך החיים. הצורך במימון הסמים גורם לעיתים קרובות למעורבות בעבירות רכוש וכניסה למעגל העבריינות. עבירות הסחר בסמים חמורות מאחר שיש בהן כדי לאפשר, לעודד ולהרחיב את מספר המשתמשים בסמים. הסחר אף יוצר מעגלים של עבריינות נלווית לצורך גיוס הכסף הדרוש לרכישת הסמים, ולעיתים הוא קשור לעבריינות חמורה בהיקף גדול ומאורגן. עם זאת, בענייננו מדובר בסחר בכמויות קטנות ובסכומים קטנים של סמים. קוני הסמים היו סוכן משטרתי ואדם שרכש מספר מנות סם, אשר ככל הנראה משתמש בסמים באופן קבוע ולאו דוקא בעידודו של הנאשם. על כן חלק ניכר מהנזקים האמורים, האופייניים לסחר בהיקף גדול, אינם רלוונטיים במקרה זה. בפסיקה דובר רבות אודות הצורך להילחם בעבירות הסמים ובכל שרשרת ההפצה שלהם. עם זאת, לא ניתן להתעלם מכך שבפועל, במקרים של סחר </w:t>
      </w:r>
      <w:r w:rsidRPr="00BB3696">
        <w:rPr>
          <w:rFonts w:hint="cs"/>
          <w:sz w:val="26"/>
          <w:szCs w:val="26"/>
          <w:rtl/>
        </w:rPr>
        <w:lastRenderedPageBreak/>
        <w:t xml:space="preserve">בכמויות קטנות של סמים "קלים", ננקטת לעיתים מדיניות ענישה מקלה, השמה דגש על נסיבותיו האישיות של מבצע העבירה. מספר דוגמאות יובאו להלן. </w:t>
      </w:r>
    </w:p>
    <w:p w14:paraId="653DBD00" w14:textId="77777777" w:rsidR="001811FF" w:rsidRDefault="00BB3696">
      <w:pPr>
        <w:spacing w:after="120" w:line="360" w:lineRule="auto"/>
        <w:ind w:firstLine="720"/>
        <w:jc w:val="both"/>
        <w:rPr>
          <w:sz w:val="26"/>
          <w:szCs w:val="26"/>
          <w:rtl/>
        </w:rPr>
      </w:pPr>
      <w:r>
        <w:rPr>
          <w:rFonts w:hint="cs"/>
          <w:sz w:val="26"/>
          <w:szCs w:val="26"/>
          <w:rtl/>
        </w:rPr>
        <w:t xml:space="preserve">חלקה של הנאשמת בביצוע העבירות כלל אמנם מעורבות ממשית, אך לא מרכזית. בחלק מהמקרים הנאשמת נכחה במקום בלבד, ובמקרים אחרים סייעה בקשר עם הקונים, אולם לא נטען שהנאשמת יזמה את האירועים או שנטלה בהם חלק חיוני לביצוע העיסקה. </w:t>
      </w:r>
    </w:p>
    <w:p w14:paraId="0C88A815" w14:textId="77777777" w:rsidR="001811FF" w:rsidRDefault="00BB3696">
      <w:pPr>
        <w:spacing w:after="120" w:line="360" w:lineRule="auto"/>
        <w:ind w:firstLine="720"/>
        <w:jc w:val="both"/>
        <w:rPr>
          <w:sz w:val="26"/>
          <w:szCs w:val="26"/>
          <w:rtl/>
        </w:rPr>
      </w:pPr>
      <w:r>
        <w:rPr>
          <w:rFonts w:hint="cs"/>
          <w:sz w:val="26"/>
          <w:szCs w:val="26"/>
          <w:rtl/>
        </w:rPr>
        <w:t>הסם נשוא העבירות הוא סם מסוג "נייס גאי", אשר רק לאחרונה נכלל בין הסמים המפורטים בתוספת ל</w:t>
      </w:r>
      <w:hyperlink r:id="rId7" w:history="1">
        <w:r w:rsidRPr="00BB3696">
          <w:rPr>
            <w:color w:val="0000FF"/>
            <w:sz w:val="26"/>
            <w:szCs w:val="26"/>
            <w:u w:val="single"/>
            <w:rtl/>
          </w:rPr>
          <w:t>פקודת הסמים המסוכנים</w:t>
        </w:r>
      </w:hyperlink>
      <w:r>
        <w:rPr>
          <w:rFonts w:hint="cs"/>
          <w:sz w:val="26"/>
          <w:szCs w:val="26"/>
          <w:rtl/>
        </w:rPr>
        <w:t xml:space="preserve">, אם כי אין בכך למנוע השוואה בינו לבין סמים אחרים (ראו </w:t>
      </w:r>
      <w:hyperlink r:id="rId8" w:history="1">
        <w:r w:rsidRPr="00BB3696">
          <w:rPr>
            <w:color w:val="0000FF"/>
            <w:sz w:val="26"/>
            <w:szCs w:val="26"/>
            <w:u w:val="single"/>
            <w:rtl/>
          </w:rPr>
          <w:t>עפ"ג (מרכז) 47767-06-14</w:t>
        </w:r>
      </w:hyperlink>
      <w:r>
        <w:rPr>
          <w:rFonts w:hint="cs"/>
          <w:sz w:val="26"/>
          <w:szCs w:val="26"/>
          <w:rtl/>
        </w:rPr>
        <w:t xml:space="preserve">, </w:t>
      </w:r>
      <w:r>
        <w:rPr>
          <w:rFonts w:hint="cs"/>
          <w:sz w:val="26"/>
          <w:szCs w:val="26"/>
          <w:u w:val="single"/>
          <w:rtl/>
        </w:rPr>
        <w:t>מור נ' מדינת ישראל</w:t>
      </w:r>
      <w:r>
        <w:rPr>
          <w:rFonts w:hint="cs"/>
          <w:sz w:val="26"/>
          <w:szCs w:val="26"/>
          <w:rtl/>
        </w:rPr>
        <w:t xml:space="preserve">). </w:t>
      </w:r>
    </w:p>
    <w:p w14:paraId="71A4E380" w14:textId="77777777" w:rsidR="001811FF" w:rsidRDefault="00BB3696">
      <w:pPr>
        <w:spacing w:after="120" w:line="360" w:lineRule="auto"/>
        <w:ind w:firstLine="720"/>
        <w:jc w:val="both"/>
        <w:rPr>
          <w:sz w:val="26"/>
          <w:szCs w:val="26"/>
          <w:rtl/>
        </w:rPr>
      </w:pPr>
      <w:r>
        <w:rPr>
          <w:rFonts w:hint="cs"/>
          <w:sz w:val="26"/>
          <w:szCs w:val="26"/>
          <w:rtl/>
        </w:rPr>
        <w:t xml:space="preserve">ב"כ המאשימה הפנתה לפסק הדין הנ"ל בו נקבע מתחם ענישה בין שישה לבין שנים עשר חודשי מאסר, והנאשם שהורשע בשתי מכירות של נייס גאי לסוכן משטרתי נדון לשבעה חודשי מאסר בפועל, מאסר על תנאי וקנס. </w:t>
      </w:r>
    </w:p>
    <w:p w14:paraId="5DB89657" w14:textId="77777777" w:rsidR="001811FF" w:rsidRDefault="00BB3696">
      <w:pPr>
        <w:spacing w:after="120" w:line="360" w:lineRule="auto"/>
        <w:ind w:firstLine="720"/>
        <w:jc w:val="both"/>
        <w:rPr>
          <w:sz w:val="26"/>
          <w:szCs w:val="26"/>
          <w:rtl/>
        </w:rPr>
      </w:pPr>
      <w:r>
        <w:rPr>
          <w:rFonts w:hint="cs"/>
          <w:sz w:val="26"/>
          <w:szCs w:val="26"/>
          <w:rtl/>
        </w:rPr>
        <w:t xml:space="preserve">בנוסף אני מביאה בחשבון, בין היתר, את ע"פ (ים) </w:t>
      </w:r>
      <w:r>
        <w:rPr>
          <w:rFonts w:hint="cs"/>
          <w:sz w:val="26"/>
          <w:szCs w:val="26"/>
          <w:u w:val="single"/>
          <w:rtl/>
        </w:rPr>
        <w:t>יעקב נגד מדינת ישראל</w:t>
      </w:r>
      <w:r>
        <w:rPr>
          <w:rFonts w:hint="cs"/>
          <w:sz w:val="26"/>
          <w:szCs w:val="26"/>
          <w:rtl/>
        </w:rPr>
        <w:t xml:space="preserve">, וסקירת הפסיקה המובאת בו, </w:t>
      </w:r>
      <w:hyperlink r:id="rId9" w:history="1">
        <w:r w:rsidRPr="00BB3696">
          <w:rPr>
            <w:color w:val="0000FF"/>
            <w:sz w:val="26"/>
            <w:szCs w:val="26"/>
            <w:u w:val="single"/>
            <w:rtl/>
          </w:rPr>
          <w:t>ת"פ (ב"ש) 17474-01-14</w:t>
        </w:r>
      </w:hyperlink>
      <w:r>
        <w:rPr>
          <w:rFonts w:hint="cs"/>
          <w:sz w:val="26"/>
          <w:szCs w:val="26"/>
          <w:rtl/>
        </w:rPr>
        <w:t xml:space="preserve">, </w:t>
      </w:r>
      <w:r>
        <w:rPr>
          <w:rFonts w:hint="cs"/>
          <w:sz w:val="26"/>
          <w:szCs w:val="26"/>
          <w:u w:val="single"/>
          <w:rtl/>
        </w:rPr>
        <w:t>מדינת ישראל נגד ביטון</w:t>
      </w:r>
      <w:r>
        <w:rPr>
          <w:rFonts w:hint="cs"/>
          <w:sz w:val="26"/>
          <w:szCs w:val="26"/>
          <w:rtl/>
        </w:rPr>
        <w:t xml:space="preserve">, בו הורשע נאשם 1 בהסדר הכולל הסכמה לעונש בעבירה של סיוע לסחר בארבע חבילות של חומר מסוכן מסוג "נייס גיא" ונדון לשישה חודשי מאסר בפועל, </w:t>
      </w:r>
      <w:hyperlink r:id="rId10" w:history="1">
        <w:r w:rsidRPr="00BB3696">
          <w:rPr>
            <w:color w:val="0000FF"/>
            <w:sz w:val="26"/>
            <w:szCs w:val="26"/>
            <w:u w:val="single"/>
            <w:rtl/>
          </w:rPr>
          <w:t>ת"פ (אשקלון)  20825-08-14</w:t>
        </w:r>
      </w:hyperlink>
      <w:r>
        <w:rPr>
          <w:rFonts w:hint="cs"/>
          <w:sz w:val="26"/>
          <w:szCs w:val="26"/>
          <w:rtl/>
        </w:rPr>
        <w:t xml:space="preserve">, </w:t>
      </w:r>
      <w:r>
        <w:rPr>
          <w:rFonts w:hint="cs"/>
          <w:sz w:val="26"/>
          <w:szCs w:val="26"/>
          <w:u w:val="single"/>
          <w:rtl/>
        </w:rPr>
        <w:t>מדינת ישראל נגד</w:t>
      </w:r>
      <w:r>
        <w:rPr>
          <w:rFonts w:hint="cs"/>
          <w:sz w:val="26"/>
          <w:szCs w:val="26"/>
          <w:rtl/>
        </w:rPr>
        <w:t xml:space="preserve"> </w:t>
      </w:r>
      <w:r>
        <w:rPr>
          <w:rFonts w:hint="cs"/>
          <w:sz w:val="26"/>
          <w:szCs w:val="26"/>
          <w:u w:val="single"/>
          <w:rtl/>
        </w:rPr>
        <w:t>ניר יהודה</w:t>
      </w:r>
      <w:r>
        <w:rPr>
          <w:rFonts w:hint="cs"/>
          <w:sz w:val="26"/>
          <w:szCs w:val="26"/>
          <w:rtl/>
        </w:rPr>
        <w:t xml:space="preserve">, בו נדון הנאשם, בעל עבר פלילי, לששים ימי מאסר בגין מכירה אחת של חומר מסוכן, </w:t>
      </w:r>
      <w:hyperlink r:id="rId11" w:history="1">
        <w:r w:rsidRPr="00BB3696">
          <w:rPr>
            <w:color w:val="0000FF"/>
            <w:sz w:val="26"/>
            <w:szCs w:val="26"/>
            <w:u w:val="single"/>
            <w:rtl/>
          </w:rPr>
          <w:t>ת"פ 17647-08-09</w:t>
        </w:r>
      </w:hyperlink>
      <w:r>
        <w:rPr>
          <w:rFonts w:hint="cs"/>
          <w:sz w:val="26"/>
          <w:szCs w:val="26"/>
          <w:rtl/>
        </w:rPr>
        <w:t xml:space="preserve"> (ת"א יפו), </w:t>
      </w:r>
      <w:r>
        <w:rPr>
          <w:rFonts w:hint="cs"/>
          <w:sz w:val="26"/>
          <w:szCs w:val="26"/>
          <w:u w:val="single"/>
          <w:rtl/>
        </w:rPr>
        <w:t>מדינת ישראל נגד רובין</w:t>
      </w:r>
      <w:r>
        <w:rPr>
          <w:rFonts w:hint="cs"/>
          <w:sz w:val="26"/>
          <w:szCs w:val="26"/>
          <w:rtl/>
        </w:rPr>
        <w:t xml:space="preserve">, בו נדון נאשם שהודה בסחר בנייס גאי, זמן קצר לאחר שהוכרז כסם מסוכן, לשלושה חודשי מאסר שירוצה בעבודות שירות, </w:t>
      </w:r>
      <w:hyperlink r:id="rId12" w:history="1">
        <w:r w:rsidRPr="00BB3696">
          <w:rPr>
            <w:color w:val="0000FF"/>
            <w:sz w:val="26"/>
            <w:szCs w:val="26"/>
            <w:u w:val="single"/>
            <w:rtl/>
          </w:rPr>
          <w:t>ת"פ (ירושלים) 23916-03-12</w:t>
        </w:r>
      </w:hyperlink>
      <w:r>
        <w:rPr>
          <w:rFonts w:hint="cs"/>
          <w:sz w:val="26"/>
          <w:szCs w:val="26"/>
          <w:rtl/>
        </w:rPr>
        <w:t xml:space="preserve">, </w:t>
      </w:r>
      <w:r>
        <w:rPr>
          <w:rFonts w:hint="cs"/>
          <w:sz w:val="26"/>
          <w:szCs w:val="26"/>
          <w:u w:val="single"/>
          <w:rtl/>
        </w:rPr>
        <w:t>מדינת ישראל נגד אבו דיאב</w:t>
      </w:r>
      <w:r>
        <w:rPr>
          <w:rFonts w:hint="cs"/>
          <w:sz w:val="26"/>
          <w:szCs w:val="26"/>
          <w:rtl/>
        </w:rPr>
        <w:t xml:space="preserve">, והפסיקה המקלה הנזכרת בו. </w:t>
      </w:r>
    </w:p>
    <w:p w14:paraId="0D6C76BA" w14:textId="77777777" w:rsidR="001811FF" w:rsidRDefault="00BB3696">
      <w:pPr>
        <w:spacing w:after="120" w:line="360" w:lineRule="auto"/>
        <w:ind w:firstLine="720"/>
        <w:jc w:val="both"/>
        <w:rPr>
          <w:sz w:val="26"/>
          <w:szCs w:val="26"/>
          <w:rtl/>
        </w:rPr>
      </w:pPr>
      <w:r>
        <w:rPr>
          <w:rFonts w:hint="cs"/>
          <w:sz w:val="26"/>
          <w:szCs w:val="26"/>
          <w:rtl/>
        </w:rPr>
        <w:t xml:space="preserve">לנוכח כל האמור אני סבורה שהמתחמים להם טענה המאשימה, בין שישה לבין שנים עשר חודשי מאסר לעבירת הסחר ובין שלושה לשישה חודשים לעבירת הסיוע, נוטים במידת מה לחומרה ואינם משקפים את הפסיקה המקלה ואת הצורך להביא בחשבון גם נסיבות מקלות שונות, במיוחד כאשר מדובר בעבירות שחומרתן אינה רבה. אני מעמידה את מתחם הענישה לעבירות הסיוע לסחר בסם מסוכן לטווח שבין חודשיים לבין חמישה חודשי מאסר. לעבירת החזקת הסם אני מקבלת את המתחם הנטען שבין מאסר על תנאי לבין מספר חודשי מאסר. </w:t>
      </w:r>
    </w:p>
    <w:p w14:paraId="15137F5C" w14:textId="77777777" w:rsidR="001811FF" w:rsidRDefault="00BB3696">
      <w:pPr>
        <w:spacing w:after="120" w:line="360" w:lineRule="auto"/>
        <w:jc w:val="both"/>
        <w:rPr>
          <w:b/>
          <w:bCs/>
          <w:sz w:val="26"/>
          <w:szCs w:val="26"/>
          <w:u w:val="single"/>
          <w:rtl/>
        </w:rPr>
      </w:pPr>
      <w:r>
        <w:rPr>
          <w:rFonts w:hint="cs"/>
          <w:sz w:val="26"/>
          <w:szCs w:val="26"/>
          <w:rtl/>
        </w:rPr>
        <w:t xml:space="preserve"> </w:t>
      </w:r>
      <w:r>
        <w:rPr>
          <w:rFonts w:hint="cs"/>
          <w:b/>
          <w:bCs/>
          <w:sz w:val="26"/>
          <w:szCs w:val="26"/>
          <w:u w:val="single"/>
          <w:rtl/>
        </w:rPr>
        <w:t>שיקולי הענישה במסגרת המתחם</w:t>
      </w:r>
    </w:p>
    <w:p w14:paraId="2809B255" w14:textId="77777777" w:rsidR="001811FF" w:rsidRDefault="00BB3696">
      <w:pPr>
        <w:spacing w:after="120" w:line="360" w:lineRule="auto"/>
        <w:ind w:firstLine="720"/>
        <w:jc w:val="both"/>
        <w:rPr>
          <w:sz w:val="26"/>
          <w:szCs w:val="26"/>
          <w:rtl/>
        </w:rPr>
      </w:pPr>
      <w:r>
        <w:rPr>
          <w:rFonts w:hint="cs"/>
          <w:sz w:val="26"/>
          <w:szCs w:val="26"/>
          <w:rtl/>
        </w:rPr>
        <w:t xml:space="preserve">חייה של הנאשמת היו קשים מילדותה ועד עתה. הדברים פורטו בטיעוני באת כוחה וכן בתסקיר המעצר שהוגש. כאמור, לא אחזור עליהם מפאת צנעת הפרט של הנאשמת. הנאשמת אף מגדלת את בנה הקטין, ועל אף מעורבות שירותי הרווחה, אין ספק שמעצרה של הנאשמת, והטלת מאסר ממושך, יפגעו קשות בבן שלא חטא, אשר גם עתה חייו אינם קלים. </w:t>
      </w:r>
    </w:p>
    <w:p w14:paraId="170B2C6A" w14:textId="77777777" w:rsidR="001811FF" w:rsidRDefault="00BB3696">
      <w:pPr>
        <w:spacing w:after="120" w:line="360" w:lineRule="auto"/>
        <w:ind w:firstLine="720"/>
        <w:jc w:val="both"/>
        <w:rPr>
          <w:sz w:val="26"/>
          <w:szCs w:val="26"/>
          <w:highlight w:val="yellow"/>
          <w:rtl/>
        </w:rPr>
      </w:pPr>
      <w:r>
        <w:rPr>
          <w:rFonts w:hint="cs"/>
          <w:sz w:val="26"/>
          <w:szCs w:val="26"/>
          <w:rtl/>
        </w:rPr>
        <w:t xml:space="preserve">הנאשמת ביצעה אמנם עבירות של סיוע ובחלק מהמקרים מילאה תפקיד של ממש בעיסקה, אולם מעורבותה מינורית לעומת מעורבותו של נאשם 2. ככל הנראה מעורבותה של הנאשמת בעבירות מושפעת גם מהעובדה שנאשם 2 הוא בן זוגה. </w:t>
      </w:r>
    </w:p>
    <w:p w14:paraId="22B3A791" w14:textId="77777777" w:rsidR="001811FF" w:rsidRDefault="00BB3696">
      <w:pPr>
        <w:spacing w:after="120" w:line="360" w:lineRule="auto"/>
        <w:ind w:firstLine="720"/>
        <w:jc w:val="both"/>
        <w:rPr>
          <w:sz w:val="26"/>
          <w:szCs w:val="26"/>
          <w:rtl/>
        </w:rPr>
      </w:pPr>
      <w:r>
        <w:rPr>
          <w:rFonts w:hint="cs"/>
          <w:sz w:val="26"/>
          <w:szCs w:val="26"/>
          <w:rtl/>
        </w:rPr>
        <w:t xml:space="preserve">לנאשמת הרשעות קודמות בעבירות רכוש שונות ואף בעבירות סמים, אולם הרשעות אלו ישנות מאד, בנות למעלה מעשר שנים. בשנים האחרונות הורשעה הנאשמת בעבירה אחת בלבד, עבירת איומים שבוצעה בשנת 2010. לא התבקש ולא הוגש תסקיר בעניינה של הנאשמת, ולא נראה שקיים אפיק שיקומי ממשי.  </w:t>
      </w:r>
    </w:p>
    <w:p w14:paraId="61301CF9" w14:textId="77777777" w:rsidR="001811FF" w:rsidRDefault="00BB3696">
      <w:pPr>
        <w:spacing w:after="120" w:line="360" w:lineRule="auto"/>
        <w:ind w:firstLine="720"/>
        <w:jc w:val="both"/>
        <w:rPr>
          <w:sz w:val="26"/>
          <w:szCs w:val="26"/>
          <w:highlight w:val="yellow"/>
          <w:rtl/>
        </w:rPr>
      </w:pPr>
      <w:r>
        <w:rPr>
          <w:rFonts w:hint="cs"/>
          <w:sz w:val="26"/>
          <w:szCs w:val="26"/>
          <w:rtl/>
        </w:rPr>
        <w:t xml:space="preserve">על כן אני סבורה כי העונש הראוי מצוי בטווח הבינוני </w:t>
      </w:r>
      <w:r>
        <w:rPr>
          <w:sz w:val="26"/>
          <w:szCs w:val="26"/>
          <w:rtl/>
        </w:rPr>
        <w:t>–</w:t>
      </w:r>
      <w:r>
        <w:rPr>
          <w:rFonts w:hint="cs"/>
          <w:sz w:val="26"/>
          <w:szCs w:val="26"/>
          <w:rtl/>
        </w:rPr>
        <w:t xml:space="preserve"> נמוך של מתחם הענישה. </w:t>
      </w:r>
    </w:p>
    <w:p w14:paraId="0DD4583F" w14:textId="77777777" w:rsidR="001811FF" w:rsidRDefault="00BB3696">
      <w:pPr>
        <w:spacing w:after="120" w:line="360" w:lineRule="auto"/>
        <w:ind w:firstLine="720"/>
        <w:jc w:val="both"/>
        <w:rPr>
          <w:sz w:val="26"/>
          <w:szCs w:val="26"/>
          <w:rtl/>
        </w:rPr>
      </w:pPr>
      <w:r>
        <w:rPr>
          <w:rFonts w:hint="cs"/>
          <w:sz w:val="26"/>
          <w:szCs w:val="26"/>
          <w:rtl/>
        </w:rPr>
        <w:t xml:space="preserve">על עבירות הסיוע לסחר בסמים יעמוד העונש על שלושה חודשי מאסר בפועל לכל אחת מהעבירות. </w:t>
      </w:r>
    </w:p>
    <w:p w14:paraId="264A2FEC" w14:textId="77777777" w:rsidR="001811FF" w:rsidRDefault="00BB3696">
      <w:pPr>
        <w:spacing w:after="120" w:line="360" w:lineRule="auto"/>
        <w:jc w:val="both"/>
        <w:rPr>
          <w:sz w:val="26"/>
          <w:szCs w:val="26"/>
          <w:rtl/>
        </w:rPr>
      </w:pPr>
      <w:r>
        <w:rPr>
          <w:sz w:val="26"/>
          <w:szCs w:val="26"/>
          <w:rtl/>
        </w:rPr>
        <w:tab/>
      </w:r>
      <w:r>
        <w:rPr>
          <w:rFonts w:hint="cs"/>
          <w:sz w:val="26"/>
          <w:szCs w:val="26"/>
          <w:rtl/>
        </w:rPr>
        <w:t xml:space="preserve">באשר לעבירה של החזקת הסם,  מדובר בכמות קטנה מאד של כגרם אחד, שהוחזקה על ידי שני הנאשמים יחד. כאמור לעיל, נאשם 2 הוא הרוח החיה, והוא ביצע מספר גדול יותר של עבירות ועבירות סחר ממש. לאור האמור אני סבורה שאין מקום להטלת מאסר בפועל לתקופה נוספת בגין עבירה זו, וניתן להסתפק במאסר על תנאי שיחול גם על עבירת ההחזקה שלא לשימוש עצמי. </w:t>
      </w:r>
    </w:p>
    <w:p w14:paraId="071D2BB5" w14:textId="77777777" w:rsidR="001811FF" w:rsidRDefault="00BB3696">
      <w:pPr>
        <w:spacing w:after="120" w:line="360" w:lineRule="auto"/>
        <w:ind w:firstLine="720"/>
        <w:jc w:val="both"/>
        <w:rPr>
          <w:sz w:val="26"/>
          <w:szCs w:val="26"/>
          <w:highlight w:val="yellow"/>
          <w:rtl/>
        </w:rPr>
      </w:pPr>
      <w:r>
        <w:rPr>
          <w:rFonts w:hint="cs"/>
          <w:sz w:val="26"/>
          <w:szCs w:val="26"/>
          <w:rtl/>
        </w:rPr>
        <w:t>בעבירות מסוג זה שיש להן זיקה לקבלת טובת הנאה כספית, היה מקום להטלת קנס כספי. אולם במקרה הנדון, לאור האמור בתסקיר, לנוכח מצבה הכספי של הנאשמת והעובדה שהיא אחראית לבבנה הקטין, אני נמנעת מכך.</w:t>
      </w:r>
      <w:r>
        <w:rPr>
          <w:rFonts w:hint="cs"/>
          <w:sz w:val="26"/>
          <w:szCs w:val="26"/>
          <w:highlight w:val="yellow"/>
          <w:rtl/>
        </w:rPr>
        <w:t xml:space="preserve"> </w:t>
      </w:r>
    </w:p>
    <w:p w14:paraId="0522705C" w14:textId="77777777" w:rsidR="001811FF" w:rsidRDefault="00BB3696">
      <w:pPr>
        <w:spacing w:after="120" w:line="360" w:lineRule="auto"/>
        <w:jc w:val="both"/>
        <w:rPr>
          <w:b/>
          <w:bCs/>
          <w:sz w:val="26"/>
          <w:szCs w:val="26"/>
          <w:u w:val="single"/>
          <w:rtl/>
        </w:rPr>
      </w:pPr>
      <w:r>
        <w:rPr>
          <w:rFonts w:hint="cs"/>
          <w:b/>
          <w:bCs/>
          <w:sz w:val="26"/>
          <w:szCs w:val="26"/>
          <w:u w:val="single"/>
          <w:rtl/>
        </w:rPr>
        <w:t xml:space="preserve">לאור האמור אני דנה את הנאשמת לעונשים אלו: </w:t>
      </w:r>
    </w:p>
    <w:p w14:paraId="153D3657" w14:textId="77777777" w:rsidR="001811FF" w:rsidRDefault="00BB3696">
      <w:pPr>
        <w:spacing w:after="120" w:line="360" w:lineRule="auto"/>
        <w:jc w:val="both"/>
        <w:rPr>
          <w:sz w:val="26"/>
          <w:szCs w:val="26"/>
          <w:rtl/>
        </w:rPr>
      </w:pPr>
      <w:r>
        <w:rPr>
          <w:rFonts w:hint="cs"/>
          <w:sz w:val="26"/>
          <w:szCs w:val="26"/>
          <w:rtl/>
        </w:rPr>
        <w:t>1.</w:t>
      </w:r>
      <w:r>
        <w:rPr>
          <w:rFonts w:hint="cs"/>
          <w:sz w:val="26"/>
          <w:szCs w:val="26"/>
          <w:rtl/>
        </w:rPr>
        <w:tab/>
        <w:t xml:space="preserve">מאסר בפועל למשך 9 חודשים החל ממעצרה של הנאשמת. </w:t>
      </w:r>
    </w:p>
    <w:p w14:paraId="685A74EE" w14:textId="77777777" w:rsidR="001811FF" w:rsidRDefault="00BB3696">
      <w:pPr>
        <w:spacing w:after="120" w:line="360" w:lineRule="auto"/>
        <w:ind w:left="720" w:hanging="720"/>
        <w:jc w:val="both"/>
        <w:rPr>
          <w:sz w:val="26"/>
          <w:szCs w:val="26"/>
          <w:rtl/>
        </w:rPr>
      </w:pPr>
      <w:r>
        <w:rPr>
          <w:rFonts w:hint="cs"/>
          <w:sz w:val="26"/>
          <w:szCs w:val="26"/>
          <w:rtl/>
        </w:rPr>
        <w:t>2.</w:t>
      </w:r>
      <w:r>
        <w:rPr>
          <w:rFonts w:hint="cs"/>
          <w:sz w:val="26"/>
          <w:szCs w:val="26"/>
          <w:rtl/>
        </w:rPr>
        <w:tab/>
        <w:t xml:space="preserve">מאסר על תנאי לשלושה חודשים למשך שלוש שנים על כל עבירת סמים למעט החזקת סם לשימוש עצמי בלבד. </w:t>
      </w:r>
    </w:p>
    <w:p w14:paraId="7144B9AE" w14:textId="77777777" w:rsidR="001811FF" w:rsidRDefault="001811FF">
      <w:pPr>
        <w:spacing w:after="120" w:line="360" w:lineRule="auto"/>
        <w:jc w:val="both"/>
        <w:rPr>
          <w:sz w:val="26"/>
          <w:szCs w:val="26"/>
          <w:rtl/>
        </w:rPr>
      </w:pPr>
    </w:p>
    <w:p w14:paraId="749445A3" w14:textId="77777777" w:rsidR="001811FF" w:rsidRPr="00BB3696" w:rsidRDefault="00BB3696">
      <w:pPr>
        <w:rPr>
          <w:color w:val="FFFFFF"/>
          <w:sz w:val="2"/>
          <w:szCs w:val="2"/>
          <w:rtl/>
        </w:rPr>
      </w:pPr>
      <w:r w:rsidRPr="00BB3696">
        <w:rPr>
          <w:color w:val="FFFFFF"/>
          <w:sz w:val="2"/>
          <w:szCs w:val="2"/>
          <w:rtl/>
        </w:rPr>
        <w:t>5129371</w:t>
      </w:r>
    </w:p>
    <w:p w14:paraId="7740811D" w14:textId="77777777" w:rsidR="001811FF" w:rsidRDefault="00BB3696">
      <w:pPr>
        <w:rPr>
          <w:sz w:val="26"/>
          <w:szCs w:val="26"/>
          <w:rtl/>
        </w:rPr>
      </w:pPr>
      <w:r w:rsidRPr="00BB3696">
        <w:rPr>
          <w:rFonts w:ascii="Arial" w:hAnsi="Arial"/>
          <w:color w:val="FFFFFF"/>
          <w:sz w:val="2"/>
          <w:szCs w:val="2"/>
          <w:rtl/>
        </w:rPr>
        <w:t>54678313</w:t>
      </w:r>
      <w:r>
        <w:rPr>
          <w:rFonts w:ascii="Arial" w:hAnsi="Arial"/>
          <w:sz w:val="26"/>
          <w:szCs w:val="26"/>
          <w:rtl/>
        </w:rPr>
        <w:t xml:space="preserve">ניתן היום,  כ"ג חשוון תשע"ו, 05 נובמבר 2015, בנוכחות הצדדים. </w:t>
      </w:r>
      <w:r>
        <w:rPr>
          <w:rFonts w:hint="cs"/>
          <w:sz w:val="26"/>
          <w:szCs w:val="26"/>
          <w:rtl/>
        </w:rPr>
        <w:t xml:space="preserve">זכות ערעור לבית המשפט המחוזי בירושלים בתוך 45 יום. </w:t>
      </w:r>
    </w:p>
    <w:p w14:paraId="00A61BF7" w14:textId="77777777" w:rsidR="001811FF" w:rsidRPr="00E10A98" w:rsidRDefault="00E10A98">
      <w:pPr>
        <w:jc w:val="right"/>
        <w:rPr>
          <w:color w:val="FFFFFF"/>
          <w:sz w:val="2"/>
          <w:szCs w:val="2"/>
        </w:rPr>
      </w:pPr>
      <w:r w:rsidRPr="00E10A98">
        <w:rPr>
          <w:color w:val="FFFFFF"/>
          <w:sz w:val="2"/>
          <w:szCs w:val="2"/>
          <w:rtl/>
        </w:rPr>
        <w:t>5129371</w:t>
      </w:r>
    </w:p>
    <w:p w14:paraId="7F8B91E4" w14:textId="77777777" w:rsidR="00BB3696" w:rsidRPr="00E10A98" w:rsidRDefault="00E10A98" w:rsidP="00BB3696">
      <w:pPr>
        <w:keepNext/>
        <w:rPr>
          <w:rFonts w:ascii="David" w:hAnsi="David"/>
          <w:color w:val="FFFFFF"/>
          <w:sz w:val="2"/>
          <w:szCs w:val="2"/>
          <w:rtl/>
        </w:rPr>
      </w:pPr>
      <w:r w:rsidRPr="00E10A98">
        <w:rPr>
          <w:rFonts w:ascii="David" w:hAnsi="David"/>
          <w:color w:val="FFFFFF"/>
          <w:sz w:val="2"/>
          <w:szCs w:val="2"/>
          <w:rtl/>
        </w:rPr>
        <w:t>54678313</w:t>
      </w:r>
    </w:p>
    <w:p w14:paraId="2868DCC1" w14:textId="77777777" w:rsidR="00BB3696" w:rsidRDefault="00BB3696" w:rsidP="00BB3696">
      <w:r w:rsidRPr="00BB3696">
        <w:rPr>
          <w:color w:val="000000"/>
          <w:rtl/>
        </w:rPr>
        <w:t>נוסח מסמך זה כפוף לשינויי ניסוח ועריכה</w:t>
      </w:r>
    </w:p>
    <w:p w14:paraId="59E99FF8" w14:textId="77777777" w:rsidR="00BB3696" w:rsidRDefault="00BB3696" w:rsidP="00BB3696">
      <w:pPr>
        <w:rPr>
          <w:rtl/>
        </w:rPr>
      </w:pPr>
    </w:p>
    <w:p w14:paraId="72AACE59" w14:textId="77777777" w:rsidR="00BB3696" w:rsidRDefault="00BB3696" w:rsidP="00BB3696">
      <w:pPr>
        <w:jc w:val="center"/>
        <w:rPr>
          <w:color w:val="0000FF"/>
          <w:u w:val="single"/>
        </w:rPr>
      </w:pPr>
      <w:hyperlink r:id="rId13" w:history="1">
        <w:r>
          <w:rPr>
            <w:color w:val="0000FF"/>
            <w:u w:val="single"/>
            <w:rtl/>
          </w:rPr>
          <w:t>בעניין עריכה ושינויים במסמכי פסיקה, חקיקה ועוד באתר נבו – הקש כאן</w:t>
        </w:r>
      </w:hyperlink>
    </w:p>
    <w:p w14:paraId="1DBB23B2" w14:textId="77777777" w:rsidR="00E10A98" w:rsidRPr="00E10A98" w:rsidRDefault="00E10A98" w:rsidP="00E10A98">
      <w:pPr>
        <w:keepNext/>
        <w:rPr>
          <w:rFonts w:ascii="David" w:hAnsi="David"/>
          <w:color w:val="000000"/>
          <w:sz w:val="22"/>
          <w:szCs w:val="22"/>
          <w:rtl/>
        </w:rPr>
      </w:pPr>
    </w:p>
    <w:p w14:paraId="2F5524C7" w14:textId="77777777" w:rsidR="00E10A98" w:rsidRPr="00E10A98" w:rsidRDefault="00E10A98" w:rsidP="00E10A98">
      <w:pPr>
        <w:keepNext/>
        <w:rPr>
          <w:rFonts w:ascii="David" w:hAnsi="David"/>
          <w:color w:val="000000"/>
          <w:sz w:val="22"/>
          <w:szCs w:val="22"/>
          <w:rtl/>
        </w:rPr>
      </w:pPr>
      <w:r w:rsidRPr="00E10A98">
        <w:rPr>
          <w:rFonts w:ascii="David" w:hAnsi="David"/>
          <w:color w:val="000000"/>
          <w:sz w:val="22"/>
          <w:szCs w:val="22"/>
          <w:rtl/>
        </w:rPr>
        <w:t>חגית מאק קלמנוביץ 54678313-/</w:t>
      </w:r>
    </w:p>
    <w:sectPr w:rsidR="00E10A98" w:rsidRPr="00E10A98" w:rsidSect="00E10A98">
      <w:headerReference w:type="even" r:id="rId14"/>
      <w:headerReference w:type="default" r:id="rId15"/>
      <w:footerReference w:type="even" r:id="rId16"/>
      <w:footerReference w:type="default" r:id="rId17"/>
      <w:pgSz w:w="11907" w:h="16840" w:code="9"/>
      <w:pgMar w:top="1701" w:right="1701" w:bottom="1134" w:left="1701" w:header="187" w:footer="567"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B07714" w14:textId="77777777" w:rsidR="00B75C9B" w:rsidRDefault="00B75C9B">
      <w:r>
        <w:separator/>
      </w:r>
    </w:p>
  </w:endnote>
  <w:endnote w:type="continuationSeparator" w:id="0">
    <w:p w14:paraId="000A542E" w14:textId="77777777" w:rsidR="00B75C9B" w:rsidRDefault="00B75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F63AA" w14:textId="77777777" w:rsidR="00B75C9B" w:rsidRDefault="00B75C9B" w:rsidP="00E10A9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7E7F6DCF" w14:textId="77777777" w:rsidR="00B75C9B" w:rsidRPr="00E10A98" w:rsidRDefault="00B75C9B" w:rsidP="00E10A98">
    <w:pPr>
      <w:pStyle w:val="a4"/>
      <w:pBdr>
        <w:top w:val="single" w:sz="4" w:space="1" w:color="auto"/>
        <w:between w:val="single" w:sz="4" w:space="0" w:color="auto"/>
      </w:pBdr>
      <w:spacing w:after="60"/>
      <w:jc w:val="center"/>
      <w:rPr>
        <w:rFonts w:ascii="FrankRuehl" w:hAnsi="FrankRuehl" w:cs="FrankRuehl"/>
        <w:color w:val="000000"/>
      </w:rPr>
    </w:pPr>
    <w:r w:rsidRPr="00E10A9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95C90" w14:textId="77777777" w:rsidR="00B75C9B" w:rsidRDefault="00B75C9B" w:rsidP="00E10A9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756AB">
      <w:rPr>
        <w:rFonts w:ascii="FrankRuehl" w:hAnsi="FrankRuehl" w:cs="FrankRuehl"/>
        <w:noProof/>
        <w:rtl/>
      </w:rPr>
      <w:t>1</w:t>
    </w:r>
    <w:r>
      <w:rPr>
        <w:rFonts w:ascii="FrankRuehl" w:hAnsi="FrankRuehl" w:cs="FrankRuehl"/>
        <w:rtl/>
      </w:rPr>
      <w:fldChar w:fldCharType="end"/>
    </w:r>
  </w:p>
  <w:p w14:paraId="6570C1B9" w14:textId="77777777" w:rsidR="00B75C9B" w:rsidRPr="00E10A98" w:rsidRDefault="00B75C9B" w:rsidP="00E10A98">
    <w:pPr>
      <w:pStyle w:val="a4"/>
      <w:pBdr>
        <w:top w:val="single" w:sz="4" w:space="1" w:color="auto"/>
        <w:between w:val="single" w:sz="4" w:space="0" w:color="auto"/>
      </w:pBdr>
      <w:spacing w:after="60"/>
      <w:jc w:val="center"/>
      <w:rPr>
        <w:rFonts w:ascii="FrankRuehl" w:hAnsi="FrankRuehl" w:cs="FrankRuehl"/>
        <w:color w:val="000000"/>
      </w:rPr>
    </w:pPr>
    <w:r w:rsidRPr="00E10A98">
      <w:rPr>
        <w:rFonts w:ascii="FrankRuehl" w:hAnsi="FrankRuehl" w:cs="FrankRuehl"/>
        <w:color w:val="000000"/>
      </w:rPr>
      <w:pict w14:anchorId="6AC6D4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A4943E" w14:textId="77777777" w:rsidR="00B75C9B" w:rsidRDefault="00B75C9B">
      <w:r>
        <w:separator/>
      </w:r>
    </w:p>
  </w:footnote>
  <w:footnote w:type="continuationSeparator" w:id="0">
    <w:p w14:paraId="0DF7AC1F" w14:textId="77777777" w:rsidR="00B75C9B" w:rsidRDefault="00B75C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1E8A5" w14:textId="77777777" w:rsidR="00B75C9B" w:rsidRPr="00E10A98" w:rsidRDefault="00B75C9B" w:rsidP="00E10A9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37364-07-15</w:t>
    </w:r>
    <w:r>
      <w:rPr>
        <w:rFonts w:ascii="David" w:hAnsi="David"/>
        <w:color w:val="000000"/>
        <w:sz w:val="22"/>
        <w:szCs w:val="22"/>
        <w:rtl/>
      </w:rPr>
      <w:tab/>
      <w:t xml:space="preserve"> מדינת ישראל נ' שרונה בן עטר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21B24" w14:textId="77777777" w:rsidR="00B75C9B" w:rsidRPr="00E10A98" w:rsidRDefault="00B75C9B" w:rsidP="00E10A9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37364-07-15</w:t>
    </w:r>
    <w:r>
      <w:rPr>
        <w:rFonts w:ascii="David" w:hAnsi="David"/>
        <w:color w:val="000000"/>
        <w:sz w:val="22"/>
        <w:szCs w:val="22"/>
        <w:rtl/>
      </w:rPr>
      <w:tab/>
      <w:t xml:space="preserve"> מדינת ישראל נ' שרונה בן עטר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811FF"/>
    <w:rsid w:val="001811FF"/>
    <w:rsid w:val="004305EC"/>
    <w:rsid w:val="00447FCA"/>
    <w:rsid w:val="0048668F"/>
    <w:rsid w:val="006756AB"/>
    <w:rsid w:val="009131F0"/>
    <w:rsid w:val="00B75C9B"/>
    <w:rsid w:val="00BB3696"/>
    <w:rsid w:val="00E10A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2535BB0"/>
  <w15:chartTrackingRefBased/>
  <w15:docId w15:val="{9FF0D9FE-6742-4B7A-BC7C-EC074DB91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811FF"/>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1811FF"/>
    <w:pPr>
      <w:tabs>
        <w:tab w:val="center" w:pos="4153"/>
        <w:tab w:val="right" w:pos="8306"/>
      </w:tabs>
    </w:pPr>
  </w:style>
  <w:style w:type="paragraph" w:styleId="a4">
    <w:name w:val="footer"/>
    <w:basedOn w:val="a"/>
    <w:rsid w:val="001811FF"/>
    <w:pPr>
      <w:tabs>
        <w:tab w:val="center" w:pos="4153"/>
        <w:tab w:val="right" w:pos="8306"/>
      </w:tabs>
    </w:pPr>
  </w:style>
  <w:style w:type="character" w:styleId="a5">
    <w:name w:val="page number"/>
    <w:basedOn w:val="a0"/>
    <w:rsid w:val="001811FF"/>
  </w:style>
  <w:style w:type="character" w:styleId="Hyperlink">
    <w:name w:val="Hyperlink"/>
    <w:basedOn w:val="a0"/>
    <w:rsid w:val="00BB36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17053973"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hyperlink" Target="http://www.nevo.co.il/case/3941511"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case/4779258"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case/17968252"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case/11237544"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1316</Words>
  <Characters>6582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7883</CharactersWithSpaces>
  <SharedDoc>false</SharedDoc>
  <HLinks>
    <vt:vector size="48" baseType="variant">
      <vt:variant>
        <vt:i4>393283</vt:i4>
      </vt:variant>
      <vt:variant>
        <vt:i4>21</vt:i4>
      </vt:variant>
      <vt:variant>
        <vt:i4>0</vt:i4>
      </vt:variant>
      <vt:variant>
        <vt:i4>5</vt:i4>
      </vt:variant>
      <vt:variant>
        <vt:lpwstr>http://www.nevo.co.il/advertisements/nevo-100.doc</vt:lpwstr>
      </vt:variant>
      <vt:variant>
        <vt:lpwstr/>
      </vt:variant>
      <vt:variant>
        <vt:i4>3342461</vt:i4>
      </vt:variant>
      <vt:variant>
        <vt:i4>18</vt:i4>
      </vt:variant>
      <vt:variant>
        <vt:i4>0</vt:i4>
      </vt:variant>
      <vt:variant>
        <vt:i4>5</vt:i4>
      </vt:variant>
      <vt:variant>
        <vt:lpwstr>http://www.nevo.co.il/case/3941511</vt:lpwstr>
      </vt:variant>
      <vt:variant>
        <vt:lpwstr/>
      </vt:variant>
      <vt:variant>
        <vt:i4>3735679</vt:i4>
      </vt:variant>
      <vt:variant>
        <vt:i4>15</vt:i4>
      </vt:variant>
      <vt:variant>
        <vt:i4>0</vt:i4>
      </vt:variant>
      <vt:variant>
        <vt:i4>5</vt:i4>
      </vt:variant>
      <vt:variant>
        <vt:lpwstr>http://www.nevo.co.il/case/4779258</vt:lpwstr>
      </vt:variant>
      <vt:variant>
        <vt:lpwstr/>
      </vt:variant>
      <vt:variant>
        <vt:i4>3473527</vt:i4>
      </vt:variant>
      <vt:variant>
        <vt:i4>12</vt:i4>
      </vt:variant>
      <vt:variant>
        <vt:i4>0</vt:i4>
      </vt:variant>
      <vt:variant>
        <vt:i4>5</vt:i4>
      </vt:variant>
      <vt:variant>
        <vt:lpwstr>http://www.nevo.co.il/case/17968252</vt:lpwstr>
      </vt:variant>
      <vt:variant>
        <vt:lpwstr/>
      </vt:variant>
      <vt:variant>
        <vt:i4>3145843</vt:i4>
      </vt:variant>
      <vt:variant>
        <vt:i4>9</vt:i4>
      </vt:variant>
      <vt:variant>
        <vt:i4>0</vt:i4>
      </vt:variant>
      <vt:variant>
        <vt:i4>5</vt:i4>
      </vt:variant>
      <vt:variant>
        <vt:lpwstr>http://www.nevo.co.il/case/11237544</vt:lpwstr>
      </vt:variant>
      <vt:variant>
        <vt:lpwstr/>
      </vt:variant>
      <vt:variant>
        <vt:i4>3473535</vt:i4>
      </vt:variant>
      <vt:variant>
        <vt:i4>6</vt:i4>
      </vt:variant>
      <vt:variant>
        <vt:i4>0</vt:i4>
      </vt:variant>
      <vt:variant>
        <vt:i4>5</vt:i4>
      </vt:variant>
      <vt:variant>
        <vt:lpwstr>http://www.nevo.co.il/case/17053973</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2025-04-22T22:46:00Z</dcterms:created>
  <dcterms:modified xsi:type="dcterms:W3CDTF">2025-04-22T22:46:00Z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37364</vt:lpwstr>
  </property>
  <property fmtid="{D5CDD505-2E9C-101B-9397-08002B2CF9AE}" pid="6" name="NEWPARTB">
    <vt:lpwstr>07</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שרונה בן עטר</vt:lpwstr>
  </property>
  <property fmtid="{D5CDD505-2E9C-101B-9397-08002B2CF9AE}" pid="10" name="LAWYER">
    <vt:lpwstr>חגית רייזמן;</vt:lpwstr>
  </property>
  <property fmtid="{D5CDD505-2E9C-101B-9397-08002B2CF9AE}" pid="11" name="JUDGE">
    <vt:lpwstr>חגית מאק קלמנוביץ</vt:lpwstr>
  </property>
  <property fmtid="{D5CDD505-2E9C-101B-9397-08002B2CF9AE}" pid="12" name="CITY">
    <vt:lpwstr>י-ם</vt:lpwstr>
  </property>
  <property fmtid="{D5CDD505-2E9C-101B-9397-08002B2CF9AE}" pid="13" name="DATE">
    <vt:lpwstr>20151105</vt:lpwstr>
  </property>
  <property fmtid="{D5CDD505-2E9C-101B-9397-08002B2CF9AE}" pid="14" name="TYPE_N_DATE">
    <vt:lpwstr>38020151105</vt:lpwstr>
  </property>
  <property fmtid="{D5CDD505-2E9C-101B-9397-08002B2CF9AE}" pid="15" name="CASESLISTTMP1">
    <vt:lpwstr>17053973;11237544;17968252;4779258;3941511</vt:lpwstr>
  </property>
  <property fmtid="{D5CDD505-2E9C-101B-9397-08002B2CF9AE}" pid="16" name="WORDNUMPAGES">
    <vt:lpwstr>4</vt:lpwstr>
  </property>
  <property fmtid="{D5CDD505-2E9C-101B-9397-08002B2CF9AE}" pid="17" name="TYPE_ABS_DATE">
    <vt:lpwstr>380020151105</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vt:lpwstr>
  </property>
</Properties>
</file>