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901FB0" w:rsidRPr="00E3478E" w14:paraId="3980D2EE" w14:textId="77777777">
        <w:trPr>
          <w:trHeight w:hRule="exact" w:val="418"/>
          <w:jc w:val="center"/>
        </w:trPr>
        <w:tc>
          <w:tcPr>
            <w:tcW w:w="8720" w:type="dxa"/>
            <w:gridSpan w:val="3"/>
          </w:tcPr>
          <w:p w14:paraId="17231F9F" w14:textId="77777777" w:rsidR="00901FB0" w:rsidRPr="00E3478E" w:rsidRDefault="00E3478E">
            <w:pPr>
              <w:pStyle w:val="a5"/>
              <w:tabs>
                <w:tab w:val="clear" w:pos="8306"/>
              </w:tabs>
              <w:jc w:val="center"/>
              <w:rPr>
                <w:rFonts w:ascii="Tahoma" w:hAnsi="Tahoma" w:cs="Tahoma"/>
                <w:b/>
                <w:bCs/>
                <w:color w:val="000080"/>
                <w:sz w:val="20"/>
                <w:szCs w:val="20"/>
                <w:rtl/>
              </w:rPr>
            </w:pPr>
            <w:bookmarkStart w:id="0" w:name="LastJudge"/>
            <w:r w:rsidRPr="00E3478E">
              <w:rPr>
                <w:rFonts w:ascii="Tahoma" w:hAnsi="Tahoma" w:cs="Tahoma"/>
                <w:b/>
                <w:bCs/>
                <w:color w:val="000080"/>
                <w:sz w:val="20"/>
                <w:szCs w:val="20"/>
                <w:rtl/>
              </w:rPr>
              <w:t>בית משפט השלום בעכו</w:t>
            </w:r>
          </w:p>
        </w:tc>
      </w:tr>
      <w:tr w:rsidR="00901FB0" w:rsidRPr="00E3478E" w14:paraId="6EE84C9F" w14:textId="77777777">
        <w:trPr>
          <w:trHeight w:val="337"/>
          <w:jc w:val="center"/>
        </w:trPr>
        <w:tc>
          <w:tcPr>
            <w:tcW w:w="6396" w:type="dxa"/>
          </w:tcPr>
          <w:p w14:paraId="1E28C8D5" w14:textId="77777777" w:rsidR="00901FB0" w:rsidRPr="00E3478E" w:rsidRDefault="00E3478E">
            <w:pPr>
              <w:rPr>
                <w:b/>
                <w:bCs/>
                <w:sz w:val="26"/>
                <w:szCs w:val="26"/>
                <w:rtl/>
              </w:rPr>
            </w:pPr>
            <w:r w:rsidRPr="00E3478E">
              <w:rPr>
                <w:b/>
                <w:bCs/>
                <w:sz w:val="26"/>
                <w:szCs w:val="26"/>
                <w:rtl/>
              </w:rPr>
              <w:t>ת"פ</w:t>
            </w:r>
            <w:r w:rsidRPr="00E3478E">
              <w:rPr>
                <w:rFonts w:hint="cs"/>
                <w:b/>
                <w:bCs/>
                <w:sz w:val="26"/>
                <w:szCs w:val="26"/>
                <w:rtl/>
              </w:rPr>
              <w:t xml:space="preserve"> </w:t>
            </w:r>
            <w:r w:rsidRPr="00E3478E">
              <w:rPr>
                <w:b/>
                <w:bCs/>
                <w:sz w:val="26"/>
                <w:szCs w:val="26"/>
                <w:rtl/>
              </w:rPr>
              <w:t>48247-07-15</w:t>
            </w:r>
            <w:r w:rsidRPr="00E3478E">
              <w:rPr>
                <w:rFonts w:hint="cs"/>
                <w:b/>
                <w:bCs/>
                <w:sz w:val="26"/>
                <w:szCs w:val="26"/>
                <w:rtl/>
              </w:rPr>
              <w:t xml:space="preserve"> </w:t>
            </w:r>
            <w:r w:rsidRPr="00E3478E">
              <w:rPr>
                <w:b/>
                <w:bCs/>
                <w:sz w:val="26"/>
                <w:szCs w:val="26"/>
                <w:rtl/>
              </w:rPr>
              <w:t>מדינת ישראל נ' קדאח</w:t>
            </w:r>
          </w:p>
          <w:p w14:paraId="1DAD5B16" w14:textId="77777777" w:rsidR="00901FB0" w:rsidRPr="00E3478E" w:rsidRDefault="00901FB0">
            <w:pPr>
              <w:rPr>
                <w:b/>
                <w:bCs/>
                <w:sz w:val="26"/>
                <w:szCs w:val="26"/>
                <w:rtl/>
              </w:rPr>
            </w:pPr>
          </w:p>
        </w:tc>
        <w:tc>
          <w:tcPr>
            <w:tcW w:w="236" w:type="dxa"/>
          </w:tcPr>
          <w:p w14:paraId="1E8C2E51" w14:textId="77777777" w:rsidR="00901FB0" w:rsidRPr="00E3478E" w:rsidRDefault="00901FB0">
            <w:pPr>
              <w:pStyle w:val="a5"/>
              <w:jc w:val="right"/>
              <w:rPr>
                <w:b/>
                <w:bCs/>
                <w:sz w:val="26"/>
                <w:szCs w:val="26"/>
                <w:rtl/>
              </w:rPr>
            </w:pPr>
          </w:p>
        </w:tc>
        <w:tc>
          <w:tcPr>
            <w:tcW w:w="2088" w:type="dxa"/>
          </w:tcPr>
          <w:p w14:paraId="02D98C4E" w14:textId="77777777" w:rsidR="00901FB0" w:rsidRPr="00E3478E" w:rsidRDefault="00E3478E">
            <w:pPr>
              <w:pStyle w:val="a5"/>
              <w:tabs>
                <w:tab w:val="clear" w:pos="4153"/>
              </w:tabs>
              <w:jc w:val="right"/>
              <w:rPr>
                <w:b/>
                <w:bCs/>
                <w:sz w:val="26"/>
                <w:szCs w:val="26"/>
                <w:rtl/>
              </w:rPr>
            </w:pPr>
            <w:r w:rsidRPr="00E3478E">
              <w:rPr>
                <w:b/>
                <w:bCs/>
                <w:sz w:val="26"/>
                <w:szCs w:val="26"/>
                <w:rtl/>
              </w:rPr>
              <w:t>15 מאי 2016</w:t>
            </w:r>
          </w:p>
        </w:tc>
      </w:tr>
    </w:tbl>
    <w:p w14:paraId="60D06A1F" w14:textId="77777777" w:rsidR="00901FB0" w:rsidRPr="00E3478E" w:rsidRDefault="00901FB0">
      <w:pPr>
        <w:pStyle w:val="a5"/>
        <w:jc w:val="center"/>
        <w:rPr>
          <w:rFonts w:ascii="Tahoma" w:hAnsi="Tahoma" w:cs="Tahoma"/>
          <w:b/>
          <w:bCs/>
          <w:color w:val="000080"/>
          <w:sz w:val="20"/>
          <w:szCs w:val="20"/>
          <w:rtl/>
        </w:rPr>
      </w:pPr>
    </w:p>
    <w:p w14:paraId="3684097E" w14:textId="77777777" w:rsidR="00901FB0" w:rsidRPr="00E3478E" w:rsidRDefault="00901FB0">
      <w:pPr>
        <w:rPr>
          <w:rFonts w:ascii="Arial" w:hAnsi="Arial"/>
          <w:rtl/>
        </w:rPr>
      </w:pPr>
    </w:p>
    <w:tbl>
      <w:tblPr>
        <w:bidiVisual/>
        <w:tblW w:w="0" w:type="auto"/>
        <w:jc w:val="center"/>
        <w:tblLook w:val="0000" w:firstRow="0" w:lastRow="0" w:firstColumn="0" w:lastColumn="0" w:noHBand="0" w:noVBand="0"/>
      </w:tblPr>
      <w:tblGrid>
        <w:gridCol w:w="1592"/>
        <w:gridCol w:w="7128"/>
      </w:tblGrid>
      <w:tr w:rsidR="00901FB0" w:rsidRPr="00E3478E" w14:paraId="196EA7D3" w14:textId="77777777">
        <w:trPr>
          <w:trHeight w:val="337"/>
          <w:jc w:val="center"/>
        </w:trPr>
        <w:tc>
          <w:tcPr>
            <w:tcW w:w="1592" w:type="dxa"/>
          </w:tcPr>
          <w:p w14:paraId="026D05A3" w14:textId="77777777" w:rsidR="00901FB0" w:rsidRPr="00E3478E" w:rsidRDefault="00E3478E">
            <w:pPr>
              <w:pStyle w:val="a5"/>
              <w:bidi w:val="0"/>
              <w:spacing w:line="360" w:lineRule="auto"/>
              <w:jc w:val="both"/>
              <w:rPr>
                <w:rFonts w:ascii="Times New Roman" w:hAnsi="Times New Roman"/>
              </w:rPr>
            </w:pPr>
            <w:r w:rsidRPr="00E3478E">
              <w:rPr>
                <w:rFonts w:ascii="Times New Roman" w:hAnsi="Times New Roman"/>
              </w:rPr>
              <w:t xml:space="preserve">  </w:t>
            </w:r>
          </w:p>
        </w:tc>
        <w:tc>
          <w:tcPr>
            <w:tcW w:w="7128" w:type="dxa"/>
          </w:tcPr>
          <w:p w14:paraId="2B7DF00B" w14:textId="77777777" w:rsidR="00901FB0" w:rsidRPr="00E3478E" w:rsidRDefault="00E3478E">
            <w:pPr>
              <w:pStyle w:val="a5"/>
              <w:jc w:val="right"/>
              <w:rPr>
                <w:b/>
                <w:bCs/>
                <w:sz w:val="26"/>
                <w:szCs w:val="26"/>
                <w:rtl/>
              </w:rPr>
            </w:pPr>
            <w:r w:rsidRPr="00E3478E">
              <w:rPr>
                <w:rFonts w:hint="cs"/>
                <w:rtl/>
              </w:rPr>
              <w:t xml:space="preserve"> 48273-07-15</w:t>
            </w:r>
          </w:p>
        </w:tc>
      </w:tr>
    </w:tbl>
    <w:p w14:paraId="4528FB41" w14:textId="77777777" w:rsidR="00901FB0" w:rsidRPr="00E3478E" w:rsidRDefault="00901FB0">
      <w:pPr>
        <w:rPr>
          <w:rFonts w:ascii="Arial" w:hAnsi="Arial"/>
          <w:rtl/>
        </w:rPr>
      </w:pPr>
    </w:p>
    <w:p w14:paraId="503BCFE5" w14:textId="77777777" w:rsidR="00901FB0" w:rsidRPr="00E3478E" w:rsidRDefault="00901FB0">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901FB0" w:rsidRPr="00E3478E" w14:paraId="117B202E" w14:textId="77777777">
        <w:trPr>
          <w:gridAfter w:val="1"/>
          <w:wAfter w:w="56" w:type="dxa"/>
        </w:trPr>
        <w:tc>
          <w:tcPr>
            <w:tcW w:w="8718" w:type="dxa"/>
            <w:gridSpan w:val="2"/>
            <w:shd w:val="clear" w:color="auto" w:fill="auto"/>
          </w:tcPr>
          <w:p w14:paraId="21A35185" w14:textId="77777777" w:rsidR="00901FB0" w:rsidRPr="00E3478E" w:rsidRDefault="00E3478E">
            <w:pPr>
              <w:rPr>
                <w:rFonts w:ascii="Times New Roman" w:eastAsia="Times New Roman" w:hAnsi="Times New Roman"/>
                <w:b/>
                <w:bCs/>
                <w:sz w:val="26"/>
                <w:szCs w:val="26"/>
                <w:rtl/>
              </w:rPr>
            </w:pPr>
            <w:r w:rsidRPr="00E3478E">
              <w:rPr>
                <w:rFonts w:ascii="Times New Roman" w:eastAsia="Times New Roman" w:hAnsi="Times New Roman" w:hint="cs"/>
                <w:b/>
                <w:bCs/>
                <w:sz w:val="26"/>
                <w:szCs w:val="26"/>
                <w:rtl/>
              </w:rPr>
              <w:t>לפני כבוד ה</w:t>
            </w:r>
            <w:r w:rsidRPr="00E3478E">
              <w:rPr>
                <w:rFonts w:ascii="Times New Roman" w:eastAsia="Times New Roman" w:hAnsi="Times New Roman" w:hint="cs"/>
                <w:rtl/>
              </w:rPr>
              <w:t>שופטת אביגיל זכריה</w:t>
            </w:r>
            <w:r w:rsidRPr="00E3478E">
              <w:rPr>
                <w:rStyle w:val="TimesNewRomanTimesNewRoman"/>
                <w:rFonts w:eastAsia="Times New Roman"/>
                <w:rtl/>
              </w:rPr>
              <w:t xml:space="preserve"> </w:t>
            </w:r>
          </w:p>
        </w:tc>
      </w:tr>
      <w:tr w:rsidR="00901FB0" w:rsidRPr="00E3478E" w14:paraId="5B218DE7" w14:textId="77777777">
        <w:trPr>
          <w:cantSplit/>
          <w:trHeight w:val="724"/>
        </w:trPr>
        <w:tc>
          <w:tcPr>
            <w:tcW w:w="2880" w:type="dxa"/>
            <w:shd w:val="clear" w:color="auto" w:fill="auto"/>
          </w:tcPr>
          <w:p w14:paraId="3B8E356A" w14:textId="77777777" w:rsidR="00901FB0" w:rsidRPr="00E3478E" w:rsidRDefault="00901FB0">
            <w:pPr>
              <w:ind w:left="26"/>
              <w:rPr>
                <w:rFonts w:ascii="Times New Roman" w:eastAsia="Times New Roman" w:hAnsi="Times New Roman"/>
                <w:b/>
                <w:bCs/>
                <w:sz w:val="26"/>
                <w:szCs w:val="26"/>
                <w:rtl/>
              </w:rPr>
            </w:pPr>
            <w:bookmarkStart w:id="1" w:name="FirstAppellant"/>
          </w:p>
          <w:p w14:paraId="59A3FFE5" w14:textId="77777777" w:rsidR="00901FB0" w:rsidRPr="00E3478E" w:rsidRDefault="00E3478E">
            <w:pPr>
              <w:ind w:left="26"/>
              <w:rPr>
                <w:rFonts w:ascii="Times New Roman" w:eastAsia="Times New Roman" w:hAnsi="Times New Roman"/>
                <w:b/>
                <w:bCs/>
                <w:sz w:val="26"/>
                <w:szCs w:val="26"/>
                <w:rtl/>
              </w:rPr>
            </w:pPr>
            <w:r w:rsidRPr="00E3478E">
              <w:rPr>
                <w:rFonts w:ascii="Times New Roman" w:eastAsia="Times New Roman" w:hAnsi="Times New Roman" w:hint="cs"/>
                <w:b/>
                <w:bCs/>
                <w:sz w:val="26"/>
                <w:szCs w:val="26"/>
                <w:rtl/>
              </w:rPr>
              <w:t>המאשימה</w:t>
            </w:r>
          </w:p>
        </w:tc>
        <w:tc>
          <w:tcPr>
            <w:tcW w:w="5922" w:type="dxa"/>
            <w:gridSpan w:val="2"/>
            <w:shd w:val="clear" w:color="auto" w:fill="auto"/>
          </w:tcPr>
          <w:p w14:paraId="039CCC9C" w14:textId="77777777" w:rsidR="00901FB0" w:rsidRPr="00E3478E" w:rsidRDefault="00901FB0">
            <w:pPr>
              <w:rPr>
                <w:rFonts w:ascii="Times New Roman" w:eastAsia="Times New Roman" w:hAnsi="Times New Roman" w:cs="Times New Roman"/>
                <w:rtl/>
              </w:rPr>
            </w:pPr>
          </w:p>
          <w:p w14:paraId="31623D09" w14:textId="77777777" w:rsidR="00901FB0" w:rsidRPr="00E3478E" w:rsidRDefault="00E3478E">
            <w:pPr>
              <w:rPr>
                <w:rFonts w:ascii="Times New Roman" w:eastAsia="Times New Roman" w:hAnsi="Times New Roman"/>
                <w:b/>
                <w:bCs/>
                <w:sz w:val="26"/>
                <w:szCs w:val="26"/>
                <w:rtl/>
              </w:rPr>
            </w:pPr>
            <w:r w:rsidRPr="00E3478E">
              <w:rPr>
                <w:rFonts w:ascii="Times New Roman" w:eastAsia="Times New Roman" w:hAnsi="Times New Roman" w:cs="Times New Roman" w:hint="cs"/>
                <w:rtl/>
              </w:rPr>
              <w:t xml:space="preserve"> </w:t>
            </w:r>
            <w:r w:rsidRPr="00E3478E">
              <w:rPr>
                <w:rFonts w:ascii="Times New Roman" w:eastAsia="Times New Roman" w:hAnsi="Times New Roman" w:hint="cs"/>
                <w:rtl/>
              </w:rPr>
              <w:t>מדינת ישראל</w:t>
            </w:r>
          </w:p>
          <w:p w14:paraId="20CC5D3C" w14:textId="77777777" w:rsidR="00901FB0" w:rsidRPr="00E3478E" w:rsidRDefault="00901FB0">
            <w:pPr>
              <w:rPr>
                <w:rFonts w:ascii="Times New Roman" w:eastAsia="Times New Roman" w:hAnsi="Times New Roman"/>
                <w:b/>
                <w:bCs/>
                <w:sz w:val="26"/>
                <w:szCs w:val="26"/>
                <w:rtl/>
              </w:rPr>
            </w:pPr>
          </w:p>
        </w:tc>
      </w:tr>
      <w:bookmarkEnd w:id="1"/>
      <w:tr w:rsidR="00901FB0" w:rsidRPr="00E3478E" w14:paraId="4337B686" w14:textId="77777777">
        <w:tc>
          <w:tcPr>
            <w:tcW w:w="8802" w:type="dxa"/>
            <w:gridSpan w:val="3"/>
            <w:shd w:val="clear" w:color="auto" w:fill="auto"/>
            <w:vAlign w:val="center"/>
          </w:tcPr>
          <w:p w14:paraId="314DBF38" w14:textId="77777777" w:rsidR="00901FB0" w:rsidRPr="00E3478E" w:rsidRDefault="00901FB0">
            <w:pPr>
              <w:jc w:val="center"/>
              <w:rPr>
                <w:rFonts w:ascii="Arial" w:eastAsia="Times New Roman" w:hAnsi="Arial"/>
                <w:b/>
                <w:bCs/>
                <w:sz w:val="26"/>
                <w:szCs w:val="26"/>
                <w:rtl/>
              </w:rPr>
            </w:pPr>
          </w:p>
          <w:p w14:paraId="0EAD9B31" w14:textId="77777777" w:rsidR="00901FB0" w:rsidRPr="00E3478E" w:rsidRDefault="00E3478E">
            <w:pPr>
              <w:jc w:val="center"/>
              <w:rPr>
                <w:rFonts w:ascii="Arial" w:eastAsia="Times New Roman" w:hAnsi="Arial"/>
                <w:b/>
                <w:bCs/>
                <w:sz w:val="26"/>
                <w:szCs w:val="26"/>
                <w:rtl/>
              </w:rPr>
            </w:pPr>
            <w:r w:rsidRPr="00E3478E">
              <w:rPr>
                <w:rFonts w:ascii="Arial" w:eastAsia="Times New Roman" w:hAnsi="Arial"/>
                <w:b/>
                <w:bCs/>
                <w:sz w:val="26"/>
                <w:szCs w:val="26"/>
                <w:rtl/>
              </w:rPr>
              <w:t>נגד</w:t>
            </w:r>
          </w:p>
          <w:p w14:paraId="35276418" w14:textId="77777777" w:rsidR="00901FB0" w:rsidRPr="00E3478E" w:rsidRDefault="00901FB0">
            <w:pPr>
              <w:rPr>
                <w:rFonts w:ascii="Arial" w:eastAsia="Times New Roman" w:hAnsi="Arial"/>
                <w:b/>
                <w:bCs/>
                <w:sz w:val="26"/>
                <w:szCs w:val="26"/>
              </w:rPr>
            </w:pPr>
          </w:p>
        </w:tc>
      </w:tr>
      <w:tr w:rsidR="00901FB0" w:rsidRPr="00E3478E" w14:paraId="68ACE97A" w14:textId="77777777">
        <w:tc>
          <w:tcPr>
            <w:tcW w:w="2880" w:type="dxa"/>
            <w:shd w:val="clear" w:color="auto" w:fill="auto"/>
          </w:tcPr>
          <w:p w14:paraId="4B62094C" w14:textId="77777777" w:rsidR="00901FB0" w:rsidRPr="00E3478E" w:rsidRDefault="00E3478E">
            <w:pPr>
              <w:ind w:left="26"/>
              <w:rPr>
                <w:rFonts w:ascii="Times New Roman" w:eastAsia="Times New Roman" w:hAnsi="Times New Roman"/>
                <w:b/>
                <w:bCs/>
                <w:sz w:val="26"/>
                <w:szCs w:val="26"/>
                <w:rtl/>
              </w:rPr>
            </w:pPr>
            <w:r w:rsidRPr="00E3478E">
              <w:rPr>
                <w:rFonts w:ascii="Times New Roman" w:eastAsia="Times New Roman" w:hAnsi="Times New Roman" w:hint="cs"/>
                <w:b/>
                <w:bCs/>
                <w:sz w:val="26"/>
                <w:szCs w:val="26"/>
                <w:rtl/>
              </w:rPr>
              <w:t>הנאשם</w:t>
            </w:r>
          </w:p>
        </w:tc>
        <w:tc>
          <w:tcPr>
            <w:tcW w:w="5922" w:type="dxa"/>
            <w:gridSpan w:val="2"/>
            <w:shd w:val="clear" w:color="auto" w:fill="auto"/>
          </w:tcPr>
          <w:p w14:paraId="0B0B818E" w14:textId="77777777" w:rsidR="00901FB0" w:rsidRPr="00E3478E" w:rsidRDefault="00E3478E">
            <w:pPr>
              <w:rPr>
                <w:rFonts w:ascii="Times New Roman" w:eastAsia="Times New Roman" w:hAnsi="Times New Roman"/>
                <w:b/>
                <w:bCs/>
                <w:sz w:val="26"/>
                <w:szCs w:val="26"/>
                <w:rtl/>
              </w:rPr>
            </w:pPr>
            <w:r w:rsidRPr="00E3478E">
              <w:rPr>
                <w:rFonts w:ascii="Times New Roman" w:eastAsia="Times New Roman" w:hAnsi="Times New Roman" w:cs="Times New Roman" w:hint="cs"/>
                <w:rtl/>
              </w:rPr>
              <w:t xml:space="preserve"> </w:t>
            </w:r>
            <w:r w:rsidRPr="00E3478E">
              <w:rPr>
                <w:rFonts w:ascii="Times New Roman" w:eastAsia="Times New Roman" w:hAnsi="Times New Roman" w:hint="cs"/>
                <w:rtl/>
              </w:rPr>
              <w:t>ח'אתם קדאח</w:t>
            </w:r>
          </w:p>
          <w:p w14:paraId="5375C900" w14:textId="77777777" w:rsidR="00901FB0" w:rsidRPr="00E3478E" w:rsidRDefault="00901FB0">
            <w:pPr>
              <w:rPr>
                <w:rFonts w:ascii="Times New Roman" w:eastAsia="Times New Roman" w:hAnsi="Times New Roman"/>
                <w:b/>
                <w:bCs/>
                <w:sz w:val="26"/>
                <w:szCs w:val="26"/>
                <w:rtl/>
              </w:rPr>
            </w:pPr>
          </w:p>
        </w:tc>
      </w:tr>
    </w:tbl>
    <w:p w14:paraId="4C85DD6A" w14:textId="77777777" w:rsidR="00901FB0" w:rsidRPr="00E3478E" w:rsidRDefault="00901FB0">
      <w:pPr>
        <w:spacing w:line="360" w:lineRule="auto"/>
        <w:jc w:val="both"/>
        <w:rPr>
          <w:rtl/>
        </w:rPr>
      </w:pPr>
    </w:p>
    <w:p w14:paraId="468BFB28" w14:textId="77777777" w:rsidR="00901FB0" w:rsidRPr="00E3478E" w:rsidRDefault="00E3478E">
      <w:pPr>
        <w:spacing w:line="360" w:lineRule="auto"/>
        <w:jc w:val="both"/>
        <w:rPr>
          <w:sz w:val="6"/>
          <w:szCs w:val="6"/>
          <w:rtl/>
        </w:rPr>
      </w:pPr>
      <w:r w:rsidRPr="00E3478E">
        <w:rPr>
          <w:sz w:val="6"/>
          <w:szCs w:val="6"/>
          <w:rtl/>
        </w:rPr>
        <w:t>&lt;#2#&gt;</w:t>
      </w:r>
    </w:p>
    <w:p w14:paraId="032F0A99" w14:textId="77777777" w:rsidR="00901FB0" w:rsidRPr="00E3478E" w:rsidRDefault="00E3478E">
      <w:pPr>
        <w:pStyle w:val="12"/>
        <w:rPr>
          <w:u w:val="none"/>
          <w:rtl/>
        </w:rPr>
      </w:pPr>
      <w:r w:rsidRPr="00E3478E">
        <w:rPr>
          <w:rFonts w:hint="cs"/>
          <w:u w:val="none"/>
          <w:rtl/>
        </w:rPr>
        <w:t>נוכחים:</w:t>
      </w:r>
    </w:p>
    <w:p w14:paraId="3EB6339F" w14:textId="77777777" w:rsidR="00901FB0" w:rsidRPr="00E3478E" w:rsidRDefault="00E3478E">
      <w:pPr>
        <w:pStyle w:val="12"/>
        <w:rPr>
          <w:b w:val="0"/>
          <w:bCs w:val="0"/>
          <w:u w:val="none"/>
          <w:rtl/>
        </w:rPr>
      </w:pPr>
      <w:bookmarkStart w:id="2" w:name="FirstLawyer"/>
      <w:r w:rsidRPr="00E3478E">
        <w:rPr>
          <w:rFonts w:hint="cs"/>
          <w:b w:val="0"/>
          <w:bCs w:val="0"/>
          <w:u w:val="none"/>
          <w:rtl/>
        </w:rPr>
        <w:t>ב"כ</w:t>
      </w:r>
      <w:bookmarkEnd w:id="2"/>
      <w:r w:rsidRPr="00E3478E">
        <w:rPr>
          <w:rFonts w:hint="cs"/>
          <w:b w:val="0"/>
          <w:bCs w:val="0"/>
          <w:u w:val="none"/>
          <w:rtl/>
        </w:rPr>
        <w:t xml:space="preserve"> המאשימה: עו"ד הילה צמח - כרמל</w:t>
      </w:r>
    </w:p>
    <w:p w14:paraId="6EE742C3" w14:textId="77777777" w:rsidR="00901FB0" w:rsidRPr="00E3478E" w:rsidRDefault="00E3478E">
      <w:pPr>
        <w:pStyle w:val="12"/>
        <w:rPr>
          <w:b w:val="0"/>
          <w:bCs w:val="0"/>
          <w:u w:val="none"/>
          <w:rtl/>
        </w:rPr>
      </w:pPr>
      <w:r w:rsidRPr="00E3478E">
        <w:rPr>
          <w:rFonts w:hint="cs"/>
          <w:b w:val="0"/>
          <w:bCs w:val="0"/>
          <w:u w:val="none"/>
          <w:rtl/>
        </w:rPr>
        <w:t>הנאשם: נוכח</w:t>
      </w:r>
    </w:p>
    <w:p w14:paraId="38F9282E" w14:textId="77777777" w:rsidR="00901FB0" w:rsidRPr="00E3478E" w:rsidRDefault="00E3478E">
      <w:pPr>
        <w:pStyle w:val="12"/>
        <w:rPr>
          <w:b w:val="0"/>
          <w:bCs w:val="0"/>
          <w:u w:val="none"/>
          <w:rtl/>
        </w:rPr>
      </w:pPr>
      <w:r w:rsidRPr="00E3478E">
        <w:rPr>
          <w:rFonts w:hint="cs"/>
          <w:b w:val="0"/>
          <w:bCs w:val="0"/>
          <w:u w:val="none"/>
          <w:rtl/>
        </w:rPr>
        <w:t>הסניגור: עו"ד שעבאן</w:t>
      </w:r>
    </w:p>
    <w:p w14:paraId="49873192" w14:textId="77777777" w:rsidR="00901FB0" w:rsidRPr="00E3478E" w:rsidRDefault="00901FB0">
      <w:pPr>
        <w:pStyle w:val="12"/>
        <w:rPr>
          <w:b w:val="0"/>
          <w:bCs w:val="0"/>
          <w:u w:val="none"/>
          <w:rtl/>
        </w:rPr>
      </w:pPr>
    </w:p>
    <w:p w14:paraId="6285851B" w14:textId="77777777" w:rsidR="00417181" w:rsidRDefault="00E3478E">
      <w:pPr>
        <w:spacing w:line="360" w:lineRule="auto"/>
        <w:jc w:val="center"/>
        <w:rPr>
          <w:rFonts w:ascii="Arial" w:hAnsi="Arial"/>
          <w:b/>
          <w:color w:val="FF0000"/>
          <w:sz w:val="32"/>
          <w:rtl/>
        </w:rPr>
      </w:pPr>
      <w:r w:rsidRPr="00E3478E">
        <w:rPr>
          <w:rFonts w:ascii="Arial" w:hAnsi="Arial"/>
          <w:b/>
          <w:color w:val="FF0000"/>
          <w:sz w:val="32"/>
          <w:rtl/>
        </w:rPr>
        <w:t>במסמך זה הושמטו פרוטוקולים</w:t>
      </w:r>
      <w:bookmarkStart w:id="3" w:name="LawTable"/>
      <w:bookmarkEnd w:id="3"/>
    </w:p>
    <w:p w14:paraId="37503932" w14:textId="77777777" w:rsidR="00417181" w:rsidRPr="00417181" w:rsidRDefault="00417181" w:rsidP="00417181">
      <w:pPr>
        <w:spacing w:after="120" w:line="240" w:lineRule="exact"/>
        <w:ind w:left="283" w:hanging="283"/>
        <w:jc w:val="both"/>
        <w:rPr>
          <w:rFonts w:ascii="FrankRuehl" w:hAnsi="FrankRuehl" w:cs="FrankRuehl"/>
          <w:color w:val="FF0000"/>
          <w:rtl/>
        </w:rPr>
      </w:pPr>
    </w:p>
    <w:p w14:paraId="1BAF0B95" w14:textId="77777777" w:rsidR="00417181" w:rsidRPr="00417181" w:rsidRDefault="00417181" w:rsidP="00417181">
      <w:pPr>
        <w:spacing w:after="120" w:line="240" w:lineRule="exact"/>
        <w:ind w:left="283" w:hanging="283"/>
        <w:jc w:val="both"/>
        <w:rPr>
          <w:rFonts w:ascii="FrankRuehl" w:hAnsi="FrankRuehl" w:cs="FrankRuehl"/>
          <w:rtl/>
        </w:rPr>
      </w:pPr>
      <w:r w:rsidRPr="00417181">
        <w:rPr>
          <w:rFonts w:ascii="FrankRuehl" w:hAnsi="FrankRuehl" w:cs="FrankRuehl"/>
          <w:rtl/>
        </w:rPr>
        <w:t xml:space="preserve">חקיקה שאוזכרה: </w:t>
      </w:r>
    </w:p>
    <w:p w14:paraId="255C137F" w14:textId="77777777" w:rsidR="00417181" w:rsidRPr="00417181" w:rsidRDefault="00417181" w:rsidP="00417181">
      <w:pPr>
        <w:spacing w:after="120" w:line="240" w:lineRule="exact"/>
        <w:ind w:left="283" w:hanging="283"/>
        <w:jc w:val="both"/>
        <w:rPr>
          <w:rFonts w:ascii="FrankRuehl" w:hAnsi="FrankRuehl" w:cs="FrankRuehl"/>
          <w:color w:val="0000FF"/>
          <w:u w:val="single"/>
          <w:rtl/>
        </w:rPr>
      </w:pPr>
      <w:hyperlink r:id="rId7" w:history="1">
        <w:r w:rsidRPr="00417181">
          <w:rPr>
            <w:rStyle w:val="Hyperlink"/>
            <w:rFonts w:ascii="FrankRuehl" w:hAnsi="FrankRuehl" w:cs="FrankRuehl"/>
            <w:rtl/>
          </w:rPr>
          <w:t>פקודת הסמים המסוכנים [נוסח חדש], תשל"ג-1973</w:t>
        </w:r>
      </w:hyperlink>
      <w:r w:rsidRPr="00417181">
        <w:rPr>
          <w:rFonts w:ascii="FrankRuehl" w:hAnsi="FrankRuehl" w:cs="FrankRuehl"/>
          <w:color w:val="0000FF"/>
          <w:u w:val="single"/>
          <w:rtl/>
        </w:rPr>
        <w:t xml:space="preserve">: סע'  </w:t>
      </w:r>
      <w:hyperlink r:id="rId8" w:history="1">
        <w:r w:rsidRPr="00417181">
          <w:rPr>
            <w:rStyle w:val="Hyperlink"/>
            <w:rFonts w:ascii="FrankRuehl" w:hAnsi="FrankRuehl" w:cs="FrankRuehl"/>
          </w:rPr>
          <w:t>6</w:t>
        </w:r>
      </w:hyperlink>
      <w:r w:rsidRPr="00417181">
        <w:rPr>
          <w:rFonts w:ascii="FrankRuehl" w:hAnsi="FrankRuehl" w:cs="FrankRuehl"/>
          <w:color w:val="0000FF"/>
          <w:u w:val="single"/>
          <w:rtl/>
        </w:rPr>
        <w:t xml:space="preserve">, </w:t>
      </w:r>
      <w:hyperlink r:id="rId9" w:history="1">
        <w:r w:rsidRPr="00417181">
          <w:rPr>
            <w:rStyle w:val="Hyperlink"/>
            <w:rFonts w:ascii="FrankRuehl" w:hAnsi="FrankRuehl" w:cs="FrankRuehl"/>
          </w:rPr>
          <w:t>40</w:t>
        </w:r>
        <w:r w:rsidRPr="00417181">
          <w:rPr>
            <w:rStyle w:val="Hyperlink"/>
            <w:rFonts w:ascii="FrankRuehl" w:hAnsi="FrankRuehl" w:cs="FrankRuehl"/>
            <w:rtl/>
          </w:rPr>
          <w:t>ג(א</w:t>
        </w:r>
        <w:r w:rsidRPr="00417181">
          <w:rPr>
            <w:rStyle w:val="Hyperlink"/>
            <w:rFonts w:ascii="FrankRuehl" w:hAnsi="FrankRuehl" w:cs="FrankRuehl"/>
          </w:rPr>
          <w:t>)</w:t>
        </w:r>
      </w:hyperlink>
    </w:p>
    <w:p w14:paraId="5864A3BC" w14:textId="77777777" w:rsidR="00417181" w:rsidRPr="00417181" w:rsidRDefault="00417181" w:rsidP="00417181">
      <w:pPr>
        <w:spacing w:after="120" w:line="240" w:lineRule="exact"/>
        <w:ind w:left="283" w:hanging="283"/>
        <w:jc w:val="both"/>
        <w:rPr>
          <w:rFonts w:ascii="FrankRuehl" w:hAnsi="FrankRuehl" w:cs="FrankRuehl"/>
          <w:color w:val="0000FF"/>
          <w:u w:val="single"/>
          <w:rtl/>
        </w:rPr>
      </w:pPr>
      <w:hyperlink r:id="rId10" w:history="1">
        <w:r w:rsidRPr="00417181">
          <w:rPr>
            <w:rStyle w:val="Hyperlink"/>
            <w:rFonts w:ascii="FrankRuehl" w:hAnsi="FrankRuehl" w:cs="FrankRuehl"/>
            <w:rtl/>
          </w:rPr>
          <w:t>חוק העונשין, תשל"ז-1977</w:t>
        </w:r>
      </w:hyperlink>
      <w:r w:rsidRPr="00417181">
        <w:rPr>
          <w:rFonts w:ascii="FrankRuehl" w:hAnsi="FrankRuehl" w:cs="FrankRuehl"/>
          <w:color w:val="0000FF"/>
          <w:u w:val="single"/>
          <w:rtl/>
        </w:rPr>
        <w:t xml:space="preserve">: סע'  </w:t>
      </w:r>
      <w:hyperlink r:id="rId11" w:history="1">
        <w:r w:rsidRPr="00417181">
          <w:rPr>
            <w:rStyle w:val="Hyperlink"/>
            <w:rFonts w:ascii="FrankRuehl" w:hAnsi="FrankRuehl" w:cs="FrankRuehl"/>
          </w:rPr>
          <w:t>40</w:t>
        </w:r>
        <w:r w:rsidRPr="00417181">
          <w:rPr>
            <w:rStyle w:val="Hyperlink"/>
            <w:rFonts w:ascii="FrankRuehl" w:hAnsi="FrankRuehl" w:cs="FrankRuehl"/>
            <w:rtl/>
          </w:rPr>
          <w:t>יא</w:t>
        </w:r>
      </w:hyperlink>
    </w:p>
    <w:p w14:paraId="27EA50C5" w14:textId="77777777" w:rsidR="00417181" w:rsidRPr="00417181" w:rsidRDefault="00417181" w:rsidP="00417181">
      <w:pPr>
        <w:spacing w:after="120" w:line="240" w:lineRule="exact"/>
        <w:ind w:left="283" w:hanging="283"/>
        <w:jc w:val="both"/>
        <w:rPr>
          <w:rFonts w:ascii="FrankRuehl" w:hAnsi="FrankRuehl" w:cs="FrankRuehl"/>
          <w:rtl/>
        </w:rPr>
      </w:pPr>
    </w:p>
    <w:p w14:paraId="63295780" w14:textId="77777777" w:rsidR="00E3478E" w:rsidRPr="00E3478E" w:rsidRDefault="00E3478E">
      <w:pPr>
        <w:spacing w:line="360" w:lineRule="auto"/>
        <w:jc w:val="center"/>
        <w:rPr>
          <w:rFonts w:ascii="Arial" w:hAnsi="Arial" w:cs="FrankRuehl"/>
          <w:b/>
          <w:bCs/>
          <w:sz w:val="32"/>
          <w:szCs w:val="32"/>
          <w:rtl/>
        </w:rPr>
      </w:pPr>
      <w:bookmarkStart w:id="4" w:name="LawTable_End"/>
      <w:bookmarkEnd w:id="4"/>
    </w:p>
    <w:p w14:paraId="440EC3B5" w14:textId="77777777" w:rsidR="00E3478E" w:rsidRPr="00E3478E" w:rsidRDefault="00E3478E" w:rsidP="00E3478E">
      <w:pPr>
        <w:spacing w:line="360" w:lineRule="auto"/>
        <w:jc w:val="center"/>
        <w:rPr>
          <w:rFonts w:ascii="Arial" w:hAnsi="Arial" w:cs="FrankRuehl"/>
          <w:b/>
          <w:bCs/>
          <w:sz w:val="32"/>
          <w:szCs w:val="32"/>
          <w:u w:val="single"/>
          <w:rtl/>
        </w:rPr>
      </w:pPr>
      <w:bookmarkStart w:id="5" w:name="PsakDin"/>
      <w:bookmarkEnd w:id="0"/>
      <w:r w:rsidRPr="00E3478E">
        <w:rPr>
          <w:rFonts w:ascii="Arial" w:hAnsi="Arial" w:cs="FrankRuehl"/>
          <w:b/>
          <w:bCs/>
          <w:sz w:val="32"/>
          <w:szCs w:val="32"/>
          <w:u w:val="single"/>
          <w:rtl/>
        </w:rPr>
        <w:t>גזר דין</w:t>
      </w:r>
    </w:p>
    <w:bookmarkEnd w:id="5"/>
    <w:p w14:paraId="0576DA6A" w14:textId="77777777" w:rsidR="00901FB0" w:rsidRDefault="00901FB0">
      <w:pPr>
        <w:spacing w:line="360" w:lineRule="auto"/>
        <w:jc w:val="both"/>
        <w:rPr>
          <w:rFonts w:ascii="Arial" w:hAnsi="Arial"/>
        </w:rPr>
      </w:pPr>
    </w:p>
    <w:p w14:paraId="3BA5B7F3" w14:textId="77777777" w:rsidR="00901FB0" w:rsidRDefault="00E3478E">
      <w:pPr>
        <w:pStyle w:val="ListParagraph"/>
        <w:spacing w:line="360" w:lineRule="auto"/>
        <w:ind w:left="-9"/>
        <w:jc w:val="both"/>
        <w:rPr>
          <w:rFonts w:cs="Miriam"/>
          <w:sz w:val="24"/>
          <w:szCs w:val="24"/>
          <w:rtl/>
        </w:rPr>
      </w:pPr>
      <w:bookmarkStart w:id="6" w:name="NGCSBookmark"/>
      <w:bookmarkEnd w:id="6"/>
      <w:r>
        <w:rPr>
          <w:rFonts w:cs="Miriam" w:hint="cs"/>
          <w:sz w:val="24"/>
          <w:szCs w:val="24"/>
          <w:rtl/>
        </w:rPr>
        <w:t>מבוא</w:t>
      </w:r>
    </w:p>
    <w:p w14:paraId="5F8EBBE5" w14:textId="77777777" w:rsidR="00901FB0" w:rsidRDefault="00E3478E">
      <w:pPr>
        <w:pStyle w:val="ListParagraph"/>
        <w:spacing w:line="360" w:lineRule="auto"/>
        <w:ind w:left="-9"/>
        <w:jc w:val="both"/>
        <w:rPr>
          <w:rFonts w:cs="FrankRuehl"/>
          <w:sz w:val="28"/>
          <w:szCs w:val="28"/>
          <w:rtl/>
        </w:rPr>
      </w:pPr>
      <w:bookmarkStart w:id="7" w:name="ABSTRACT_START"/>
      <w:bookmarkEnd w:id="7"/>
      <w:r>
        <w:rPr>
          <w:rFonts w:cs="FrankRuehl" w:hint="cs"/>
          <w:sz w:val="28"/>
          <w:szCs w:val="28"/>
          <w:rtl/>
        </w:rPr>
        <w:t xml:space="preserve">הנאשם הורשע על פי הודאתו ביום 23.7.15 בשתי עבירות של גידול/ייצור/ הכנת סמים מסוכנים לפי </w:t>
      </w:r>
      <w:hyperlink r:id="rId12" w:history="1">
        <w:r w:rsidR="00417181" w:rsidRPr="00417181">
          <w:rPr>
            <w:rStyle w:val="Hyperlink"/>
            <w:rFonts w:cs="FrankRuehl" w:hint="cs"/>
            <w:sz w:val="28"/>
            <w:szCs w:val="28"/>
            <w:rtl/>
          </w:rPr>
          <w:t>סעיף</w:t>
        </w:r>
        <w:r w:rsidR="00417181" w:rsidRPr="00417181">
          <w:rPr>
            <w:rStyle w:val="Hyperlink"/>
            <w:rFonts w:cs="FrankRuehl"/>
            <w:sz w:val="28"/>
            <w:szCs w:val="28"/>
            <w:rtl/>
          </w:rPr>
          <w:t xml:space="preserve"> 6</w:t>
        </w:r>
      </w:hyperlink>
      <w:r>
        <w:rPr>
          <w:rFonts w:cs="FrankRuehl" w:hint="cs"/>
          <w:sz w:val="28"/>
          <w:szCs w:val="28"/>
          <w:rtl/>
        </w:rPr>
        <w:t xml:space="preserve"> ל</w:t>
      </w:r>
      <w:hyperlink r:id="rId13" w:history="1">
        <w:r w:rsidRPr="00E3478E">
          <w:rPr>
            <w:rStyle w:val="Hyperlink"/>
            <w:rFonts w:cs="FrankRuehl" w:hint="cs"/>
            <w:sz w:val="28"/>
            <w:szCs w:val="28"/>
            <w:rtl/>
          </w:rPr>
          <w:t>פקודת</w:t>
        </w:r>
        <w:r w:rsidRPr="00E3478E">
          <w:rPr>
            <w:rStyle w:val="Hyperlink"/>
            <w:rFonts w:cs="FrankRuehl"/>
            <w:sz w:val="28"/>
            <w:szCs w:val="28"/>
            <w:rtl/>
          </w:rPr>
          <w:t xml:space="preserve"> </w:t>
        </w:r>
        <w:r w:rsidRPr="00E3478E">
          <w:rPr>
            <w:rStyle w:val="Hyperlink"/>
            <w:rFonts w:cs="FrankRuehl" w:hint="cs"/>
            <w:sz w:val="28"/>
            <w:szCs w:val="28"/>
            <w:rtl/>
          </w:rPr>
          <w:t>הסמים</w:t>
        </w:r>
        <w:r w:rsidRPr="00E3478E">
          <w:rPr>
            <w:rStyle w:val="Hyperlink"/>
            <w:rFonts w:cs="FrankRuehl"/>
            <w:sz w:val="28"/>
            <w:szCs w:val="28"/>
            <w:rtl/>
          </w:rPr>
          <w:t xml:space="preserve"> </w:t>
        </w:r>
        <w:r w:rsidRPr="00E3478E">
          <w:rPr>
            <w:rStyle w:val="Hyperlink"/>
            <w:rFonts w:cs="FrankRuehl" w:hint="cs"/>
            <w:sz w:val="28"/>
            <w:szCs w:val="28"/>
            <w:rtl/>
          </w:rPr>
          <w:t>המסוכנים</w:t>
        </w:r>
      </w:hyperlink>
      <w:r>
        <w:rPr>
          <w:rFonts w:cs="FrankRuehl" w:hint="cs"/>
          <w:sz w:val="28"/>
          <w:szCs w:val="28"/>
          <w:rtl/>
        </w:rPr>
        <w:t xml:space="preserve">. </w:t>
      </w:r>
      <w:bookmarkStart w:id="8" w:name="ABSTRACT_END"/>
      <w:bookmarkEnd w:id="8"/>
    </w:p>
    <w:p w14:paraId="01CB1923" w14:textId="77777777" w:rsidR="00901FB0" w:rsidRDefault="00901FB0">
      <w:pPr>
        <w:pStyle w:val="ListParagraph"/>
        <w:spacing w:line="360" w:lineRule="auto"/>
        <w:ind w:left="-9"/>
        <w:jc w:val="both"/>
        <w:rPr>
          <w:rFonts w:cs="FrankRuehl"/>
          <w:sz w:val="28"/>
          <w:szCs w:val="28"/>
        </w:rPr>
      </w:pPr>
    </w:p>
    <w:p w14:paraId="678FF821" w14:textId="77777777" w:rsidR="00901FB0" w:rsidRDefault="00E3478E">
      <w:pPr>
        <w:pStyle w:val="ListParagraph"/>
        <w:spacing w:line="360" w:lineRule="auto"/>
        <w:ind w:left="-9"/>
        <w:jc w:val="both"/>
        <w:rPr>
          <w:rFonts w:cs="FrankRuehl"/>
          <w:sz w:val="28"/>
          <w:szCs w:val="28"/>
        </w:rPr>
      </w:pPr>
      <w:r>
        <w:rPr>
          <w:rFonts w:cs="Miriam" w:hint="cs"/>
          <w:sz w:val="24"/>
          <w:szCs w:val="24"/>
          <w:rtl/>
        </w:rPr>
        <w:t xml:space="preserve">עובדות כתב האישום </w:t>
      </w:r>
    </w:p>
    <w:p w14:paraId="192EEE79" w14:textId="77777777" w:rsidR="00901FB0" w:rsidRDefault="00E3478E">
      <w:pPr>
        <w:spacing w:line="360" w:lineRule="auto"/>
        <w:jc w:val="both"/>
        <w:rPr>
          <w:rFonts w:ascii="Arial" w:hAnsi="Arial" w:cs="FrankRuehl"/>
          <w:sz w:val="28"/>
          <w:szCs w:val="28"/>
          <w:rtl/>
        </w:rPr>
      </w:pPr>
      <w:r>
        <w:rPr>
          <w:rFonts w:ascii="Arial" w:hAnsi="Arial" w:cs="FrankRuehl" w:hint="cs"/>
          <w:sz w:val="28"/>
          <w:szCs w:val="28"/>
          <w:rtl/>
        </w:rPr>
        <w:t xml:space="preserve">על פי אישום מס' 1 בתאריך 19/7/15 בשעה 16.24 ו/או בסמוך לכך, בשטח אדמה מגודר שבבעלות הנאשם במג'ד אלכרום, נמצא הנאשם מגדל סם מסוכן מסוג קנבוס באופן שגידל </w:t>
      </w:r>
      <w:r>
        <w:rPr>
          <w:rFonts w:ascii="Arial" w:hAnsi="Arial" w:cs="FrankRuehl" w:hint="cs"/>
          <w:sz w:val="28"/>
          <w:szCs w:val="28"/>
          <w:rtl/>
        </w:rPr>
        <w:lastRenderedPageBreak/>
        <w:t xml:space="preserve">באדנית, עשויה מצמיג שלושה שתילים של הסם המסוכן, אחד מהם בגובה 1.80 מ', השני בגובה 1.20 מ' והשלישי בגובה 30 ס"מ, במשקל כולל של 0.60 ק"ג, שלא כדין וללא היתר מאת המנהל. </w:t>
      </w:r>
    </w:p>
    <w:p w14:paraId="387F5254" w14:textId="77777777" w:rsidR="00901FB0" w:rsidRDefault="00901FB0">
      <w:pPr>
        <w:spacing w:line="360" w:lineRule="auto"/>
        <w:jc w:val="both"/>
        <w:rPr>
          <w:rFonts w:ascii="Arial" w:hAnsi="Arial" w:cs="FrankRuehl"/>
          <w:sz w:val="28"/>
          <w:szCs w:val="28"/>
        </w:rPr>
      </w:pPr>
    </w:p>
    <w:p w14:paraId="0786271A" w14:textId="77777777" w:rsidR="00901FB0" w:rsidRDefault="00E3478E">
      <w:pPr>
        <w:spacing w:line="360" w:lineRule="auto"/>
        <w:jc w:val="both"/>
        <w:rPr>
          <w:rFonts w:ascii="Arial" w:hAnsi="Arial" w:cs="FrankRuehl"/>
          <w:sz w:val="28"/>
          <w:szCs w:val="28"/>
          <w:rtl/>
        </w:rPr>
      </w:pPr>
      <w:r>
        <w:rPr>
          <w:rFonts w:ascii="Arial" w:hAnsi="Arial" w:cs="FrankRuehl" w:hint="cs"/>
          <w:sz w:val="28"/>
          <w:szCs w:val="28"/>
          <w:rtl/>
        </w:rPr>
        <w:t>על פי אישום מס' 2 בתאריך 21/7/15 בשעה 10.00 ו/או בסמוך לכך, במג'ד אל כרום, בחצר ביתו של הנאשם, נמצא הנאשם מגדל סם מכן מסוג קנבוס באופן שגידל שני שתילים של הסם המסוכן בתוך אדנית במשקל כולל של 155.96 גרם נטו, שלא כדין וללא היתר מאת המנהל.</w:t>
      </w:r>
    </w:p>
    <w:p w14:paraId="4096C7F8" w14:textId="77777777" w:rsidR="00901FB0" w:rsidRDefault="00901FB0">
      <w:pPr>
        <w:spacing w:line="360" w:lineRule="auto"/>
        <w:jc w:val="both"/>
        <w:rPr>
          <w:rFonts w:ascii="Arial" w:hAnsi="Arial" w:cs="FrankRuehl"/>
          <w:sz w:val="28"/>
          <w:szCs w:val="28"/>
          <w:rtl/>
        </w:rPr>
      </w:pPr>
    </w:p>
    <w:p w14:paraId="73823F6B" w14:textId="77777777" w:rsidR="00901FB0" w:rsidRDefault="00E3478E">
      <w:pPr>
        <w:pStyle w:val="ListParagraph"/>
        <w:spacing w:line="360" w:lineRule="auto"/>
        <w:ind w:left="-9"/>
        <w:jc w:val="both"/>
        <w:rPr>
          <w:rFonts w:cs="FrankRuehl"/>
          <w:sz w:val="28"/>
          <w:szCs w:val="28"/>
          <w:rtl/>
        </w:rPr>
      </w:pPr>
      <w:r>
        <w:rPr>
          <w:rFonts w:cs="FrankRuehl" w:hint="cs"/>
          <w:sz w:val="28"/>
          <w:szCs w:val="28"/>
          <w:rtl/>
        </w:rPr>
        <w:t>הנאשם הודה והורשע ועל פי הסדר דיוני אליו הגיעו הצדדים הופנה לקבלת תסקיר שירות מבחן לעניין העונש.</w:t>
      </w:r>
    </w:p>
    <w:p w14:paraId="66C7F344" w14:textId="77777777" w:rsidR="00901FB0" w:rsidRDefault="00901FB0">
      <w:pPr>
        <w:pStyle w:val="ListParagraph"/>
        <w:spacing w:line="360" w:lineRule="auto"/>
        <w:ind w:left="-9"/>
        <w:jc w:val="both"/>
        <w:rPr>
          <w:rFonts w:cs="Miriam"/>
          <w:sz w:val="24"/>
          <w:szCs w:val="24"/>
          <w:rtl/>
        </w:rPr>
      </w:pPr>
    </w:p>
    <w:p w14:paraId="1FCC5A3C" w14:textId="77777777" w:rsidR="00901FB0" w:rsidRDefault="00E3478E">
      <w:pPr>
        <w:pStyle w:val="ListParagraph"/>
        <w:spacing w:line="360" w:lineRule="auto"/>
        <w:ind w:left="-9"/>
        <w:jc w:val="both"/>
        <w:rPr>
          <w:rFonts w:cs="Miriam"/>
          <w:sz w:val="24"/>
          <w:szCs w:val="24"/>
          <w:rtl/>
        </w:rPr>
      </w:pPr>
      <w:r>
        <w:rPr>
          <w:rFonts w:cs="Miriam" w:hint="cs"/>
          <w:sz w:val="24"/>
          <w:szCs w:val="24"/>
          <w:rtl/>
        </w:rPr>
        <w:t>תסקיר שירות המבחן</w:t>
      </w:r>
    </w:p>
    <w:p w14:paraId="7DAE842A" w14:textId="77777777" w:rsidR="00901FB0" w:rsidRDefault="00E3478E">
      <w:pPr>
        <w:pStyle w:val="ListParagraph"/>
        <w:spacing w:line="360" w:lineRule="auto"/>
        <w:ind w:left="-9"/>
        <w:jc w:val="both"/>
        <w:rPr>
          <w:rFonts w:cs="FrankRuehl"/>
          <w:sz w:val="28"/>
          <w:szCs w:val="28"/>
          <w:rtl/>
        </w:rPr>
      </w:pPr>
      <w:r>
        <w:rPr>
          <w:rFonts w:cs="FrankRuehl" w:hint="cs"/>
          <w:sz w:val="28"/>
          <w:szCs w:val="28"/>
          <w:rtl/>
        </w:rPr>
        <w:t xml:space="preserve">בעניינו של הנאשם הוגשו תסקיר שירות מבחן ביום 21.1.16.  </w:t>
      </w:r>
    </w:p>
    <w:p w14:paraId="2B112D54" w14:textId="77777777" w:rsidR="00901FB0" w:rsidRDefault="00901FB0">
      <w:pPr>
        <w:pStyle w:val="ListParagraph"/>
        <w:spacing w:line="360" w:lineRule="auto"/>
        <w:ind w:left="-9"/>
        <w:jc w:val="both"/>
        <w:rPr>
          <w:rFonts w:cs="FrankRuehl"/>
          <w:sz w:val="28"/>
          <w:szCs w:val="28"/>
          <w:rtl/>
        </w:rPr>
      </w:pPr>
    </w:p>
    <w:p w14:paraId="4D04C2E9" w14:textId="77777777" w:rsidR="00901FB0" w:rsidRDefault="00E3478E">
      <w:pPr>
        <w:pStyle w:val="ListParagraph"/>
        <w:spacing w:line="360" w:lineRule="auto"/>
        <w:ind w:left="-9"/>
        <w:jc w:val="both"/>
        <w:rPr>
          <w:rFonts w:cs="FrankRuehl"/>
          <w:sz w:val="28"/>
          <w:szCs w:val="28"/>
          <w:rtl/>
        </w:rPr>
      </w:pPr>
      <w:r>
        <w:rPr>
          <w:rFonts w:cs="FrankRuehl" w:hint="cs"/>
          <w:sz w:val="28"/>
          <w:szCs w:val="28"/>
          <w:rtl/>
        </w:rPr>
        <w:t>שירות המבחן סקר את מצבו המשפחתי והאישי של הנאשם ועיקרי הפרטים יובאו להלן.</w:t>
      </w:r>
    </w:p>
    <w:p w14:paraId="4AB644DA" w14:textId="77777777" w:rsidR="00901FB0" w:rsidRDefault="00E3478E">
      <w:pPr>
        <w:pStyle w:val="ListParagraph"/>
        <w:spacing w:line="360" w:lineRule="auto"/>
        <w:ind w:left="-9"/>
        <w:jc w:val="both"/>
        <w:rPr>
          <w:rFonts w:cs="FrankRuehl"/>
          <w:sz w:val="28"/>
          <w:szCs w:val="28"/>
          <w:rtl/>
        </w:rPr>
      </w:pPr>
      <w:r>
        <w:rPr>
          <w:rFonts w:cs="FrankRuehl" w:hint="cs"/>
          <w:sz w:val="28"/>
          <w:szCs w:val="28"/>
          <w:rtl/>
        </w:rPr>
        <w:t xml:space="preserve">הנאשם, בן 47 נשוי בשנית ואב לארבעה ילדים. בוגר 11 שנות לימוד ועובד בעבודה יציבה. </w:t>
      </w:r>
    </w:p>
    <w:p w14:paraId="4D7C41BA" w14:textId="77777777" w:rsidR="00901FB0" w:rsidRDefault="00E3478E">
      <w:pPr>
        <w:pStyle w:val="ListParagraph"/>
        <w:spacing w:line="360" w:lineRule="auto"/>
        <w:ind w:left="-9"/>
        <w:jc w:val="both"/>
        <w:rPr>
          <w:rFonts w:cs="FrankRuehl"/>
          <w:sz w:val="28"/>
          <w:szCs w:val="28"/>
          <w:rtl/>
        </w:rPr>
      </w:pPr>
      <w:r>
        <w:rPr>
          <w:rFonts w:cs="FrankRuehl" w:hint="cs"/>
          <w:sz w:val="28"/>
          <w:szCs w:val="28"/>
          <w:rtl/>
        </w:rPr>
        <w:t xml:space="preserve">ביחס לשימוש בסמים נמסר כי רק כשנה לפני מועד עריכת התסקיר החל להתרועע עם גורמים הנוהגים לעשן סמים ואז החל לעשן בעצמו. טען כי אינו רואה עצמו כמכור לסמים אלא כמי שנקלע לדבר בנסיבות חברתיות ונוכח הסתבכותו בתיק זה נטש לחלוטין את נושא הסמים. </w:t>
      </w:r>
    </w:p>
    <w:p w14:paraId="32F250F1" w14:textId="77777777" w:rsidR="00901FB0" w:rsidRDefault="00E3478E">
      <w:pPr>
        <w:pStyle w:val="ListParagraph"/>
        <w:spacing w:line="360" w:lineRule="auto"/>
        <w:ind w:left="-9"/>
        <w:jc w:val="both"/>
        <w:rPr>
          <w:rFonts w:cs="FrankRuehl"/>
          <w:sz w:val="28"/>
          <w:szCs w:val="28"/>
          <w:rtl/>
        </w:rPr>
      </w:pPr>
      <w:r>
        <w:rPr>
          <w:rFonts w:cs="FrankRuehl" w:hint="cs"/>
          <w:sz w:val="28"/>
          <w:szCs w:val="28"/>
          <w:rtl/>
        </w:rPr>
        <w:t xml:space="preserve">יוער כי בבדיקת סמים נמצא כי הוא אינו משתמש בסם. </w:t>
      </w:r>
    </w:p>
    <w:p w14:paraId="1517F543" w14:textId="77777777" w:rsidR="00901FB0" w:rsidRDefault="00E3478E">
      <w:pPr>
        <w:pStyle w:val="ListParagraph"/>
        <w:spacing w:line="360" w:lineRule="auto"/>
        <w:ind w:left="-9"/>
        <w:jc w:val="both"/>
        <w:rPr>
          <w:rFonts w:cs="FrankRuehl"/>
          <w:sz w:val="28"/>
          <w:szCs w:val="28"/>
          <w:rtl/>
        </w:rPr>
      </w:pPr>
      <w:r>
        <w:rPr>
          <w:rFonts w:cs="FrankRuehl" w:hint="cs"/>
          <w:sz w:val="28"/>
          <w:szCs w:val="28"/>
          <w:rtl/>
        </w:rPr>
        <w:t xml:space="preserve">שירות המבחן עמד על כך שהנאשם נעדר עבר פלילי, נטל אחריות מלאה על מעשיו, הכיר בחומרתם והביע חרטה. עוד התרשם כי המחיר האישי והמשפחתי שההליך הנוכחי גבה מהנאשם הביא בעצמו לשינוי התנהגותו, נטישת דרך הסמים והתרחקות מהחברים אותם הכיר על רקע זה. עוד הצביע על ניהול אורח חייו עד היום ככזה המשקף איתנות, העדר נטייה לדפוסים עבריינים והערכה צופה פני עתיד חיובית לעניין שיקומו והפחתת המסוכנות מעבירות דומות בעתיד. </w:t>
      </w:r>
    </w:p>
    <w:p w14:paraId="5328B84C" w14:textId="77777777" w:rsidR="00901FB0" w:rsidRDefault="00E3478E">
      <w:pPr>
        <w:pStyle w:val="ListParagraph"/>
        <w:spacing w:line="360" w:lineRule="auto"/>
        <w:ind w:left="-9"/>
        <w:jc w:val="both"/>
        <w:rPr>
          <w:rFonts w:cs="FrankRuehl"/>
          <w:sz w:val="28"/>
          <w:szCs w:val="28"/>
          <w:rtl/>
        </w:rPr>
      </w:pPr>
      <w:r>
        <w:rPr>
          <w:rFonts w:cs="FrankRuehl" w:hint="cs"/>
          <w:sz w:val="28"/>
          <w:szCs w:val="28"/>
          <w:rtl/>
        </w:rPr>
        <w:t xml:space="preserve">מאחר ושירות המבחן לא התרשם מנזקקות טיפולית, מצא להמליץ בסופו של יום על הטלת צו פיקוח שיעקוב אחר נושא השימוש בסמים, וענישה צופה פני עתיד בדמות מאסר על תנאי והתחייבות כספית. </w:t>
      </w:r>
    </w:p>
    <w:p w14:paraId="5C3314D9" w14:textId="77777777" w:rsidR="00901FB0" w:rsidRDefault="00901FB0">
      <w:pPr>
        <w:pStyle w:val="ListParagraph"/>
        <w:spacing w:line="360" w:lineRule="auto"/>
        <w:ind w:left="-9"/>
        <w:jc w:val="both"/>
        <w:rPr>
          <w:rFonts w:cs="FrankRuehl"/>
          <w:sz w:val="28"/>
          <w:szCs w:val="28"/>
          <w:rtl/>
        </w:rPr>
      </w:pPr>
    </w:p>
    <w:p w14:paraId="2EB3AF7C" w14:textId="77777777" w:rsidR="00901FB0" w:rsidRDefault="00E3478E">
      <w:pPr>
        <w:pStyle w:val="ListParagraph"/>
        <w:spacing w:line="360" w:lineRule="auto"/>
        <w:ind w:left="-9"/>
        <w:jc w:val="both"/>
        <w:rPr>
          <w:rFonts w:cs="FrankRuehl"/>
          <w:sz w:val="28"/>
          <w:szCs w:val="28"/>
          <w:rtl/>
        </w:rPr>
      </w:pPr>
      <w:r>
        <w:rPr>
          <w:rFonts w:cs="FrankRuehl" w:hint="cs"/>
          <w:sz w:val="28"/>
          <w:szCs w:val="28"/>
          <w:rtl/>
        </w:rPr>
        <w:t>ביום 15.3.15 טענו הצדדים לעניין העונש.</w:t>
      </w:r>
    </w:p>
    <w:p w14:paraId="3E5FFC0B" w14:textId="77777777" w:rsidR="00901FB0" w:rsidRDefault="00901FB0">
      <w:pPr>
        <w:spacing w:line="360" w:lineRule="auto"/>
        <w:jc w:val="both"/>
        <w:rPr>
          <w:rFonts w:cs="Miriam"/>
          <w:rtl/>
        </w:rPr>
      </w:pPr>
    </w:p>
    <w:p w14:paraId="0354FD3A" w14:textId="77777777" w:rsidR="00901FB0" w:rsidRDefault="00901FB0">
      <w:pPr>
        <w:spacing w:line="360" w:lineRule="auto"/>
        <w:jc w:val="both"/>
        <w:rPr>
          <w:rFonts w:cs="Miriam"/>
          <w:rtl/>
        </w:rPr>
      </w:pPr>
    </w:p>
    <w:p w14:paraId="6E835BA1" w14:textId="77777777" w:rsidR="00901FB0" w:rsidRDefault="00E3478E">
      <w:pPr>
        <w:spacing w:line="360" w:lineRule="auto"/>
        <w:jc w:val="both"/>
        <w:rPr>
          <w:rFonts w:cs="Miriam"/>
          <w:rtl/>
        </w:rPr>
      </w:pPr>
      <w:r>
        <w:rPr>
          <w:rFonts w:cs="Miriam" w:hint="cs"/>
          <w:rtl/>
        </w:rPr>
        <w:lastRenderedPageBreak/>
        <w:t>טיעוני המאשימה לעונש</w:t>
      </w:r>
    </w:p>
    <w:p w14:paraId="405F2D38" w14:textId="77777777" w:rsidR="00901FB0" w:rsidRDefault="00E3478E">
      <w:pPr>
        <w:spacing w:line="360" w:lineRule="auto"/>
        <w:jc w:val="both"/>
        <w:rPr>
          <w:rFonts w:cs="FrankRuehl"/>
          <w:sz w:val="28"/>
          <w:szCs w:val="28"/>
          <w:rtl/>
        </w:rPr>
      </w:pPr>
      <w:r>
        <w:rPr>
          <w:rFonts w:cs="FrankRuehl" w:hint="cs"/>
          <w:sz w:val="28"/>
          <w:szCs w:val="28"/>
          <w:rtl/>
        </w:rPr>
        <w:t xml:space="preserve">המאשימה הציגה פסיקה לפיה בעבירות דומות ובשים לב לכמות הסם בו מדובר מתחם הענישה נע בין ששה חודשי מאסר בפועל ועד 24 חודשי מאסר בפועל. </w:t>
      </w:r>
    </w:p>
    <w:p w14:paraId="1E56A652" w14:textId="77777777" w:rsidR="00901FB0" w:rsidRDefault="00E3478E">
      <w:pPr>
        <w:spacing w:line="360" w:lineRule="auto"/>
        <w:jc w:val="both"/>
        <w:rPr>
          <w:rFonts w:cs="FrankRuehl"/>
          <w:sz w:val="28"/>
          <w:szCs w:val="28"/>
          <w:rtl/>
        </w:rPr>
      </w:pPr>
      <w:r>
        <w:rPr>
          <w:rFonts w:cs="FrankRuehl" w:hint="cs"/>
          <w:sz w:val="28"/>
          <w:szCs w:val="28"/>
          <w:rtl/>
        </w:rPr>
        <w:t xml:space="preserve">עוד עמדה המאשימה על כך שלצורך חישוב המשקל נעשה שימוש בכל חלקי הצמח ובעניין זה הפנתה גם לפסיקת בית המשפט העליון. </w:t>
      </w:r>
    </w:p>
    <w:p w14:paraId="7D375D9E" w14:textId="77777777" w:rsidR="00901FB0" w:rsidRDefault="00E3478E">
      <w:pPr>
        <w:pStyle w:val="David"/>
        <w:rPr>
          <w:rFonts w:cs="FrankRuehl"/>
          <w:sz w:val="28"/>
          <w:szCs w:val="28"/>
          <w:rtl/>
        </w:rPr>
      </w:pPr>
      <w:r>
        <w:rPr>
          <w:rFonts w:cs="FrankRuehl" w:hint="cs"/>
          <w:sz w:val="28"/>
          <w:szCs w:val="28"/>
          <w:rtl/>
        </w:rPr>
        <w:t>המאשימה עתרה להטיל על הנאשם מאסר בפועל לתקופה של 24 חודשים, מאסרים על תנאי מרתיעים על כל העבירות מסוג עוון ופשע ל</w:t>
      </w:r>
      <w:hyperlink r:id="rId14" w:history="1">
        <w:r w:rsidRPr="00E3478E">
          <w:rPr>
            <w:rStyle w:val="Hyperlink"/>
            <w:rFonts w:cs="FrankRuehl" w:hint="eastAsia"/>
            <w:sz w:val="28"/>
            <w:szCs w:val="28"/>
            <w:rtl/>
          </w:rPr>
          <w:t>פקודת</w:t>
        </w:r>
        <w:r w:rsidRPr="00E3478E">
          <w:rPr>
            <w:rStyle w:val="Hyperlink"/>
            <w:rFonts w:cs="FrankRuehl"/>
            <w:sz w:val="28"/>
            <w:szCs w:val="28"/>
            <w:rtl/>
          </w:rPr>
          <w:t xml:space="preserve"> הסמים המסוכנים</w:t>
        </w:r>
      </w:hyperlink>
      <w:r>
        <w:rPr>
          <w:rFonts w:cs="FrankRuehl" w:hint="cs"/>
          <w:sz w:val="28"/>
          <w:szCs w:val="28"/>
          <w:rtl/>
        </w:rPr>
        <w:t>, חתימה על התחייבות כספית, קנס ופסילת רשיון נהיגה בפועל ועל תנאי.</w:t>
      </w:r>
    </w:p>
    <w:p w14:paraId="500F81B1" w14:textId="77777777" w:rsidR="00901FB0" w:rsidRDefault="00E3478E">
      <w:pPr>
        <w:pStyle w:val="David"/>
        <w:rPr>
          <w:rFonts w:cs="FrankRuehl"/>
          <w:sz w:val="28"/>
          <w:szCs w:val="28"/>
          <w:rtl/>
        </w:rPr>
      </w:pPr>
      <w:r>
        <w:rPr>
          <w:rFonts w:cs="FrankRuehl" w:hint="cs"/>
          <w:sz w:val="28"/>
          <w:szCs w:val="28"/>
          <w:rtl/>
        </w:rPr>
        <w:t>עוד התבקש צו להשמדת המוצג בסוף ההליך.</w:t>
      </w:r>
    </w:p>
    <w:p w14:paraId="7DEF308C" w14:textId="77777777" w:rsidR="00901FB0" w:rsidRDefault="00E3478E">
      <w:pPr>
        <w:spacing w:line="360" w:lineRule="auto"/>
        <w:jc w:val="both"/>
        <w:rPr>
          <w:rFonts w:cs="FrankRuehl"/>
          <w:sz w:val="28"/>
          <w:szCs w:val="28"/>
          <w:rtl/>
        </w:rPr>
      </w:pPr>
      <w:r>
        <w:rPr>
          <w:rFonts w:cs="FrankRuehl" w:hint="cs"/>
          <w:sz w:val="28"/>
          <w:szCs w:val="28"/>
          <w:rtl/>
        </w:rPr>
        <w:t xml:space="preserve">ב"כ המאשימה התייחס לטיעוני הנאשם לעונש וטען כי הפסיקה שהוגשה לבית המשפט לעניין הארכת תקופת התנאי אינם רלוונטיים לעניין הנדון. </w:t>
      </w:r>
    </w:p>
    <w:p w14:paraId="5C26757A" w14:textId="77777777" w:rsidR="00901FB0" w:rsidRDefault="00901FB0">
      <w:pPr>
        <w:pStyle w:val="ListParagraph"/>
        <w:spacing w:line="360" w:lineRule="auto"/>
        <w:ind w:left="-9"/>
        <w:jc w:val="both"/>
        <w:rPr>
          <w:rFonts w:cs="Miriam"/>
          <w:sz w:val="24"/>
          <w:szCs w:val="24"/>
          <w:rtl/>
        </w:rPr>
      </w:pPr>
    </w:p>
    <w:p w14:paraId="4A75A4A8" w14:textId="77777777" w:rsidR="00901FB0" w:rsidRDefault="00E3478E">
      <w:pPr>
        <w:pStyle w:val="ListParagraph"/>
        <w:spacing w:line="360" w:lineRule="auto"/>
        <w:ind w:left="-9"/>
        <w:jc w:val="both"/>
        <w:rPr>
          <w:rFonts w:cs="Miriam"/>
          <w:sz w:val="24"/>
          <w:szCs w:val="24"/>
          <w:rtl/>
        </w:rPr>
      </w:pPr>
      <w:r>
        <w:rPr>
          <w:rFonts w:cs="Miriam" w:hint="cs"/>
          <w:sz w:val="24"/>
          <w:szCs w:val="24"/>
          <w:rtl/>
        </w:rPr>
        <w:t>טיעוני הנאשם לעונש</w:t>
      </w:r>
    </w:p>
    <w:p w14:paraId="1E3AAAFB" w14:textId="77777777" w:rsidR="00901FB0" w:rsidRDefault="00E3478E">
      <w:pPr>
        <w:spacing w:line="360" w:lineRule="auto"/>
        <w:jc w:val="both"/>
        <w:rPr>
          <w:rFonts w:cs="FrankRuehl"/>
          <w:sz w:val="28"/>
          <w:szCs w:val="28"/>
          <w:rtl/>
        </w:rPr>
      </w:pPr>
      <w:r>
        <w:rPr>
          <w:rFonts w:cs="FrankRuehl" w:hint="cs"/>
          <w:sz w:val="28"/>
          <w:szCs w:val="28"/>
          <w:rtl/>
        </w:rPr>
        <w:t xml:space="preserve">הסניגור ביקש לאמץ את המלצת תסקיר שירות המבחן וטען כי הנאשם הינו אדם נורמטיבי, בעל משפחה , נעדר עבר פלילי. </w:t>
      </w:r>
    </w:p>
    <w:p w14:paraId="4BBE32E1" w14:textId="77777777" w:rsidR="00901FB0" w:rsidRDefault="00E3478E">
      <w:pPr>
        <w:spacing w:line="360" w:lineRule="auto"/>
        <w:jc w:val="both"/>
        <w:rPr>
          <w:rFonts w:cs="FrankRuehl"/>
          <w:sz w:val="28"/>
          <w:szCs w:val="28"/>
          <w:rtl/>
        </w:rPr>
      </w:pPr>
      <w:r>
        <w:rPr>
          <w:rFonts w:cs="FrankRuehl" w:hint="cs"/>
          <w:sz w:val="28"/>
          <w:szCs w:val="28"/>
          <w:rtl/>
        </w:rPr>
        <w:t xml:space="preserve">ביקש להביא בחשבון כי כמות הסם שנשקלה כמפורט בכתב האישום אינה משקפת את מלוא הכמות הניתנת לשימוש. הגם שהסניגור ער לערכים המוגנים הרי שלטענתו במקרה זה מדובר בסם קל כאשר המאשימה לא ייחסה לנאשם גידול בנסיבות תעשייתיות או מסחריות אלא לצריכה עצמית.  </w:t>
      </w:r>
    </w:p>
    <w:p w14:paraId="5AB2B774" w14:textId="77777777" w:rsidR="00901FB0" w:rsidRDefault="00E3478E">
      <w:pPr>
        <w:spacing w:line="360" w:lineRule="auto"/>
        <w:jc w:val="both"/>
        <w:rPr>
          <w:rFonts w:cs="FrankRuehl"/>
          <w:sz w:val="28"/>
          <w:szCs w:val="28"/>
          <w:rtl/>
        </w:rPr>
      </w:pPr>
      <w:r>
        <w:rPr>
          <w:rFonts w:cs="FrankRuehl" w:hint="cs"/>
          <w:sz w:val="28"/>
          <w:szCs w:val="28"/>
          <w:rtl/>
        </w:rPr>
        <w:t xml:space="preserve">ביקש לתיתן משקל מתאים לאחריות שנטל הנאשם על עצמו ולפעולות שנקט מאז על מנת להפסיק המעשים לרבות החרטה שהביע והשיקום.  </w:t>
      </w:r>
    </w:p>
    <w:p w14:paraId="1534D58E" w14:textId="77777777" w:rsidR="00901FB0" w:rsidRDefault="00E3478E">
      <w:pPr>
        <w:spacing w:line="360" w:lineRule="auto"/>
        <w:jc w:val="both"/>
        <w:rPr>
          <w:rFonts w:cs="FrankRuehl"/>
          <w:sz w:val="28"/>
          <w:szCs w:val="28"/>
          <w:rtl/>
        </w:rPr>
      </w:pPr>
      <w:r>
        <w:rPr>
          <w:rFonts w:cs="FrankRuehl" w:hint="cs"/>
          <w:sz w:val="28"/>
          <w:szCs w:val="28"/>
          <w:rtl/>
        </w:rPr>
        <w:t xml:space="preserve">הסניגור הגיש פסיקה ממנה עולה לשיטתו כי במקרים דומים הסתפקו בתי המשפט בהטלת מאסר מותנה ועתר להטיל על הנאשם מאסר על תנאי, חתימה על התחייבות וקנס נמוך ולהתחשב בכך שהנאשם היה במעצר בית מלא ולא עבד במשך חצי שנה. </w:t>
      </w:r>
    </w:p>
    <w:p w14:paraId="26F15818" w14:textId="77777777" w:rsidR="00901FB0" w:rsidRDefault="00901FB0">
      <w:pPr>
        <w:spacing w:line="360" w:lineRule="auto"/>
        <w:jc w:val="both"/>
        <w:rPr>
          <w:rFonts w:cs="FrankRuehl"/>
          <w:sz w:val="28"/>
          <w:szCs w:val="28"/>
          <w:rtl/>
        </w:rPr>
      </w:pPr>
    </w:p>
    <w:p w14:paraId="13CD4A57" w14:textId="77777777" w:rsidR="00901FB0" w:rsidRDefault="00E3478E">
      <w:pPr>
        <w:spacing w:line="360" w:lineRule="auto"/>
        <w:jc w:val="both"/>
        <w:rPr>
          <w:rFonts w:cs="FrankRuehl"/>
          <w:sz w:val="28"/>
          <w:szCs w:val="28"/>
          <w:rtl/>
        </w:rPr>
      </w:pPr>
      <w:r>
        <w:rPr>
          <w:rFonts w:cs="FrankRuehl" w:hint="cs"/>
          <w:sz w:val="28"/>
          <w:szCs w:val="28"/>
          <w:rtl/>
        </w:rPr>
        <w:t xml:space="preserve">במסגרת הטיעונים לעונש ומבלי שהדבר יהווה אינדיקציה להתחייבות שיפוטית כזו או אחרת הוריתי על קבלת חוות דעת הממונה על עבודות השירות וזו ניתנה ביום 19.4.16. </w:t>
      </w:r>
    </w:p>
    <w:p w14:paraId="45A9B93B" w14:textId="77777777" w:rsidR="00901FB0" w:rsidRDefault="00901FB0">
      <w:pPr>
        <w:spacing w:line="360" w:lineRule="auto"/>
        <w:jc w:val="both"/>
        <w:rPr>
          <w:rFonts w:cs="FrankRuehl"/>
          <w:sz w:val="28"/>
          <w:szCs w:val="28"/>
          <w:rtl/>
        </w:rPr>
      </w:pPr>
    </w:p>
    <w:p w14:paraId="1B33ED2B" w14:textId="77777777" w:rsidR="00901FB0" w:rsidRDefault="00E3478E">
      <w:pPr>
        <w:spacing w:line="360" w:lineRule="auto"/>
        <w:jc w:val="both"/>
        <w:rPr>
          <w:rFonts w:cs="Miriam"/>
          <w:rtl/>
        </w:rPr>
      </w:pPr>
      <w:r>
        <w:rPr>
          <w:rFonts w:cs="Miriam" w:hint="cs"/>
          <w:rtl/>
        </w:rPr>
        <w:t>דיון והכרעה</w:t>
      </w:r>
    </w:p>
    <w:p w14:paraId="321E5134" w14:textId="77777777" w:rsidR="00901FB0" w:rsidRDefault="00E3478E">
      <w:pPr>
        <w:pStyle w:val="a"/>
        <w:numPr>
          <w:ilvl w:val="0"/>
          <w:numId w:val="0"/>
        </w:numPr>
        <w:tabs>
          <w:tab w:val="left" w:pos="720"/>
        </w:tabs>
        <w:ind w:left="-9" w:firstLine="14"/>
        <w:jc w:val="both"/>
        <w:rPr>
          <w:rFonts w:cs="FrankRuehl"/>
          <w:sz w:val="28"/>
          <w:szCs w:val="28"/>
          <w:rtl/>
        </w:rPr>
      </w:pPr>
      <w:r>
        <w:rPr>
          <w:rFonts w:cs="FrankRuehl" w:hint="cs"/>
          <w:sz w:val="28"/>
          <w:szCs w:val="28"/>
          <w:rtl/>
        </w:rPr>
        <w:t xml:space="preserve">העיקרון המנחה את בתי המשפט בקביעת מתחם הענישה הוא עקרון ההלימה. הוראות </w:t>
      </w:r>
      <w:hyperlink r:id="rId15" w:history="1">
        <w:r w:rsidR="00417181" w:rsidRPr="00417181">
          <w:rPr>
            <w:rStyle w:val="Hyperlink"/>
            <w:rFonts w:cs="FrankRuehl" w:hint="eastAsia"/>
            <w:sz w:val="28"/>
            <w:szCs w:val="28"/>
            <w:rtl/>
          </w:rPr>
          <w:t>סעיף</w:t>
        </w:r>
        <w:r w:rsidR="00417181" w:rsidRPr="00417181">
          <w:rPr>
            <w:rStyle w:val="Hyperlink"/>
            <w:rFonts w:cs="FrankRuehl"/>
            <w:sz w:val="28"/>
            <w:szCs w:val="28"/>
            <w:rtl/>
          </w:rPr>
          <w:t xml:space="preserve"> 40ג(א)</w:t>
        </w:r>
      </w:hyperlink>
      <w:r>
        <w:rPr>
          <w:rFonts w:cs="FrankRuehl" w:hint="cs"/>
          <w:color w:val="auto"/>
          <w:sz w:val="28"/>
          <w:szCs w:val="28"/>
          <w:rtl/>
        </w:rPr>
        <w:t xml:space="preserve"> קובעות כי בבואו של בית המשפט לקבוע</w:t>
      </w:r>
      <w:r>
        <w:rPr>
          <w:rFonts w:cs="FrankRuehl" w:hint="cs"/>
          <w:sz w:val="28"/>
          <w:szCs w:val="28"/>
          <w:rtl/>
        </w:rPr>
        <w:t xml:space="preserve"> את מתחם הענישה ההולם יש להתחשב בערך החברתי שנפגע מביצוע העבירה, במידת הפגיעה בו, במדיניות הענישה הנוהגת ובנסיבות הקשורות בביצוע העבירה. </w:t>
      </w:r>
    </w:p>
    <w:p w14:paraId="501E15C6" w14:textId="77777777" w:rsidR="00901FB0" w:rsidRDefault="00901FB0">
      <w:pPr>
        <w:spacing w:line="360" w:lineRule="auto"/>
        <w:jc w:val="both"/>
        <w:rPr>
          <w:rFonts w:cs="Miriam"/>
          <w:rtl/>
        </w:rPr>
      </w:pPr>
    </w:p>
    <w:p w14:paraId="2D363DA0" w14:textId="77777777" w:rsidR="00901FB0" w:rsidRDefault="00E3478E">
      <w:pPr>
        <w:spacing w:line="360" w:lineRule="auto"/>
        <w:jc w:val="both"/>
        <w:rPr>
          <w:rFonts w:cs="FrankRuehl"/>
          <w:sz w:val="28"/>
          <w:szCs w:val="28"/>
          <w:rtl/>
        </w:rPr>
      </w:pPr>
      <w:r>
        <w:rPr>
          <w:rFonts w:cs="Miriam" w:hint="cs"/>
          <w:rtl/>
        </w:rPr>
        <w:t xml:space="preserve">חומרת העבירות והפגיעה בערכים מוגנים </w:t>
      </w:r>
    </w:p>
    <w:p w14:paraId="14E6DDCC" w14:textId="77777777" w:rsidR="00901FB0" w:rsidRDefault="00E3478E">
      <w:pPr>
        <w:spacing w:line="360" w:lineRule="auto"/>
        <w:jc w:val="both"/>
        <w:rPr>
          <w:rFonts w:cs="FrankRuehl"/>
          <w:sz w:val="28"/>
          <w:szCs w:val="28"/>
          <w:rtl/>
        </w:rPr>
      </w:pPr>
      <w:r>
        <w:rPr>
          <w:rFonts w:cs="FrankRuehl" w:hint="cs"/>
          <w:sz w:val="28"/>
          <w:szCs w:val="28"/>
          <w:rtl/>
        </w:rPr>
        <w:t xml:space="preserve">הערכים המוגנים בעבירות סמים הם הגנה על שלום הציבור מפני נגע הסמים אשר טומן וגורר עמו פשיעה נוספת ומגוונות דוגמת עבירות רכוש, אלימות, תעבורה ועבירות סמים שונות. הדברים יפים במיוחד כאשר מדובר בכמות סם אשר הינה כזו שאינה לצריכה עצמית כבענייננו אשר עשויה להביא גם לסחר בסמים והפצתם לגורמים שונים. </w:t>
      </w:r>
    </w:p>
    <w:p w14:paraId="77D79733" w14:textId="77777777" w:rsidR="00901FB0" w:rsidRDefault="00901FB0">
      <w:pPr>
        <w:spacing w:line="360" w:lineRule="auto"/>
        <w:jc w:val="both"/>
        <w:rPr>
          <w:rFonts w:cs="Miriam"/>
          <w:rtl/>
        </w:rPr>
      </w:pPr>
    </w:p>
    <w:p w14:paraId="24D0734B" w14:textId="77777777" w:rsidR="00901FB0" w:rsidRDefault="00E3478E">
      <w:pPr>
        <w:spacing w:line="360" w:lineRule="auto"/>
        <w:jc w:val="both"/>
        <w:rPr>
          <w:rFonts w:cs="Miriam"/>
          <w:rtl/>
        </w:rPr>
      </w:pPr>
      <w:r>
        <w:rPr>
          <w:rFonts w:cs="Miriam" w:hint="cs"/>
          <w:rtl/>
        </w:rPr>
        <w:t>נסיבות הקשורות בביצוע העבירה</w:t>
      </w:r>
    </w:p>
    <w:p w14:paraId="6BE3D025" w14:textId="77777777" w:rsidR="00901FB0" w:rsidRDefault="00E3478E">
      <w:pPr>
        <w:spacing w:line="360" w:lineRule="auto"/>
        <w:jc w:val="both"/>
        <w:rPr>
          <w:rFonts w:cs="FrankRuehl"/>
          <w:sz w:val="28"/>
          <w:szCs w:val="28"/>
          <w:rtl/>
        </w:rPr>
      </w:pPr>
      <w:r>
        <w:rPr>
          <w:rFonts w:cs="FrankRuehl" w:hint="cs"/>
          <w:sz w:val="28"/>
          <w:szCs w:val="28"/>
          <w:rtl/>
        </w:rPr>
        <w:t xml:space="preserve">ביחס לנסיבות ביצוע העבירה יש ליתן את הדעת למקום גידול הסמים, אופן הגידול וכמות הסם כפי שפורטה בכתב האישום. עוד יצוין כי אין מדובר בגידול בודד אלא בגידולם של חמישה שתילים בשני אזורים שונים.    </w:t>
      </w:r>
    </w:p>
    <w:p w14:paraId="1DB51BB9" w14:textId="77777777" w:rsidR="00901FB0" w:rsidRDefault="00901FB0">
      <w:pPr>
        <w:spacing w:line="360" w:lineRule="auto"/>
        <w:jc w:val="both"/>
        <w:rPr>
          <w:rFonts w:cs="Miriam"/>
          <w:rtl/>
        </w:rPr>
      </w:pPr>
    </w:p>
    <w:p w14:paraId="47F53A7C" w14:textId="77777777" w:rsidR="00901FB0" w:rsidRDefault="00E3478E">
      <w:pPr>
        <w:spacing w:line="360" w:lineRule="auto"/>
        <w:jc w:val="both"/>
        <w:rPr>
          <w:rFonts w:cs="Miriam"/>
          <w:rtl/>
        </w:rPr>
      </w:pPr>
      <w:r>
        <w:rPr>
          <w:rFonts w:cs="Miriam" w:hint="cs"/>
          <w:rtl/>
        </w:rPr>
        <w:t>נסיבות אשר אינן קשורות לעבירה</w:t>
      </w:r>
    </w:p>
    <w:p w14:paraId="25D17C51" w14:textId="77777777" w:rsidR="00901FB0" w:rsidRDefault="00E3478E">
      <w:pPr>
        <w:spacing w:line="360" w:lineRule="auto"/>
        <w:jc w:val="both"/>
        <w:rPr>
          <w:rFonts w:cs="FrankRuehl"/>
          <w:sz w:val="28"/>
          <w:szCs w:val="28"/>
          <w:rtl/>
        </w:rPr>
      </w:pPr>
      <w:r>
        <w:rPr>
          <w:rFonts w:cs="FrankRuehl" w:hint="cs"/>
          <w:sz w:val="28"/>
          <w:szCs w:val="28"/>
          <w:rtl/>
        </w:rPr>
        <w:t xml:space="preserve">בגזירת דינו של הנאשם בהתאם למתחם הענישה ההולם על בית המשפט להתחשב בנסיבות אשר אינן קשורות לביצוע העבירה כמצוות </w:t>
      </w:r>
      <w:hyperlink r:id="rId16" w:history="1">
        <w:r w:rsidR="00417181" w:rsidRPr="00417181">
          <w:rPr>
            <w:rStyle w:val="Hyperlink"/>
            <w:rFonts w:cs="FrankRuehl" w:hint="eastAsia"/>
            <w:sz w:val="28"/>
            <w:szCs w:val="28"/>
            <w:rtl/>
          </w:rPr>
          <w:t>סעיף</w:t>
        </w:r>
        <w:r w:rsidR="00417181" w:rsidRPr="00417181">
          <w:rPr>
            <w:rStyle w:val="Hyperlink"/>
            <w:rFonts w:cs="FrankRuehl"/>
            <w:sz w:val="28"/>
            <w:szCs w:val="28"/>
            <w:rtl/>
          </w:rPr>
          <w:t xml:space="preserve"> 40יא</w:t>
        </w:r>
      </w:hyperlink>
      <w:r>
        <w:rPr>
          <w:rFonts w:cs="FrankRuehl" w:hint="cs"/>
          <w:sz w:val="28"/>
          <w:szCs w:val="28"/>
          <w:rtl/>
        </w:rPr>
        <w:t xml:space="preserve"> ל</w:t>
      </w:r>
      <w:hyperlink r:id="rId17" w:history="1">
        <w:r w:rsidRPr="00E3478E">
          <w:rPr>
            <w:rStyle w:val="Hyperlink"/>
            <w:rFonts w:cs="FrankRuehl" w:hint="eastAsia"/>
            <w:sz w:val="28"/>
            <w:szCs w:val="28"/>
            <w:rtl/>
          </w:rPr>
          <w:t>חוק</w:t>
        </w:r>
        <w:r w:rsidRPr="00E3478E">
          <w:rPr>
            <w:rStyle w:val="Hyperlink"/>
            <w:rFonts w:cs="FrankRuehl"/>
            <w:sz w:val="28"/>
            <w:szCs w:val="28"/>
            <w:rtl/>
          </w:rPr>
          <w:t xml:space="preserve"> העונשין</w:t>
        </w:r>
      </w:hyperlink>
      <w:r>
        <w:rPr>
          <w:rFonts w:cs="FrankRuehl" w:hint="cs"/>
          <w:sz w:val="28"/>
          <w:szCs w:val="28"/>
          <w:rtl/>
        </w:rPr>
        <w:t>. בענייננו, מצאתי כי יש לזקוף לזכותו של הנאשם את הודאתו במעשי העבירה בשלב מקדמי של הדיון ובכך שחסך זמן שיפוטי.</w:t>
      </w:r>
    </w:p>
    <w:p w14:paraId="709AFE06" w14:textId="77777777" w:rsidR="00901FB0" w:rsidRDefault="00E3478E">
      <w:pPr>
        <w:spacing w:line="360" w:lineRule="auto"/>
        <w:jc w:val="both"/>
        <w:rPr>
          <w:rFonts w:ascii="Arial" w:hAnsi="Arial"/>
          <w:rtl/>
        </w:rPr>
      </w:pPr>
      <w:r>
        <w:rPr>
          <w:rFonts w:cs="FrankRuehl" w:hint="cs"/>
          <w:sz w:val="28"/>
          <w:szCs w:val="28"/>
          <w:rtl/>
        </w:rPr>
        <w:t xml:space="preserve">עוד הבאתי בחשבון את הערכות שירות המבחן לגבי הסיכוי להישנות מקרים דומים בעתיד ואת התנהלות הנאשם במסגרת ההליך ואת עברו הנקי. </w:t>
      </w:r>
    </w:p>
    <w:p w14:paraId="05101AC7" w14:textId="77777777" w:rsidR="00901FB0" w:rsidRDefault="00901FB0">
      <w:pPr>
        <w:spacing w:line="360" w:lineRule="auto"/>
        <w:jc w:val="both"/>
        <w:rPr>
          <w:rFonts w:ascii="Arial" w:hAnsi="Arial"/>
          <w:rtl/>
        </w:rPr>
      </w:pPr>
    </w:p>
    <w:p w14:paraId="55DFFBAA" w14:textId="77777777" w:rsidR="00901FB0" w:rsidRDefault="00E3478E">
      <w:pPr>
        <w:spacing w:line="360" w:lineRule="auto"/>
        <w:jc w:val="both"/>
        <w:rPr>
          <w:rFonts w:ascii="Arial" w:hAnsi="Arial" w:cs="Miriam"/>
          <w:rtl/>
        </w:rPr>
      </w:pPr>
      <w:r>
        <w:rPr>
          <w:rFonts w:ascii="Arial" w:hAnsi="Arial" w:cs="Miriam" w:hint="cs"/>
          <w:rtl/>
        </w:rPr>
        <w:t xml:space="preserve">לעניין מתחם הענישה </w:t>
      </w:r>
    </w:p>
    <w:p w14:paraId="0CC68B84" w14:textId="77777777" w:rsidR="00901FB0" w:rsidRDefault="00E3478E">
      <w:pPr>
        <w:spacing w:line="360" w:lineRule="auto"/>
        <w:jc w:val="both"/>
        <w:rPr>
          <w:rFonts w:ascii="Arial" w:hAnsi="Arial" w:cs="FrankRuehl"/>
          <w:sz w:val="28"/>
          <w:szCs w:val="28"/>
          <w:rtl/>
        </w:rPr>
      </w:pPr>
      <w:r>
        <w:rPr>
          <w:rFonts w:ascii="Arial" w:hAnsi="Arial" w:cs="FrankRuehl" w:hint="cs"/>
          <w:sz w:val="28"/>
          <w:szCs w:val="28"/>
          <w:rtl/>
        </w:rPr>
        <w:t xml:space="preserve">לאחר שקלול כל הנתונים שהובאו לעיל אני קובעת כי מתחם הענישה בתיק נע בין חודשי מאסר ספורים בפועל ובין 12 חודשי מאסר בפועל וזאת בשים לב לכמות השתילים, משקלם, היותם מצויים בשני מקומות שונים ויתר נסיבות המקרה. בשים לב לכך שמדובר בעבירה של גידול וייצור הסם הרי שיש בדבר כדי להעניק לכך נופך של חומרה נוספת.   </w:t>
      </w:r>
    </w:p>
    <w:p w14:paraId="37E309DD" w14:textId="77777777" w:rsidR="00901FB0" w:rsidRDefault="00E3478E">
      <w:pPr>
        <w:spacing w:line="360" w:lineRule="auto"/>
        <w:jc w:val="both"/>
        <w:rPr>
          <w:rFonts w:ascii="Arial" w:hAnsi="Arial" w:cs="FrankRuehl"/>
          <w:sz w:val="28"/>
          <w:szCs w:val="28"/>
          <w:rtl/>
        </w:rPr>
      </w:pPr>
      <w:r>
        <w:rPr>
          <w:rFonts w:ascii="Arial" w:hAnsi="Arial" w:cs="FrankRuehl" w:hint="cs"/>
          <w:sz w:val="28"/>
          <w:szCs w:val="28"/>
          <w:rtl/>
        </w:rPr>
        <w:t xml:space="preserve">אמנם אני ערה להמלצת שירות המבחן בתיק זה ואולם מצאתי את המלצתו של שירות המבחן כמקלה יתר על המידה וככזו שמשקפת רק את אספקט השיקום בתיק- שאין להקל בו ראש- ואולם אין בה כדי להלום את אלמנט הענישה וההרתעה הנדרש בכל תיק ותיק. קבלת המלצת שירות המבחן כמות שהיא כמוה כהעדפת אינטרס השיקום על פני כל אינטרס אחר ואת זאת אין בידי לקבל במסגרת תיק זה. </w:t>
      </w:r>
    </w:p>
    <w:p w14:paraId="1BFE44FF" w14:textId="77777777" w:rsidR="00901FB0" w:rsidRDefault="00E3478E">
      <w:pPr>
        <w:spacing w:line="360" w:lineRule="auto"/>
        <w:jc w:val="both"/>
        <w:rPr>
          <w:rFonts w:ascii="Arial" w:hAnsi="Arial" w:cs="FrankRuehl"/>
          <w:sz w:val="28"/>
          <w:szCs w:val="28"/>
          <w:rtl/>
        </w:rPr>
      </w:pPr>
      <w:r>
        <w:rPr>
          <w:rFonts w:ascii="Arial" w:hAnsi="Arial" w:cs="FrankRuehl" w:hint="cs"/>
          <w:sz w:val="28"/>
          <w:szCs w:val="28"/>
          <w:rtl/>
        </w:rPr>
        <w:t xml:space="preserve">יחד עם זאת בשים לב להמלצת שירות המבחן ויתר הנסיבות שכבר תוארו הרי שרף הענישה יהיה במדרג הנמוך של המתחם בתיק זה וזאת מתוך ראיית מכלול הנסיבות שתוארו בתסקיר ובגזר דין זה והתנהלות הנאשם במסגרת ההליך. עוד יוטלו מאסרים מותנים מרתיעים והתחייבות כספית. </w:t>
      </w:r>
    </w:p>
    <w:p w14:paraId="04A998B9" w14:textId="77777777" w:rsidR="00901FB0" w:rsidRDefault="00901FB0">
      <w:pPr>
        <w:spacing w:line="360" w:lineRule="auto"/>
        <w:jc w:val="both"/>
        <w:rPr>
          <w:rFonts w:ascii="Times New Roman" w:hAnsi="Times New Roman" w:cs="Miriam"/>
          <w:noProof/>
          <w:rtl/>
        </w:rPr>
      </w:pPr>
    </w:p>
    <w:p w14:paraId="79549984" w14:textId="77777777" w:rsidR="00901FB0" w:rsidRDefault="00E3478E">
      <w:pPr>
        <w:spacing w:line="360" w:lineRule="auto"/>
        <w:jc w:val="both"/>
        <w:rPr>
          <w:rFonts w:cs="Miriam"/>
          <w:rtl/>
        </w:rPr>
      </w:pPr>
      <w:r>
        <w:rPr>
          <w:rFonts w:cs="Miriam" w:hint="cs"/>
          <w:rtl/>
        </w:rPr>
        <w:t>סוף דבר</w:t>
      </w:r>
    </w:p>
    <w:p w14:paraId="3D925284" w14:textId="77777777" w:rsidR="00901FB0" w:rsidRDefault="00E3478E">
      <w:pPr>
        <w:spacing w:line="360" w:lineRule="auto"/>
        <w:jc w:val="both"/>
        <w:rPr>
          <w:rFonts w:cs="FrankRuehl"/>
          <w:sz w:val="28"/>
          <w:szCs w:val="28"/>
          <w:rtl/>
        </w:rPr>
      </w:pPr>
      <w:r>
        <w:rPr>
          <w:rFonts w:cs="FrankRuehl" w:hint="cs"/>
          <w:sz w:val="28"/>
          <w:szCs w:val="28"/>
          <w:rtl/>
        </w:rPr>
        <w:t>לאור כל האמור לעיל אני גוזרת על הנאשם את העונשים הבאים:</w:t>
      </w:r>
    </w:p>
    <w:p w14:paraId="31746BA5" w14:textId="77777777" w:rsidR="00901FB0" w:rsidRDefault="00E3478E">
      <w:pPr>
        <w:spacing w:after="200" w:line="360" w:lineRule="auto"/>
        <w:ind w:left="708" w:hanging="703"/>
        <w:jc w:val="both"/>
        <w:rPr>
          <w:rFonts w:cs="FrankRuehl"/>
          <w:sz w:val="28"/>
          <w:szCs w:val="28"/>
          <w:rtl/>
        </w:rPr>
      </w:pPr>
      <w:r>
        <w:rPr>
          <w:rFonts w:cs="FrankRuehl" w:hint="cs"/>
          <w:sz w:val="28"/>
          <w:szCs w:val="28"/>
          <w:rtl/>
        </w:rPr>
        <w:t>1.</w:t>
      </w:r>
      <w:r>
        <w:rPr>
          <w:rFonts w:cs="FrankRuehl" w:hint="cs"/>
          <w:sz w:val="28"/>
          <w:szCs w:val="28"/>
          <w:rtl/>
        </w:rPr>
        <w:tab/>
        <w:t>בגין העבירות נשואות כתב האישום אני מטילה על הנאשם 3 חודשי מאסר בפועל שירוצו על דרך של עבודות שירות במועצה הדתית כרמיאל החל מיום 6.10.16 בהתאם לאמור בחוות דעת הממונה.</w:t>
      </w:r>
    </w:p>
    <w:p w14:paraId="5A525CAD" w14:textId="77777777" w:rsidR="00901FB0" w:rsidRDefault="00E3478E">
      <w:pPr>
        <w:spacing w:line="360" w:lineRule="auto"/>
        <w:ind w:left="720"/>
        <w:jc w:val="both"/>
        <w:rPr>
          <w:rFonts w:cs="FrankRuehl"/>
          <w:sz w:val="28"/>
          <w:szCs w:val="28"/>
          <w:rtl/>
        </w:rPr>
      </w:pPr>
      <w:r>
        <w:rPr>
          <w:rFonts w:cs="FrankRuehl" w:hint="cs"/>
          <w:sz w:val="28"/>
          <w:szCs w:val="28"/>
          <w:rtl/>
        </w:rPr>
        <w:t>הנאשם יתייצב ביום 6/10/16 שעה 08.00 ביחידה לעבודות שירות מפקדת מחוז צפון רח' הציונות 14, טבריה לתחילת ריצוי עונשו.</w:t>
      </w:r>
    </w:p>
    <w:p w14:paraId="24BA3A7B" w14:textId="77777777" w:rsidR="00901FB0" w:rsidRDefault="00E3478E">
      <w:pPr>
        <w:spacing w:line="360" w:lineRule="auto"/>
        <w:ind w:left="720"/>
        <w:jc w:val="both"/>
        <w:rPr>
          <w:rFonts w:cs="FrankRuehl"/>
          <w:sz w:val="28"/>
          <w:szCs w:val="28"/>
          <w:rtl/>
        </w:rPr>
      </w:pPr>
      <w:r>
        <w:rPr>
          <w:rFonts w:cs="FrankRuehl" w:hint="cs"/>
          <w:sz w:val="28"/>
          <w:szCs w:val="28"/>
          <w:rtl/>
        </w:rPr>
        <w:t>הובהר לנאשם כי עליו להימנע משתיית אלכוהול במהלך עבודות השירות ולהקפיד על כל כללי ההעסקה שאחרת הוא עלול למצוא את עצמו מאחורי סורג ובריח.</w:t>
      </w:r>
    </w:p>
    <w:p w14:paraId="17624E2A" w14:textId="77777777" w:rsidR="00901FB0" w:rsidRDefault="00901FB0">
      <w:pPr>
        <w:spacing w:after="200" w:line="360" w:lineRule="auto"/>
        <w:ind w:left="708" w:hanging="703"/>
        <w:jc w:val="both"/>
        <w:rPr>
          <w:rFonts w:cs="FrankRuehl"/>
          <w:sz w:val="28"/>
          <w:szCs w:val="28"/>
          <w:rtl/>
        </w:rPr>
      </w:pPr>
    </w:p>
    <w:p w14:paraId="315D4DB1" w14:textId="77777777" w:rsidR="00901FB0" w:rsidRDefault="00E3478E">
      <w:pPr>
        <w:spacing w:after="200" w:line="360" w:lineRule="auto"/>
        <w:ind w:left="708" w:hanging="703"/>
        <w:jc w:val="both"/>
        <w:rPr>
          <w:rFonts w:cs="FrankRuehl"/>
          <w:sz w:val="28"/>
          <w:szCs w:val="28"/>
          <w:rtl/>
        </w:rPr>
      </w:pPr>
      <w:r>
        <w:rPr>
          <w:rFonts w:cs="FrankRuehl" w:hint="cs"/>
          <w:sz w:val="28"/>
          <w:szCs w:val="28"/>
          <w:rtl/>
        </w:rPr>
        <w:t>2.</w:t>
      </w:r>
      <w:r>
        <w:rPr>
          <w:rFonts w:cs="FrankRuehl" w:hint="cs"/>
          <w:sz w:val="28"/>
          <w:szCs w:val="28"/>
          <w:rtl/>
        </w:rPr>
        <w:tab/>
      </w:r>
      <w:r>
        <w:rPr>
          <w:rFonts w:cs="FrankRuehl" w:hint="cs"/>
          <w:sz w:val="28"/>
          <w:szCs w:val="28"/>
          <w:rtl/>
        </w:rPr>
        <w:tab/>
        <w:t xml:space="preserve">אני מטילה על הנאשם 9 חודשי מאסר על תנאי למשך שלוש שנים מהיום והתנאי הוא שהנאשם לא יעבור עבירה מסוג פשע לפי </w:t>
      </w:r>
      <w:hyperlink r:id="rId18" w:history="1">
        <w:r w:rsidRPr="00E3478E">
          <w:rPr>
            <w:rStyle w:val="Hyperlink"/>
            <w:rFonts w:cs="FrankRuehl" w:hint="eastAsia"/>
            <w:sz w:val="28"/>
            <w:szCs w:val="28"/>
            <w:rtl/>
          </w:rPr>
          <w:t>פקודת</w:t>
        </w:r>
        <w:r w:rsidRPr="00E3478E">
          <w:rPr>
            <w:rStyle w:val="Hyperlink"/>
            <w:rFonts w:cs="FrankRuehl"/>
            <w:sz w:val="28"/>
            <w:szCs w:val="28"/>
            <w:rtl/>
          </w:rPr>
          <w:t xml:space="preserve"> הסמים המסוכנים</w:t>
        </w:r>
      </w:hyperlink>
      <w:r>
        <w:rPr>
          <w:rFonts w:cs="FrankRuehl" w:hint="cs"/>
          <w:sz w:val="28"/>
          <w:szCs w:val="28"/>
          <w:rtl/>
        </w:rPr>
        <w:t xml:space="preserve"> בתקופה זו ויורשע בגינה כדין.  </w:t>
      </w:r>
    </w:p>
    <w:p w14:paraId="637A4E20" w14:textId="77777777" w:rsidR="00901FB0" w:rsidRDefault="00E3478E">
      <w:pPr>
        <w:spacing w:after="200" w:line="360" w:lineRule="auto"/>
        <w:ind w:left="708" w:hanging="703"/>
        <w:jc w:val="both"/>
        <w:rPr>
          <w:rFonts w:cs="FrankRuehl"/>
          <w:sz w:val="28"/>
          <w:szCs w:val="28"/>
          <w:rtl/>
        </w:rPr>
      </w:pPr>
      <w:r>
        <w:rPr>
          <w:rFonts w:cs="FrankRuehl" w:hint="cs"/>
          <w:sz w:val="28"/>
          <w:szCs w:val="28"/>
          <w:rtl/>
        </w:rPr>
        <w:t>3.</w:t>
      </w:r>
      <w:r>
        <w:rPr>
          <w:rFonts w:cs="FrankRuehl" w:hint="cs"/>
          <w:sz w:val="28"/>
          <w:szCs w:val="28"/>
          <w:rtl/>
        </w:rPr>
        <w:tab/>
        <w:t xml:space="preserve">אני מטילה על הנאשם 6 חודשי מאסר על תנאי למשך שלוש שנים מהיום והתנאי הוא שהנאשם לא יעבור עבירה מסוג עוון לפי </w:t>
      </w:r>
      <w:hyperlink r:id="rId19" w:history="1">
        <w:r w:rsidRPr="00E3478E">
          <w:rPr>
            <w:rStyle w:val="Hyperlink"/>
            <w:rFonts w:cs="FrankRuehl" w:hint="eastAsia"/>
            <w:sz w:val="28"/>
            <w:szCs w:val="28"/>
            <w:rtl/>
          </w:rPr>
          <w:t>פקודת</w:t>
        </w:r>
        <w:r w:rsidRPr="00E3478E">
          <w:rPr>
            <w:rStyle w:val="Hyperlink"/>
            <w:rFonts w:cs="FrankRuehl"/>
            <w:sz w:val="28"/>
            <w:szCs w:val="28"/>
            <w:rtl/>
          </w:rPr>
          <w:t xml:space="preserve"> הסמים המסוכנים</w:t>
        </w:r>
      </w:hyperlink>
      <w:r>
        <w:rPr>
          <w:rFonts w:cs="FrankRuehl" w:hint="cs"/>
          <w:sz w:val="28"/>
          <w:szCs w:val="28"/>
          <w:rtl/>
        </w:rPr>
        <w:t xml:space="preserve"> בתקופה זו ויורשע בגינה כדין.  </w:t>
      </w:r>
    </w:p>
    <w:p w14:paraId="6613FEC2" w14:textId="77777777" w:rsidR="00901FB0" w:rsidRDefault="00E3478E">
      <w:pPr>
        <w:spacing w:after="200" w:line="360" w:lineRule="auto"/>
        <w:ind w:left="708" w:hanging="703"/>
        <w:jc w:val="both"/>
        <w:rPr>
          <w:rFonts w:cs="FrankRuehl"/>
          <w:sz w:val="28"/>
          <w:szCs w:val="28"/>
          <w:rtl/>
        </w:rPr>
      </w:pPr>
      <w:r>
        <w:rPr>
          <w:rFonts w:cs="FrankRuehl" w:hint="cs"/>
          <w:sz w:val="28"/>
          <w:szCs w:val="28"/>
          <w:rtl/>
        </w:rPr>
        <w:t>3.</w:t>
      </w:r>
      <w:r>
        <w:rPr>
          <w:rFonts w:cs="FrankRuehl" w:hint="cs"/>
          <w:sz w:val="28"/>
          <w:szCs w:val="28"/>
          <w:rtl/>
        </w:rPr>
        <w:tab/>
        <w:t>אני פוסלת את הנאשם מלקבל ו/או מלהחזיק רשיון נהיגה לתקופה של 3 חודשים.</w:t>
      </w:r>
      <w:r>
        <w:rPr>
          <w:rFonts w:cs="FrankRuehl" w:hint="cs"/>
          <w:b/>
          <w:bCs/>
          <w:sz w:val="28"/>
          <w:szCs w:val="28"/>
          <w:rtl/>
        </w:rPr>
        <w:t xml:space="preserve"> </w:t>
      </w:r>
      <w:r>
        <w:rPr>
          <w:rFonts w:cs="FrankRuehl" w:hint="cs"/>
          <w:sz w:val="28"/>
          <w:szCs w:val="28"/>
          <w:rtl/>
        </w:rPr>
        <w:t xml:space="preserve">הפסילה הינה על תנאי למשך שלוש שנים מהיום והתנאי הוא כי לא יעבור כל עבירה לפי </w:t>
      </w:r>
      <w:hyperlink r:id="rId20" w:history="1">
        <w:r w:rsidRPr="00E3478E">
          <w:rPr>
            <w:rStyle w:val="Hyperlink"/>
            <w:rFonts w:cs="FrankRuehl" w:hint="eastAsia"/>
            <w:sz w:val="28"/>
            <w:szCs w:val="28"/>
            <w:rtl/>
          </w:rPr>
          <w:t>פקודת</w:t>
        </w:r>
        <w:r w:rsidRPr="00E3478E">
          <w:rPr>
            <w:rStyle w:val="Hyperlink"/>
            <w:rFonts w:cs="FrankRuehl"/>
            <w:sz w:val="28"/>
            <w:szCs w:val="28"/>
            <w:rtl/>
          </w:rPr>
          <w:t xml:space="preserve"> הסמים המסוכנים</w:t>
        </w:r>
      </w:hyperlink>
      <w:r>
        <w:rPr>
          <w:rFonts w:cs="FrankRuehl" w:hint="cs"/>
          <w:sz w:val="28"/>
          <w:szCs w:val="28"/>
          <w:rtl/>
        </w:rPr>
        <w:t xml:space="preserve"> ויורשע בגינה</w:t>
      </w:r>
      <w:r>
        <w:rPr>
          <w:rFonts w:cs="FrankRuehl"/>
          <w:sz w:val="28"/>
          <w:szCs w:val="28"/>
        </w:rPr>
        <w:t xml:space="preserve"> </w:t>
      </w:r>
      <w:r>
        <w:rPr>
          <w:rFonts w:cs="FrankRuehl" w:hint="cs"/>
          <w:sz w:val="28"/>
          <w:szCs w:val="28"/>
          <w:rtl/>
        </w:rPr>
        <w:t xml:space="preserve">כדין. </w:t>
      </w:r>
    </w:p>
    <w:p w14:paraId="28215037" w14:textId="77777777" w:rsidR="00901FB0" w:rsidRDefault="00E3478E">
      <w:pPr>
        <w:spacing w:line="360" w:lineRule="auto"/>
        <w:ind w:left="708" w:hanging="708"/>
        <w:jc w:val="both"/>
        <w:rPr>
          <w:rFonts w:cs="FrankRuehl"/>
          <w:sz w:val="28"/>
          <w:szCs w:val="28"/>
        </w:rPr>
      </w:pPr>
      <w:r>
        <w:rPr>
          <w:rFonts w:cs="FrankRuehl" w:hint="cs"/>
          <w:sz w:val="28"/>
          <w:szCs w:val="28"/>
          <w:rtl/>
        </w:rPr>
        <w:t xml:space="preserve">4.    </w:t>
      </w:r>
      <w:r>
        <w:rPr>
          <w:rFonts w:cs="FrankRuehl" w:hint="cs"/>
          <w:sz w:val="28"/>
          <w:szCs w:val="28"/>
          <w:rtl/>
        </w:rPr>
        <w:tab/>
        <w:t xml:space="preserve">חתימה על התחייבות כספית על סך של 4,000 ₪ להימנע למשך שלוש שנים מהיום מביצוע כל עבירה על פי </w:t>
      </w:r>
      <w:hyperlink r:id="rId21" w:history="1">
        <w:r w:rsidRPr="00E3478E">
          <w:rPr>
            <w:rStyle w:val="Hyperlink"/>
            <w:rFonts w:cs="FrankRuehl" w:hint="eastAsia"/>
            <w:sz w:val="28"/>
            <w:szCs w:val="28"/>
            <w:rtl/>
          </w:rPr>
          <w:t>פקודת</w:t>
        </w:r>
        <w:r w:rsidRPr="00E3478E">
          <w:rPr>
            <w:rStyle w:val="Hyperlink"/>
            <w:rFonts w:cs="FrankRuehl"/>
            <w:sz w:val="28"/>
            <w:szCs w:val="28"/>
            <w:rtl/>
          </w:rPr>
          <w:t xml:space="preserve"> הסמים המסוכנים</w:t>
        </w:r>
      </w:hyperlink>
      <w:r>
        <w:rPr>
          <w:rFonts w:cs="FrankRuehl" w:hint="cs"/>
          <w:sz w:val="28"/>
          <w:szCs w:val="28"/>
          <w:rtl/>
        </w:rPr>
        <w:t>. כתב ההתחייבות</w:t>
      </w:r>
      <w:r>
        <w:rPr>
          <w:rFonts w:cs="FrankRuehl" w:hint="cs"/>
          <w:sz w:val="28"/>
          <w:szCs w:val="28"/>
        </w:rPr>
        <w:t xml:space="preserve"> </w:t>
      </w:r>
      <w:r>
        <w:rPr>
          <w:rFonts w:cs="FrankRuehl" w:hint="cs"/>
          <w:sz w:val="28"/>
          <w:szCs w:val="28"/>
          <w:rtl/>
        </w:rPr>
        <w:t>ייחתם היום.</w:t>
      </w:r>
    </w:p>
    <w:p w14:paraId="210F0B80" w14:textId="77777777" w:rsidR="00901FB0" w:rsidRDefault="00901FB0">
      <w:pPr>
        <w:spacing w:line="360" w:lineRule="auto"/>
        <w:rPr>
          <w:rFonts w:cs="FrankRuehl"/>
          <w:sz w:val="28"/>
          <w:szCs w:val="28"/>
          <w:rtl/>
        </w:rPr>
      </w:pPr>
    </w:p>
    <w:p w14:paraId="5938E5D8" w14:textId="77777777" w:rsidR="00901FB0" w:rsidRDefault="00E3478E">
      <w:pPr>
        <w:pStyle w:val="ListParagraph"/>
        <w:spacing w:line="360" w:lineRule="auto"/>
        <w:ind w:left="-9"/>
        <w:jc w:val="both"/>
        <w:rPr>
          <w:rFonts w:cs="FrankRuehl"/>
          <w:b/>
          <w:bCs/>
          <w:sz w:val="28"/>
          <w:szCs w:val="28"/>
          <w:rtl/>
        </w:rPr>
      </w:pPr>
      <w:r>
        <w:rPr>
          <w:rFonts w:cs="FrankRuehl" w:hint="cs"/>
          <w:b/>
          <w:bCs/>
          <w:sz w:val="28"/>
          <w:szCs w:val="28"/>
          <w:rtl/>
        </w:rPr>
        <w:t>כמו כן אני מורה על השמדת המוצגים מסוג סמים.</w:t>
      </w:r>
    </w:p>
    <w:p w14:paraId="76D68015" w14:textId="77777777" w:rsidR="00901FB0" w:rsidRDefault="00E3478E">
      <w:pPr>
        <w:spacing w:line="360" w:lineRule="auto"/>
        <w:jc w:val="both"/>
        <w:rPr>
          <w:rFonts w:ascii="Arial" w:hAnsi="Arial" w:cs="FrankRuehl"/>
          <w:sz w:val="28"/>
          <w:szCs w:val="28"/>
          <w:rtl/>
        </w:rPr>
      </w:pPr>
      <w:r>
        <w:rPr>
          <w:rFonts w:ascii="Arial" w:hAnsi="Arial" w:cs="FrankRuehl" w:hint="cs"/>
          <w:sz w:val="28"/>
          <w:szCs w:val="28"/>
          <w:rtl/>
        </w:rPr>
        <w:t xml:space="preserve">זכות ערעור תוך 45 יום. </w:t>
      </w:r>
    </w:p>
    <w:p w14:paraId="1DFCA60F" w14:textId="77777777" w:rsidR="00901FB0" w:rsidRDefault="00901FB0">
      <w:pPr>
        <w:pStyle w:val="David"/>
        <w:rPr>
          <w:rtl/>
        </w:rPr>
      </w:pPr>
    </w:p>
    <w:p w14:paraId="007B4DD1" w14:textId="77777777" w:rsidR="00901FB0" w:rsidRDefault="00E3478E">
      <w:pPr>
        <w:pStyle w:val="David"/>
        <w:rPr>
          <w:sz w:val="6"/>
          <w:szCs w:val="6"/>
          <w:rtl/>
        </w:rPr>
      </w:pPr>
      <w:r>
        <w:rPr>
          <w:sz w:val="6"/>
          <w:szCs w:val="6"/>
          <w:rtl/>
        </w:rPr>
        <w:t>&lt;#4#&gt;</w:t>
      </w:r>
    </w:p>
    <w:p w14:paraId="1564FF87" w14:textId="77777777" w:rsidR="00901FB0" w:rsidRDefault="00901FB0">
      <w:pPr>
        <w:jc w:val="right"/>
        <w:rPr>
          <w:rtl/>
        </w:rPr>
      </w:pPr>
    </w:p>
    <w:p w14:paraId="5EABA526" w14:textId="77777777" w:rsidR="00901FB0" w:rsidRDefault="00E3478E">
      <w:pPr>
        <w:spacing w:line="360" w:lineRule="auto"/>
        <w:rPr>
          <w:rtl/>
        </w:rPr>
      </w:pPr>
      <w:r>
        <w:rPr>
          <w:b/>
          <w:bCs/>
          <w:rtl/>
        </w:rPr>
        <w:t xml:space="preserve">ניתן והודע היום ז' אייר תשע"ו, 15/05/2016 במעמד הנוכחים. </w:t>
      </w:r>
    </w:p>
    <w:p w14:paraId="79EB969A" w14:textId="77777777" w:rsidR="00901FB0" w:rsidRPr="00E3478E" w:rsidRDefault="00E3478E">
      <w:pPr>
        <w:jc w:val="center"/>
        <w:rPr>
          <w:color w:val="FFFFFF"/>
          <w:sz w:val="2"/>
          <w:szCs w:val="2"/>
          <w:rtl/>
        </w:rPr>
      </w:pPr>
      <w:r w:rsidRPr="00E3478E">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01FB0" w14:paraId="28D3ABE1" w14:textId="77777777">
        <w:trPr>
          <w:trHeight w:val="316"/>
          <w:jc w:val="right"/>
        </w:trPr>
        <w:tc>
          <w:tcPr>
            <w:tcW w:w="3936" w:type="dxa"/>
            <w:shd w:val="clear" w:color="auto" w:fill="auto"/>
          </w:tcPr>
          <w:p w14:paraId="5DFD9AC3" w14:textId="77777777" w:rsidR="00901FB0" w:rsidRPr="00E3478E" w:rsidRDefault="00E3478E">
            <w:pPr>
              <w:jc w:val="center"/>
              <w:rPr>
                <w:rFonts w:ascii="Times New Roman" w:eastAsia="Times New Roman" w:hAnsi="Times New Roman" w:cs="Times New Roman"/>
                <w:color w:val="FFFFFF"/>
                <w:sz w:val="2"/>
                <w:szCs w:val="2"/>
              </w:rPr>
            </w:pPr>
            <w:r w:rsidRPr="00E3478E">
              <w:rPr>
                <w:rFonts w:ascii="Times New Roman" w:eastAsia="Times New Roman" w:hAnsi="Times New Roman" w:cs="Times New Roman"/>
                <w:color w:val="FFFFFF"/>
                <w:sz w:val="2"/>
                <w:szCs w:val="2"/>
                <w:rtl/>
              </w:rPr>
              <w:t>54678313</w:t>
            </w:r>
          </w:p>
          <w:p w14:paraId="65271EC1" w14:textId="77777777" w:rsidR="00901FB0" w:rsidRDefault="00901FB0">
            <w:pPr>
              <w:jc w:val="center"/>
              <w:rPr>
                <w:rFonts w:ascii="Times New Roman" w:eastAsia="Times New Roman" w:hAnsi="Times New Roman" w:cs="Times New Roman"/>
                <w:rtl/>
              </w:rPr>
            </w:pPr>
          </w:p>
        </w:tc>
      </w:tr>
      <w:tr w:rsidR="00901FB0" w14:paraId="4ABF4990" w14:textId="77777777">
        <w:trPr>
          <w:trHeight w:val="361"/>
          <w:jc w:val="right"/>
        </w:trPr>
        <w:tc>
          <w:tcPr>
            <w:tcW w:w="3936" w:type="dxa"/>
            <w:shd w:val="clear" w:color="auto" w:fill="auto"/>
          </w:tcPr>
          <w:p w14:paraId="5B75A171" w14:textId="77777777" w:rsidR="00901FB0" w:rsidRDefault="00E3478E">
            <w:pPr>
              <w:jc w:val="center"/>
              <w:rPr>
                <w:rFonts w:ascii="Times New Roman" w:eastAsia="Times New Roman" w:hAnsi="Times New Roman"/>
                <w:b/>
                <w:bCs/>
                <w:rtl/>
              </w:rPr>
            </w:pPr>
            <w:r>
              <w:rPr>
                <w:rFonts w:ascii="Times New Roman" w:eastAsia="Times New Roman" w:hAnsi="Times New Roman" w:hint="cs"/>
                <w:b/>
                <w:bCs/>
                <w:rtl/>
              </w:rPr>
              <w:t>אביגיל זכריה</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2775E72A" w14:textId="77777777" w:rsidR="00901FB0" w:rsidRDefault="00901FB0">
      <w:pPr>
        <w:jc w:val="right"/>
        <w:rPr>
          <w:rtl/>
        </w:rPr>
      </w:pPr>
    </w:p>
    <w:p w14:paraId="71320587" w14:textId="77777777" w:rsidR="00E3478E" w:rsidRPr="00E3478E" w:rsidRDefault="00E3478E" w:rsidP="00E3478E">
      <w:pPr>
        <w:keepNext/>
        <w:rPr>
          <w:color w:val="000000"/>
          <w:sz w:val="22"/>
          <w:szCs w:val="22"/>
          <w:rtl/>
        </w:rPr>
      </w:pPr>
    </w:p>
    <w:p w14:paraId="270B12FE" w14:textId="77777777" w:rsidR="00E3478E" w:rsidRPr="00E3478E" w:rsidRDefault="00E3478E" w:rsidP="00E3478E">
      <w:pPr>
        <w:keepNext/>
        <w:rPr>
          <w:color w:val="000000"/>
          <w:sz w:val="22"/>
          <w:szCs w:val="22"/>
          <w:rtl/>
        </w:rPr>
      </w:pPr>
      <w:r w:rsidRPr="00E3478E">
        <w:rPr>
          <w:color w:val="000000"/>
          <w:sz w:val="22"/>
          <w:szCs w:val="22"/>
          <w:rtl/>
        </w:rPr>
        <w:t>אביגיל זכריה 54678313</w:t>
      </w:r>
    </w:p>
    <w:p w14:paraId="6EE452FE" w14:textId="77777777" w:rsidR="00E3478E" w:rsidRDefault="00E3478E" w:rsidP="00E3478E">
      <w:pPr>
        <w:rPr>
          <w:color w:val="000000"/>
          <w:rtl/>
        </w:rPr>
      </w:pPr>
      <w:r w:rsidRPr="00E3478E">
        <w:rPr>
          <w:color w:val="000000"/>
          <w:rtl/>
        </w:rPr>
        <w:t>נוסח מסמך זה כפוף לשינויי ניסוח ועריכה</w:t>
      </w:r>
    </w:p>
    <w:p w14:paraId="4850C75E" w14:textId="77777777" w:rsidR="00E3478E" w:rsidRDefault="00E3478E" w:rsidP="00E3478E">
      <w:pPr>
        <w:rPr>
          <w:rtl/>
        </w:rPr>
      </w:pPr>
    </w:p>
    <w:p w14:paraId="5DFD4CF8" w14:textId="77777777" w:rsidR="00E3478E" w:rsidRDefault="00E3478E" w:rsidP="00E3478E">
      <w:pPr>
        <w:jc w:val="center"/>
        <w:rPr>
          <w:color w:val="0000FF"/>
          <w:u w:val="single"/>
          <w:rtl/>
        </w:rPr>
      </w:pPr>
      <w:hyperlink r:id="rId22" w:history="1">
        <w:r>
          <w:rPr>
            <w:rStyle w:val="Hyperlink"/>
            <w:rtl/>
          </w:rPr>
          <w:t>בעניין עריכה ושינויים במסמכי פסיקה, חקיקה ועוד באתר נבו – הקש כאן</w:t>
        </w:r>
      </w:hyperlink>
      <w:r w:rsidR="002A5AC0">
        <w:rPr>
          <w:rFonts w:hint="cs"/>
          <w:color w:val="0000FF"/>
          <w:u w:val="single"/>
          <w:rtl/>
        </w:rPr>
        <w:t xml:space="preserve"> </w:t>
      </w:r>
    </w:p>
    <w:p w14:paraId="597EAE8B" w14:textId="77777777" w:rsidR="00901FB0" w:rsidRPr="00E3478E" w:rsidRDefault="00901FB0" w:rsidP="00E3478E">
      <w:pPr>
        <w:jc w:val="center"/>
        <w:rPr>
          <w:color w:val="0000FF"/>
          <w:u w:val="single"/>
        </w:rPr>
      </w:pPr>
    </w:p>
    <w:sectPr w:rsidR="00901FB0" w:rsidRPr="00E3478E" w:rsidSect="00E3478E">
      <w:headerReference w:type="even" r:id="rId23"/>
      <w:headerReference w:type="default" r:id="rId24"/>
      <w:footerReference w:type="even" r:id="rId25"/>
      <w:footerReference w:type="default" r:id="rId2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C34B5" w14:textId="77777777" w:rsidR="00645125" w:rsidRPr="00B20D8B" w:rsidRDefault="00645125">
      <w:pPr>
        <w:rPr>
          <w:rFonts w:cs="Times New Roman"/>
        </w:rPr>
      </w:pPr>
      <w:r>
        <w:separator/>
      </w:r>
    </w:p>
  </w:endnote>
  <w:endnote w:type="continuationSeparator" w:id="0">
    <w:p w14:paraId="27790C50" w14:textId="77777777" w:rsidR="00645125" w:rsidRPr="00B20D8B" w:rsidRDefault="00645125">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B1DFD" w14:textId="77777777" w:rsidR="0053143E" w:rsidRDefault="0053143E" w:rsidP="00E3478E">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7A8A4388" w14:textId="77777777" w:rsidR="0053143E" w:rsidRPr="00E3478E" w:rsidRDefault="0053143E" w:rsidP="00E3478E">
    <w:pPr>
      <w:pStyle w:val="a6"/>
      <w:pBdr>
        <w:top w:val="single" w:sz="4" w:space="1" w:color="auto"/>
        <w:between w:val="single" w:sz="4" w:space="0" w:color="auto"/>
      </w:pBdr>
      <w:spacing w:after="60"/>
      <w:jc w:val="center"/>
      <w:rPr>
        <w:rFonts w:ascii="FrankRuehl" w:hAnsi="FrankRuehl" w:cs="FrankRuehl"/>
        <w:color w:val="000000"/>
      </w:rPr>
    </w:pPr>
    <w:r w:rsidRPr="00E347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79651" w14:textId="77777777" w:rsidR="0053143E" w:rsidRDefault="0053143E" w:rsidP="00E3478E">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5690">
      <w:rPr>
        <w:rFonts w:ascii="FrankRuehl" w:hAnsi="FrankRuehl" w:cs="FrankRuehl"/>
        <w:noProof/>
        <w:rtl/>
      </w:rPr>
      <w:t>2</w:t>
    </w:r>
    <w:r>
      <w:rPr>
        <w:rFonts w:ascii="FrankRuehl" w:hAnsi="FrankRuehl" w:cs="FrankRuehl"/>
        <w:rtl/>
      </w:rPr>
      <w:fldChar w:fldCharType="end"/>
    </w:r>
  </w:p>
  <w:p w14:paraId="283E7D4A" w14:textId="77777777" w:rsidR="0053143E" w:rsidRPr="00E3478E" w:rsidRDefault="0053143E" w:rsidP="00E3478E">
    <w:pPr>
      <w:pStyle w:val="a6"/>
      <w:pBdr>
        <w:top w:val="single" w:sz="4" w:space="1" w:color="auto"/>
        <w:between w:val="single" w:sz="4" w:space="0" w:color="auto"/>
      </w:pBdr>
      <w:spacing w:after="60"/>
      <w:jc w:val="center"/>
      <w:rPr>
        <w:rFonts w:ascii="FrankRuehl" w:hAnsi="FrankRuehl" w:cs="FrankRuehl"/>
        <w:color w:val="000000"/>
      </w:rPr>
    </w:pPr>
    <w:r w:rsidRPr="00E3478E">
      <w:rPr>
        <w:rFonts w:ascii="FrankRuehl" w:hAnsi="FrankRuehl" w:cs="FrankRuehl"/>
        <w:color w:val="000000"/>
      </w:rPr>
      <w:pict w14:anchorId="11CB3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73B35" w14:textId="77777777" w:rsidR="00645125" w:rsidRPr="00B20D8B" w:rsidRDefault="00645125">
      <w:pPr>
        <w:rPr>
          <w:rFonts w:cs="Times New Roman"/>
        </w:rPr>
      </w:pPr>
      <w:r>
        <w:separator/>
      </w:r>
    </w:p>
  </w:footnote>
  <w:footnote w:type="continuationSeparator" w:id="0">
    <w:p w14:paraId="0CF216C7" w14:textId="77777777" w:rsidR="00645125" w:rsidRPr="00B20D8B" w:rsidRDefault="00645125">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78D0F" w14:textId="77777777" w:rsidR="0053143E" w:rsidRPr="00E3478E" w:rsidRDefault="0053143E" w:rsidP="00E3478E">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48247-07-15</w:t>
    </w:r>
    <w:r>
      <w:rPr>
        <w:color w:val="000000"/>
        <w:sz w:val="22"/>
        <w:szCs w:val="22"/>
        <w:rtl/>
      </w:rPr>
      <w:tab/>
      <w:t xml:space="preserve"> מדינת ישראל נ' ח'אתם קדאח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5017D" w14:textId="77777777" w:rsidR="0053143E" w:rsidRPr="00E3478E" w:rsidRDefault="0053143E" w:rsidP="00E3478E">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48247-07-15</w:t>
    </w:r>
    <w:r>
      <w:rPr>
        <w:color w:val="000000"/>
        <w:sz w:val="22"/>
        <w:szCs w:val="22"/>
        <w:rtl/>
      </w:rPr>
      <w:tab/>
      <w:t xml:space="preserve"> מדינת ישראל נ' ח'אתם קדאח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20248200"/>
    <w:lvl w:ilvl="0" w:tplc="A2D66AA4">
      <w:start w:val="1"/>
      <w:numFmt w:val="decimal"/>
      <w:pStyle w:val="a"/>
      <w:lvlText w:val="%1."/>
      <w:lvlJc w:val="left"/>
      <w:pPr>
        <w:tabs>
          <w:tab w:val="num" w:pos="720"/>
        </w:tabs>
        <w:ind w:left="720" w:hanging="720"/>
      </w:pPr>
      <w:rPr>
        <w:rFonts w:ascii="Cambria" w:hAnsi="Cambria" w:cs="FrankRuehl" w:hint="default"/>
      </w:rPr>
    </w:lvl>
    <w:lvl w:ilvl="1" w:tplc="9AD0ABB8">
      <w:start w:val="1"/>
      <w:numFmt w:val="hebrew1"/>
      <w:lvlText w:val="%2."/>
      <w:lvlJc w:val="left"/>
      <w:pPr>
        <w:tabs>
          <w:tab w:val="num" w:pos="1620"/>
        </w:tabs>
        <w:ind w:left="1620" w:hanging="360"/>
      </w:pPr>
      <w:rPr>
        <w:rFonts w:cs="David"/>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685029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1FB0"/>
    <w:rsid w:val="00031C5D"/>
    <w:rsid w:val="00170F34"/>
    <w:rsid w:val="002A5AC0"/>
    <w:rsid w:val="00371250"/>
    <w:rsid w:val="00417181"/>
    <w:rsid w:val="0053143E"/>
    <w:rsid w:val="00645125"/>
    <w:rsid w:val="00690752"/>
    <w:rsid w:val="00801E3B"/>
    <w:rsid w:val="008B5690"/>
    <w:rsid w:val="00901FB0"/>
    <w:rsid w:val="00E347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E5D879"/>
  <w15:chartTrackingRefBased/>
  <w15:docId w15:val="{D7A9772F-220D-42FD-A370-EDFC09DA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01FB0"/>
    <w:pPr>
      <w:bidi/>
    </w:pPr>
    <w:rPr>
      <w:rFonts w:ascii="David" w:eastAsia="David" w:hAnsi="David" w:cs="David"/>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styleId="a4">
    <w:name w:val="line number"/>
    <w:basedOn w:val="a1"/>
    <w:rsid w:val="00901FB0"/>
  </w:style>
  <w:style w:type="paragraph" w:styleId="a5">
    <w:name w:val="header"/>
    <w:basedOn w:val="a0"/>
    <w:rsid w:val="00901FB0"/>
    <w:pPr>
      <w:tabs>
        <w:tab w:val="center" w:pos="4153"/>
        <w:tab w:val="right" w:pos="8306"/>
      </w:tabs>
    </w:pPr>
  </w:style>
  <w:style w:type="paragraph" w:styleId="a6">
    <w:name w:val="footer"/>
    <w:basedOn w:val="a0"/>
    <w:rsid w:val="00901FB0"/>
    <w:pPr>
      <w:tabs>
        <w:tab w:val="center" w:pos="4153"/>
        <w:tab w:val="right" w:pos="8306"/>
      </w:tabs>
    </w:pPr>
  </w:style>
  <w:style w:type="character" w:styleId="a7">
    <w:name w:val="page number"/>
    <w:basedOn w:val="a1"/>
    <w:rsid w:val="00901FB0"/>
  </w:style>
  <w:style w:type="character" w:customStyle="1" w:styleId="TimesNewRomanTimesNewRoman">
    <w:name w:val="סגנון (לטיני) Times New Roman (עברית ושפות אחרות) Times New Roman..."/>
    <w:rsid w:val="00901FB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0"/>
    <w:rsid w:val="00901FB0"/>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0"/>
    <w:rsid w:val="00901FB0"/>
    <w:pPr>
      <w:spacing w:line="360" w:lineRule="auto"/>
      <w:jc w:val="both"/>
    </w:pPr>
    <w:rPr>
      <w:rFonts w:ascii="Times New Roman" w:eastAsia="Times New Roman" w:hAnsi="Times New Roman"/>
    </w:rPr>
  </w:style>
  <w:style w:type="character" w:styleId="Hyperlink">
    <w:name w:val="Hyperlink"/>
    <w:rsid w:val="00901FB0"/>
    <w:rPr>
      <w:color w:val="0000FF"/>
      <w:u w:val="single"/>
    </w:rPr>
  </w:style>
  <w:style w:type="paragraph" w:customStyle="1" w:styleId="ListParagraph">
    <w:name w:val="List Paragraph"/>
    <w:basedOn w:val="a0"/>
    <w:rsid w:val="00901FB0"/>
    <w:pPr>
      <w:spacing w:after="200" w:line="276" w:lineRule="auto"/>
      <w:ind w:left="720"/>
      <w:contextualSpacing/>
    </w:pPr>
    <w:rPr>
      <w:rFonts w:ascii="Calibri" w:eastAsia="Calibri" w:hAnsi="Calibri" w:cs="Arial"/>
      <w:sz w:val="22"/>
      <w:szCs w:val="22"/>
    </w:rPr>
  </w:style>
  <w:style w:type="paragraph" w:customStyle="1" w:styleId="a">
    <w:name w:val="ממוספר"/>
    <w:basedOn w:val="a0"/>
    <w:rsid w:val="00901FB0"/>
    <w:pPr>
      <w:numPr>
        <w:numId w:val="1"/>
      </w:numPr>
      <w:spacing w:after="120" w:line="360" w:lineRule="auto"/>
    </w:pPr>
    <w:rPr>
      <w:rFonts w:eastAsia="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40c.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40c.a" TargetMode="External"/><Relationship Id="rId14" Type="http://schemas.openxmlformats.org/officeDocument/2006/relationships/hyperlink" Target="http://www.nevo.co.il/law/421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1371</Words>
  <Characters>6857</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8212</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4718676</vt:i4>
      </vt:variant>
      <vt:variant>
        <vt:i4>24</vt:i4>
      </vt:variant>
      <vt:variant>
        <vt:i4>0</vt:i4>
      </vt:variant>
      <vt:variant>
        <vt:i4>5</vt:i4>
      </vt:variant>
      <vt:variant>
        <vt:lpwstr>http://www.nevo.co.il/law/4216/40c.a</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7995492</vt:i4>
      </vt:variant>
      <vt:variant>
        <vt:i4>9</vt:i4>
      </vt:variant>
      <vt:variant>
        <vt:i4>0</vt:i4>
      </vt:variant>
      <vt:variant>
        <vt:i4>5</vt:i4>
      </vt:variant>
      <vt:variant>
        <vt:lpwstr>http://www.nevo.co.il/law/70301</vt:lpwstr>
      </vt:variant>
      <vt:variant>
        <vt:lpwstr/>
      </vt:variant>
      <vt:variant>
        <vt:i4>4718676</vt:i4>
      </vt:variant>
      <vt:variant>
        <vt:i4>6</vt:i4>
      </vt:variant>
      <vt:variant>
        <vt:i4>0</vt:i4>
      </vt:variant>
      <vt:variant>
        <vt:i4>5</vt:i4>
      </vt:variant>
      <vt:variant>
        <vt:lpwstr>http://www.nevo.co.il/law/4216/40c.a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2025-04-22T22:47:00Z</dcterms:created>
  <dcterms:modified xsi:type="dcterms:W3CDTF">2025-04-22T22:47:00Z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48247</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ח'אתם קדאח</vt:lpwstr>
  </property>
  <property fmtid="{D5CDD505-2E9C-101B-9397-08002B2CF9AE}" pid="10" name="LAWYER">
    <vt:lpwstr>הילה צמח כרמל</vt:lpwstr>
  </property>
  <property fmtid="{D5CDD505-2E9C-101B-9397-08002B2CF9AE}" pid="11" name="JUDGE">
    <vt:lpwstr>אביגיל זכריה</vt:lpwstr>
  </property>
  <property fmtid="{D5CDD505-2E9C-101B-9397-08002B2CF9AE}" pid="12" name="CITY">
    <vt:lpwstr>עכו</vt:lpwstr>
  </property>
  <property fmtid="{D5CDD505-2E9C-101B-9397-08002B2CF9AE}" pid="13" name="DATE">
    <vt:lpwstr>20160515</vt:lpwstr>
  </property>
  <property fmtid="{D5CDD505-2E9C-101B-9397-08002B2CF9AE}" pid="14" name="TYPE_N_DATE">
    <vt:lpwstr>38020160515</vt:lpwstr>
  </property>
  <property fmtid="{D5CDD505-2E9C-101B-9397-08002B2CF9AE}" pid="15" name="WORDNUMPAGES">
    <vt:lpwstr>6</vt:lpwstr>
  </property>
  <property fmtid="{D5CDD505-2E9C-101B-9397-08002B2CF9AE}" pid="16" name="TYPE_ABS_DATE">
    <vt:lpwstr>380020160515</vt:lpwstr>
  </property>
  <property fmtid="{D5CDD505-2E9C-101B-9397-08002B2CF9AE}" pid="17" name="ISABSTRACT">
    <vt:lpwstr>Y</vt:lpwstr>
  </property>
  <property fmtid="{D5CDD505-2E9C-101B-9397-08002B2CF9AE}" pid="18" name="LAWLISTTMP1">
    <vt:lpwstr>4216/006;040c.a</vt:lpwstr>
  </property>
  <property fmtid="{D5CDD505-2E9C-101B-9397-08002B2CF9AE}" pid="19" name="LAWLISTTMP2">
    <vt:lpwstr>70301/40ja</vt:lpwstr>
  </property>
</Properties>
</file>