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847095" w:rsidRPr="00196451" w14:paraId="326B727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557552C" w14:textId="77777777" w:rsidR="00847095" w:rsidRPr="00196451" w:rsidRDefault="00196451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9645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847095" w:rsidRPr="00196451" w14:paraId="1927B83C" w14:textId="77777777">
        <w:trPr>
          <w:trHeight w:val="337"/>
          <w:jc w:val="center"/>
        </w:trPr>
        <w:tc>
          <w:tcPr>
            <w:tcW w:w="3973" w:type="dxa"/>
          </w:tcPr>
          <w:p w14:paraId="5F1243D2" w14:textId="77777777" w:rsidR="00847095" w:rsidRPr="00196451" w:rsidRDefault="00196451">
            <w:pPr>
              <w:rPr>
                <w:b/>
                <w:bCs/>
                <w:sz w:val="26"/>
                <w:szCs w:val="26"/>
                <w:rtl/>
              </w:rPr>
            </w:pPr>
            <w:r w:rsidRPr="00196451">
              <w:rPr>
                <w:b/>
                <w:bCs/>
                <w:sz w:val="26"/>
                <w:szCs w:val="26"/>
                <w:rtl/>
              </w:rPr>
              <w:t>ת"פ</w:t>
            </w:r>
            <w:r w:rsidRPr="001964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96451">
              <w:rPr>
                <w:b/>
                <w:bCs/>
                <w:sz w:val="26"/>
                <w:szCs w:val="26"/>
                <w:rtl/>
              </w:rPr>
              <w:t>57133-07-15</w:t>
            </w:r>
            <w:r w:rsidRPr="001964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96451">
              <w:rPr>
                <w:b/>
                <w:bCs/>
                <w:sz w:val="26"/>
                <w:szCs w:val="26"/>
                <w:rtl/>
              </w:rPr>
              <w:t>פרקליטות מחוז מרכז נ' בניאת(עציר)</w:t>
            </w:r>
          </w:p>
          <w:p w14:paraId="5AC0C945" w14:textId="77777777" w:rsidR="00847095" w:rsidRPr="00196451" w:rsidRDefault="0084709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30F6512E" w14:textId="77777777" w:rsidR="00847095" w:rsidRPr="00196451" w:rsidRDefault="00847095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49527E0" w14:textId="77777777" w:rsidR="00847095" w:rsidRPr="00196451" w:rsidRDefault="0019645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96451">
              <w:rPr>
                <w:b/>
                <w:bCs/>
                <w:sz w:val="26"/>
                <w:szCs w:val="26"/>
                <w:rtl/>
              </w:rPr>
              <w:t>26 אוקטובר 2016</w:t>
            </w:r>
          </w:p>
        </w:tc>
      </w:tr>
    </w:tbl>
    <w:p w14:paraId="23D39304" w14:textId="77777777" w:rsidR="00847095" w:rsidRPr="00196451" w:rsidRDefault="00847095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6BBC34B" w14:textId="77777777" w:rsidR="00847095" w:rsidRPr="00196451" w:rsidRDefault="00847095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847095" w:rsidRPr="00196451" w14:paraId="35AFE8F7" w14:textId="77777777">
        <w:trPr>
          <w:trHeight w:val="337"/>
          <w:jc w:val="center"/>
        </w:trPr>
        <w:tc>
          <w:tcPr>
            <w:tcW w:w="1592" w:type="dxa"/>
          </w:tcPr>
          <w:p w14:paraId="6C3FC89E" w14:textId="77777777" w:rsidR="00847095" w:rsidRPr="00196451" w:rsidRDefault="00847095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66005453" w14:textId="77777777" w:rsidR="00847095" w:rsidRPr="00196451" w:rsidRDefault="00196451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hint="cs"/>
                <w:rtl/>
              </w:rPr>
              <w:t>57146-07-15</w:t>
            </w:r>
          </w:p>
        </w:tc>
      </w:tr>
    </w:tbl>
    <w:p w14:paraId="38892C64" w14:textId="77777777" w:rsidR="00847095" w:rsidRPr="00196451" w:rsidRDefault="00847095">
      <w:pPr>
        <w:spacing w:line="360" w:lineRule="auto"/>
        <w:jc w:val="both"/>
        <w:rPr>
          <w:rFonts w:ascii="Arial" w:hAnsi="Arial"/>
          <w:rtl/>
        </w:rPr>
      </w:pPr>
    </w:p>
    <w:p w14:paraId="0178B7F2" w14:textId="77777777" w:rsidR="00847095" w:rsidRPr="00196451" w:rsidRDefault="00847095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4"/>
        <w:gridCol w:w="2903"/>
        <w:gridCol w:w="2872"/>
        <w:gridCol w:w="82"/>
      </w:tblGrid>
      <w:tr w:rsidR="00847095" w:rsidRPr="00196451" w14:paraId="4539F9CE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0F357A8F" w14:textId="77777777" w:rsidR="00847095" w:rsidRPr="00196451" w:rsidRDefault="00196451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7" w:type="dxa"/>
            <w:gridSpan w:val="2"/>
            <w:shd w:val="clear" w:color="auto" w:fill="auto"/>
          </w:tcPr>
          <w:p w14:paraId="11AB89E8" w14:textId="77777777" w:rsidR="00847095" w:rsidRPr="00196451" w:rsidRDefault="00196451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2" w:type="dxa"/>
            <w:shd w:val="clear" w:color="auto" w:fill="auto"/>
          </w:tcPr>
          <w:p w14:paraId="7CD652F8" w14:textId="77777777" w:rsidR="00847095" w:rsidRPr="00196451" w:rsidRDefault="00847095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847095" w:rsidRPr="00196451" w14:paraId="39A106D3" w14:textId="77777777">
        <w:tc>
          <w:tcPr>
            <w:tcW w:w="2945" w:type="dxa"/>
            <w:gridSpan w:val="2"/>
            <w:shd w:val="clear" w:color="auto" w:fill="auto"/>
          </w:tcPr>
          <w:p w14:paraId="5C311FE3" w14:textId="77777777" w:rsidR="00847095" w:rsidRPr="00196451" w:rsidRDefault="0019645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19645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96451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63A12F50" w14:textId="77777777" w:rsidR="00847095" w:rsidRPr="00196451" w:rsidRDefault="0019645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96451">
              <w:rPr>
                <w:rFonts w:ascii="Times New Roman" w:eastAsia="Times New Roman" w:hAnsi="Times New Roman" w:hint="cs"/>
                <w:rtl/>
              </w:rPr>
              <w:t>פרקליטות מחוז מרכז</w:t>
            </w:r>
          </w:p>
        </w:tc>
      </w:tr>
      <w:bookmarkEnd w:id="1"/>
      <w:tr w:rsidR="00847095" w:rsidRPr="00196451" w14:paraId="41B6D197" w14:textId="77777777">
        <w:tc>
          <w:tcPr>
            <w:tcW w:w="8802" w:type="dxa"/>
            <w:gridSpan w:val="5"/>
            <w:shd w:val="clear" w:color="auto" w:fill="auto"/>
          </w:tcPr>
          <w:p w14:paraId="718FA2AB" w14:textId="77777777" w:rsidR="00847095" w:rsidRPr="00196451" w:rsidRDefault="00847095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E60680B" w14:textId="77777777" w:rsidR="00847095" w:rsidRPr="00196451" w:rsidRDefault="0019645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3843374" w14:textId="77777777" w:rsidR="00847095" w:rsidRPr="00196451" w:rsidRDefault="0084709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847095" w:rsidRPr="00196451" w14:paraId="63153A0A" w14:textId="77777777">
        <w:tc>
          <w:tcPr>
            <w:tcW w:w="2945" w:type="dxa"/>
            <w:gridSpan w:val="2"/>
            <w:shd w:val="clear" w:color="auto" w:fill="auto"/>
          </w:tcPr>
          <w:p w14:paraId="1D936FA4" w14:textId="77777777" w:rsidR="00847095" w:rsidRPr="00196451" w:rsidRDefault="0019645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96451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3C2E9BA1" w14:textId="77777777" w:rsidR="00847095" w:rsidRPr="00196451" w:rsidRDefault="0019645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96451">
              <w:rPr>
                <w:rFonts w:ascii="Times New Roman" w:eastAsia="Times New Roman" w:hAnsi="Times New Roman" w:hint="cs"/>
                <w:rtl/>
              </w:rPr>
              <w:t xml:space="preserve">עיד בניאת </w:t>
            </w:r>
          </w:p>
        </w:tc>
      </w:tr>
    </w:tbl>
    <w:p w14:paraId="40608792" w14:textId="77777777" w:rsidR="00847095" w:rsidRPr="00196451" w:rsidRDefault="00847095">
      <w:pPr>
        <w:spacing w:line="360" w:lineRule="auto"/>
        <w:jc w:val="both"/>
        <w:rPr>
          <w:rtl/>
        </w:rPr>
      </w:pPr>
    </w:p>
    <w:p w14:paraId="523DC222" w14:textId="77777777" w:rsidR="00847095" w:rsidRPr="00196451" w:rsidRDefault="00196451">
      <w:pPr>
        <w:spacing w:line="360" w:lineRule="auto"/>
        <w:jc w:val="both"/>
        <w:rPr>
          <w:sz w:val="6"/>
          <w:szCs w:val="6"/>
          <w:rtl/>
        </w:rPr>
      </w:pPr>
      <w:r w:rsidRPr="00196451">
        <w:rPr>
          <w:sz w:val="6"/>
          <w:szCs w:val="6"/>
          <w:rtl/>
        </w:rPr>
        <w:t>&lt;#1#&gt;</w:t>
      </w:r>
    </w:p>
    <w:p w14:paraId="264D60E1" w14:textId="77777777" w:rsidR="00847095" w:rsidRPr="00196451" w:rsidRDefault="00847095">
      <w:pPr>
        <w:pStyle w:val="12"/>
        <w:rPr>
          <w:b w:val="0"/>
          <w:bCs w:val="0"/>
          <w:u w:val="none"/>
          <w:rtl/>
        </w:rPr>
      </w:pPr>
    </w:p>
    <w:p w14:paraId="018A5901" w14:textId="77777777" w:rsidR="00847095" w:rsidRPr="00196451" w:rsidRDefault="00196451">
      <w:pPr>
        <w:rPr>
          <w:b/>
          <w:bCs/>
          <w:rtl/>
        </w:rPr>
      </w:pPr>
      <w:r w:rsidRPr="00196451">
        <w:rPr>
          <w:rFonts w:hint="cs"/>
          <w:b/>
          <w:bCs/>
          <w:rtl/>
        </w:rPr>
        <w:t>נוכחים:</w:t>
      </w:r>
    </w:p>
    <w:p w14:paraId="338536DC" w14:textId="77777777" w:rsidR="00847095" w:rsidRPr="00196451" w:rsidRDefault="00196451">
      <w:pPr>
        <w:rPr>
          <w:b/>
          <w:bCs/>
          <w:rtl/>
        </w:rPr>
      </w:pPr>
      <w:bookmarkStart w:id="2" w:name="FirstLawyer"/>
      <w:r w:rsidRPr="00196451">
        <w:rPr>
          <w:rFonts w:hint="cs"/>
          <w:b/>
          <w:bCs/>
          <w:rtl/>
        </w:rPr>
        <w:t>ב"כ</w:t>
      </w:r>
      <w:bookmarkEnd w:id="2"/>
      <w:r w:rsidRPr="00196451">
        <w:rPr>
          <w:rFonts w:hint="cs"/>
          <w:b/>
          <w:bCs/>
          <w:rtl/>
        </w:rPr>
        <w:t xml:space="preserve"> המאשימה עו"ד אירית חכמון </w:t>
      </w:r>
    </w:p>
    <w:p w14:paraId="189651F1" w14:textId="77777777" w:rsidR="00847095" w:rsidRPr="00196451" w:rsidRDefault="00196451">
      <w:pPr>
        <w:rPr>
          <w:b/>
          <w:bCs/>
          <w:rtl/>
        </w:rPr>
      </w:pPr>
      <w:r w:rsidRPr="00196451">
        <w:rPr>
          <w:rFonts w:hint="cs"/>
          <w:b/>
          <w:bCs/>
          <w:rtl/>
        </w:rPr>
        <w:t xml:space="preserve">הנאשם וב"כ עו"ד    שרון אלי </w:t>
      </w:r>
    </w:p>
    <w:p w14:paraId="59D25C7C" w14:textId="77777777" w:rsidR="00847095" w:rsidRPr="00196451" w:rsidRDefault="00847095">
      <w:pPr>
        <w:rPr>
          <w:rtl/>
        </w:rPr>
      </w:pPr>
    </w:p>
    <w:p w14:paraId="7632DFA4" w14:textId="77777777" w:rsidR="00847095" w:rsidRPr="00196451" w:rsidRDefault="00847095">
      <w:pPr>
        <w:pStyle w:val="12"/>
        <w:rPr>
          <w:b w:val="0"/>
          <w:bCs w:val="0"/>
          <w:u w:val="none"/>
          <w:rtl/>
        </w:rPr>
      </w:pPr>
    </w:p>
    <w:p w14:paraId="18BA8FF7" w14:textId="77777777" w:rsidR="00566EE3" w:rsidRDefault="00196451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196451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831B419" w14:textId="77777777" w:rsidR="00566EE3" w:rsidRPr="00566EE3" w:rsidRDefault="00566EE3" w:rsidP="00566EE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5D6F3DB" w14:textId="77777777" w:rsidR="00566EE3" w:rsidRPr="00566EE3" w:rsidRDefault="00566EE3" w:rsidP="00566EE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66EE3">
        <w:rPr>
          <w:rFonts w:ascii="FrankRuehl" w:hAnsi="FrankRuehl" w:cs="FrankRuehl"/>
          <w:rtl/>
        </w:rPr>
        <w:t xml:space="preserve">חקיקה שאוזכרה: </w:t>
      </w:r>
    </w:p>
    <w:p w14:paraId="1255EB0F" w14:textId="77777777" w:rsidR="00566EE3" w:rsidRPr="00566EE3" w:rsidRDefault="00566EE3" w:rsidP="00566EE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566EE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05275168" w14:textId="77777777" w:rsidR="00566EE3" w:rsidRPr="00566EE3" w:rsidRDefault="00566EE3" w:rsidP="00566EE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66EE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06AA3AD" w14:textId="77777777" w:rsidR="00196451" w:rsidRPr="00196451" w:rsidRDefault="00196451" w:rsidP="0019645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196451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2615F3B9" w14:textId="77777777" w:rsidR="00847095" w:rsidRDefault="00847095">
      <w:pPr>
        <w:spacing w:line="360" w:lineRule="auto"/>
        <w:jc w:val="both"/>
        <w:rPr>
          <w:rFonts w:ascii="Arial" w:hAnsi="Arial"/>
          <w:rtl/>
        </w:rPr>
      </w:pPr>
    </w:p>
    <w:p w14:paraId="3333CBD0" w14:textId="77777777" w:rsidR="00847095" w:rsidRDefault="0019645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196451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651EA89A" w14:textId="77777777" w:rsidR="00847095" w:rsidRDefault="00847095">
      <w:pPr>
        <w:suppressLineNumbers/>
        <w:jc w:val="both"/>
        <w:rPr>
          <w:b/>
          <w:bCs/>
          <w:rtl/>
        </w:rPr>
      </w:pPr>
    </w:p>
    <w:p w14:paraId="64370511" w14:textId="77777777" w:rsidR="00847095" w:rsidRDefault="00196451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6 חודשי מאסר. </w:t>
      </w:r>
    </w:p>
    <w:p w14:paraId="2DCA574F" w14:textId="77777777" w:rsidR="00847095" w:rsidRDefault="00196451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עונש המאסר ירוצה בעבודות שרות כפי כחוות דעת הממונה על עבודות שרות בשב"ס שעותק ממנה מצוי בידי הנאשם, הוא יודע פרטיה לרבות ובמיוחד מועד תחילת העבודות.</w:t>
      </w:r>
    </w:p>
    <w:p w14:paraId="46844E63" w14:textId="77777777" w:rsidR="00847095" w:rsidRDefault="00196451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הואיל ומועד תחילת העבודות חלף הרי אני קובע כי הנאשם יחל ריצוי עבודות שרות ביום 1/11/2016. </w:t>
      </w:r>
    </w:p>
    <w:p w14:paraId="5CBFF9E4" w14:textId="77777777" w:rsidR="00847095" w:rsidRDefault="00847095">
      <w:pPr>
        <w:suppressLineNumbers/>
        <w:jc w:val="both"/>
        <w:rPr>
          <w:b/>
          <w:bCs/>
          <w:rtl/>
        </w:rPr>
      </w:pPr>
    </w:p>
    <w:p w14:paraId="4BE27612" w14:textId="77777777" w:rsidR="00847095" w:rsidRDefault="00196451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מאסר על תנאי והתנאי הוא שבמשך שלוש שנים מהיום לא יעבור הנאשם עבירה על </w:t>
      </w:r>
      <w:hyperlink r:id="rId9" w:history="1">
        <w:r w:rsidRPr="00196451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49D86D00" w14:textId="77777777" w:rsidR="00847095" w:rsidRDefault="00847095">
      <w:pPr>
        <w:suppressLineNumbers/>
        <w:jc w:val="both"/>
        <w:rPr>
          <w:b/>
          <w:bCs/>
          <w:rtl/>
        </w:rPr>
      </w:pPr>
    </w:p>
    <w:p w14:paraId="0EDA7863" w14:textId="77777777" w:rsidR="00847095" w:rsidRDefault="00196451">
      <w:pPr>
        <w:suppressLineNumbers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מחייב את הנאשם להיות בפיקוח שרות המבחן למשך שנה. </w:t>
      </w:r>
    </w:p>
    <w:p w14:paraId="6E492A34" w14:textId="77777777" w:rsidR="00847095" w:rsidRDefault="00847095">
      <w:pPr>
        <w:suppressLineNumbers/>
        <w:jc w:val="both"/>
        <w:rPr>
          <w:b/>
          <w:bCs/>
          <w:rtl/>
        </w:rPr>
      </w:pPr>
    </w:p>
    <w:p w14:paraId="07E50E98" w14:textId="77777777" w:rsidR="00847095" w:rsidRDefault="0019645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מחייב את הנאשם לחתום על התחייבות בסך 2,000 ₪ לפיה יתחייב שבמשך שלוש שנים מהיום לא יעבור על </w:t>
      </w:r>
      <w:hyperlink r:id="rId10" w:history="1">
        <w:r w:rsidRPr="00196451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796DA0E0" w14:textId="77777777" w:rsidR="00847095" w:rsidRDefault="0019645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לא יחתום על ההתחייבות ייאסר למשך 7 ימים. </w:t>
      </w:r>
    </w:p>
    <w:p w14:paraId="7DC1B266" w14:textId="77777777" w:rsidR="00847095" w:rsidRDefault="00847095">
      <w:pPr>
        <w:jc w:val="both"/>
        <w:rPr>
          <w:b/>
          <w:bCs/>
          <w:rtl/>
        </w:rPr>
      </w:pPr>
    </w:p>
    <w:p w14:paraId="0AE5EB2B" w14:textId="77777777" w:rsidR="00847095" w:rsidRDefault="0019645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ככל שהופקד סכום כסף כערובה לשחרור הנאשם בתיק </w:t>
      </w:r>
      <w:hyperlink r:id="rId11" w:history="1">
        <w:r w:rsidRPr="00196451">
          <w:rPr>
            <w:b/>
            <w:bCs/>
            <w:color w:val="0000FF"/>
            <w:u w:val="single"/>
            <w:rtl/>
          </w:rPr>
          <w:t>מ"ת 57146-07-15</w:t>
        </w:r>
      </w:hyperlink>
      <w:r>
        <w:rPr>
          <w:rFonts w:hint="cs"/>
          <w:b/>
          <w:bCs/>
          <w:rtl/>
        </w:rPr>
        <w:t xml:space="preserve">, הרי הסכום יוחזר לידיו של עו"ד שאדי כבהה. </w:t>
      </w:r>
    </w:p>
    <w:p w14:paraId="317B8AB1" w14:textId="77777777" w:rsidR="00847095" w:rsidRDefault="00847095">
      <w:pPr>
        <w:jc w:val="both"/>
        <w:rPr>
          <w:b/>
          <w:bCs/>
          <w:rtl/>
        </w:rPr>
      </w:pPr>
    </w:p>
    <w:p w14:paraId="6B84795F" w14:textId="77777777" w:rsidR="00847095" w:rsidRDefault="0019645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המוצגים יושמדו. </w:t>
      </w:r>
    </w:p>
    <w:p w14:paraId="54311FE1" w14:textId="77777777" w:rsidR="00847095" w:rsidRDefault="00847095">
      <w:pPr>
        <w:jc w:val="both"/>
        <w:rPr>
          <w:b/>
          <w:bCs/>
          <w:rtl/>
        </w:rPr>
      </w:pPr>
    </w:p>
    <w:p w14:paraId="7BA0EA01" w14:textId="77777777" w:rsidR="00847095" w:rsidRDefault="0019645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על המזכירות לשלוח העתק הפרוטוקול לשרות המבחן.</w:t>
      </w:r>
    </w:p>
    <w:p w14:paraId="673E1E73" w14:textId="77777777" w:rsidR="00847095" w:rsidRDefault="00847095">
      <w:pPr>
        <w:rPr>
          <w:b/>
          <w:bCs/>
          <w:u w:val="single"/>
          <w:rtl/>
        </w:rPr>
      </w:pPr>
    </w:p>
    <w:p w14:paraId="552305CE" w14:textId="77777777" w:rsidR="00847095" w:rsidRDefault="0019645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על המזכירות לשלוח העתק הפרוטוקול לממונה על עבודות שרות בשב"ס.</w:t>
      </w:r>
    </w:p>
    <w:p w14:paraId="3BA29C7C" w14:textId="77777777" w:rsidR="00847095" w:rsidRDefault="00847095">
      <w:pPr>
        <w:rPr>
          <w:b/>
          <w:bCs/>
          <w:rtl/>
        </w:rPr>
      </w:pPr>
    </w:p>
    <w:p w14:paraId="685A030E" w14:textId="77777777" w:rsidR="00847095" w:rsidRDefault="00196451">
      <w:pPr>
        <w:rPr>
          <w:b/>
          <w:bCs/>
          <w:sz w:val="6"/>
          <w:szCs w:val="6"/>
          <w:rtl/>
        </w:rPr>
      </w:pPr>
      <w:r>
        <w:rPr>
          <w:rFonts w:hint="cs"/>
          <w:b/>
          <w:bCs/>
          <w:rtl/>
        </w:rPr>
        <w:t>זכות ערעור תוך 45 יום מהיום.</w:t>
      </w:r>
      <w:r>
        <w:rPr>
          <w:b/>
          <w:bCs/>
          <w:sz w:val="6"/>
          <w:szCs w:val="6"/>
          <w:rtl/>
        </w:rPr>
        <w:t>&lt;#3#&gt;</w:t>
      </w:r>
    </w:p>
    <w:p w14:paraId="60343143" w14:textId="77777777" w:rsidR="00847095" w:rsidRPr="00196451" w:rsidRDefault="00196451">
      <w:pPr>
        <w:jc w:val="right"/>
        <w:rPr>
          <w:color w:val="FFFFFF"/>
          <w:sz w:val="2"/>
          <w:szCs w:val="2"/>
          <w:rtl/>
        </w:rPr>
      </w:pPr>
      <w:r w:rsidRPr="00196451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47095" w14:paraId="6CCA0FAE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D52B6DF" w14:textId="77777777" w:rsidR="00847095" w:rsidRDefault="001964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96451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כ"ד תשרי תשע"ז, 26/10/2016 במעמד הנוכחים. </w:t>
            </w:r>
          </w:p>
          <w:p w14:paraId="793E798D" w14:textId="77777777" w:rsidR="00847095" w:rsidRDefault="00847095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47095" w14:paraId="0AA3473F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EC870FC" w14:textId="77777777" w:rsidR="00847095" w:rsidRDefault="0019645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4F0EB3E" w14:textId="77777777" w:rsidR="00847095" w:rsidRDefault="00847095">
      <w:pPr>
        <w:jc w:val="right"/>
        <w:rPr>
          <w:rtl/>
        </w:rPr>
      </w:pPr>
    </w:p>
    <w:p w14:paraId="197D7B93" w14:textId="77777777" w:rsidR="00847095" w:rsidRDefault="00566EE3">
      <w:r w:rsidRPr="00566EE3">
        <w:rPr>
          <w:color w:val="FFFFFF"/>
          <w:sz w:val="2"/>
          <w:szCs w:val="2"/>
          <w:rtl/>
        </w:rPr>
        <w:t>5129371</w:t>
      </w:r>
      <w:r w:rsidR="00196451">
        <w:rPr>
          <w:rtl/>
        </w:rPr>
        <w:t>הוקלד</w:t>
      </w:r>
      <w:r w:rsidR="00196451">
        <w:t xml:space="preserve"> </w:t>
      </w:r>
      <w:r w:rsidR="00196451">
        <w:rPr>
          <w:rtl/>
        </w:rPr>
        <w:t>על</w:t>
      </w:r>
      <w:r w:rsidR="00196451">
        <w:t xml:space="preserve"> </w:t>
      </w:r>
      <w:r w:rsidR="00196451">
        <w:rPr>
          <w:rtl/>
        </w:rPr>
        <w:t>ידי</w:t>
      </w:r>
      <w:r w:rsidR="00196451">
        <w:t xml:space="preserve"> </w:t>
      </w:r>
      <w:r w:rsidR="00196451">
        <w:rPr>
          <w:rtl/>
        </w:rPr>
        <w:t>יפעת</w:t>
      </w:r>
      <w:r w:rsidR="00196451">
        <w:t xml:space="preserve"> </w:t>
      </w:r>
      <w:r w:rsidR="00196451">
        <w:rPr>
          <w:rtl/>
        </w:rPr>
        <w:t>מינאי</w:t>
      </w:r>
    </w:p>
    <w:p w14:paraId="7DFA65E7" w14:textId="77777777" w:rsidR="00196451" w:rsidRPr="00566EE3" w:rsidRDefault="00566EE3" w:rsidP="00196451">
      <w:pPr>
        <w:keepNext/>
        <w:rPr>
          <w:color w:val="FFFFFF"/>
          <w:sz w:val="2"/>
          <w:szCs w:val="2"/>
          <w:rtl/>
        </w:rPr>
      </w:pPr>
      <w:r w:rsidRPr="00566EE3">
        <w:rPr>
          <w:color w:val="FFFFFF"/>
          <w:sz w:val="2"/>
          <w:szCs w:val="2"/>
          <w:rtl/>
        </w:rPr>
        <w:t>54678313</w:t>
      </w:r>
    </w:p>
    <w:p w14:paraId="0A245545" w14:textId="77777777" w:rsidR="00196451" w:rsidRPr="00196451" w:rsidRDefault="00196451" w:rsidP="00196451">
      <w:pPr>
        <w:keepNext/>
        <w:rPr>
          <w:color w:val="000000"/>
          <w:sz w:val="22"/>
          <w:szCs w:val="22"/>
          <w:rtl/>
        </w:rPr>
      </w:pPr>
      <w:r w:rsidRPr="00196451">
        <w:rPr>
          <w:color w:val="000000"/>
          <w:sz w:val="22"/>
          <w:szCs w:val="22"/>
          <w:rtl/>
        </w:rPr>
        <w:t>אברהם הימן 54678313</w:t>
      </w:r>
    </w:p>
    <w:p w14:paraId="2EE7DF68" w14:textId="77777777" w:rsidR="00196451" w:rsidRDefault="00196451" w:rsidP="00196451">
      <w:r w:rsidRPr="00196451">
        <w:rPr>
          <w:color w:val="000000"/>
          <w:rtl/>
        </w:rPr>
        <w:t>נוסח מסמך זה כפוף לשינויי ניסוח ועריכה</w:t>
      </w:r>
    </w:p>
    <w:p w14:paraId="10725A1F" w14:textId="77777777" w:rsidR="00196451" w:rsidRDefault="00196451" w:rsidP="00196451">
      <w:pPr>
        <w:rPr>
          <w:rtl/>
        </w:rPr>
      </w:pPr>
    </w:p>
    <w:p w14:paraId="0DF819BA" w14:textId="77777777" w:rsidR="00196451" w:rsidRDefault="00196451" w:rsidP="00196451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1FFAC79" w14:textId="77777777" w:rsidR="00566EE3" w:rsidRPr="00566EE3" w:rsidRDefault="00566EE3" w:rsidP="00566EE3">
      <w:pPr>
        <w:keepNext/>
        <w:rPr>
          <w:color w:val="000000"/>
          <w:sz w:val="22"/>
          <w:szCs w:val="22"/>
          <w:rtl/>
        </w:rPr>
      </w:pPr>
    </w:p>
    <w:p w14:paraId="48883E67" w14:textId="77777777" w:rsidR="00847095" w:rsidRPr="00196451" w:rsidRDefault="00847095" w:rsidP="00566EE3">
      <w:pPr>
        <w:rPr>
          <w:color w:val="0000FF"/>
          <w:u w:val="single"/>
        </w:rPr>
      </w:pPr>
    </w:p>
    <w:sectPr w:rsidR="00847095" w:rsidRPr="00196451" w:rsidSect="00566EE3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A3508" w14:textId="77777777" w:rsidR="005018EE" w:rsidRDefault="005018EE">
      <w:r>
        <w:separator/>
      </w:r>
    </w:p>
  </w:endnote>
  <w:endnote w:type="continuationSeparator" w:id="0">
    <w:p w14:paraId="4569E95F" w14:textId="77777777" w:rsidR="005018EE" w:rsidRDefault="0050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230B" w14:textId="77777777" w:rsidR="005018EE" w:rsidRDefault="005018EE" w:rsidP="00566EE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8FC3CFB" w14:textId="77777777" w:rsidR="005018EE" w:rsidRPr="00566EE3" w:rsidRDefault="005018EE" w:rsidP="00566EE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66EE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F83EF" w14:textId="77777777" w:rsidR="005018EE" w:rsidRDefault="005018EE" w:rsidP="00566EE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B33E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6C52E68" w14:textId="77777777" w:rsidR="005018EE" w:rsidRPr="00566EE3" w:rsidRDefault="005018EE" w:rsidP="00566EE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66EE3">
      <w:rPr>
        <w:rFonts w:ascii="FrankRuehl" w:hAnsi="FrankRuehl" w:cs="FrankRuehl"/>
        <w:color w:val="000000"/>
      </w:rPr>
      <w:pict w14:anchorId="1AD5CF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F76CC" w14:textId="77777777" w:rsidR="005018EE" w:rsidRDefault="005018EE">
      <w:r>
        <w:separator/>
      </w:r>
    </w:p>
  </w:footnote>
  <w:footnote w:type="continuationSeparator" w:id="0">
    <w:p w14:paraId="289DC01B" w14:textId="77777777" w:rsidR="005018EE" w:rsidRDefault="00501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B12E5" w14:textId="77777777" w:rsidR="005018EE" w:rsidRPr="00566EE3" w:rsidRDefault="005018EE" w:rsidP="00566EE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57133-07-15</w:t>
    </w:r>
    <w:r>
      <w:rPr>
        <w:color w:val="000000"/>
        <w:sz w:val="22"/>
        <w:szCs w:val="22"/>
        <w:rtl/>
      </w:rPr>
      <w:tab/>
      <w:t xml:space="preserve"> פרקליטות מחוז מרכז נ' עיד בניאת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494C9" w14:textId="77777777" w:rsidR="005018EE" w:rsidRPr="00566EE3" w:rsidRDefault="005018EE" w:rsidP="00566EE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57133-07-15</w:t>
    </w:r>
    <w:r>
      <w:rPr>
        <w:color w:val="000000"/>
        <w:sz w:val="22"/>
        <w:szCs w:val="22"/>
        <w:rtl/>
      </w:rPr>
      <w:tab/>
      <w:t xml:space="preserve"> פרקליטות מחוז מרכז נ' עיד בניאת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47095"/>
    <w:rsid w:val="00196451"/>
    <w:rsid w:val="001F3E54"/>
    <w:rsid w:val="002B33E0"/>
    <w:rsid w:val="002C2A5D"/>
    <w:rsid w:val="005018EE"/>
    <w:rsid w:val="00566EE3"/>
    <w:rsid w:val="007F1CA1"/>
    <w:rsid w:val="00847095"/>
    <w:rsid w:val="00D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156C6E"/>
  <w15:chartTrackingRefBased/>
  <w15:docId w15:val="{A9AE39F0-529C-4195-89FC-005AE88E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28C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D28C1"/>
  </w:style>
  <w:style w:type="paragraph" w:styleId="a4">
    <w:name w:val="header"/>
    <w:basedOn w:val="a"/>
    <w:rsid w:val="004D28C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D28C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D28C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D28C1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196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047359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2168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3932278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http://www.nevo.co.il/case/20473596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2025-04-22T22:48:00Z</dcterms:created>
  <dcterms:modified xsi:type="dcterms:W3CDTF">2025-04-22T22:48:00Z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57133</vt:lpwstr>
  </property>
  <property fmtid="{D5CDD505-2E9C-101B-9397-08002B2CF9AE}" pid="6" name="NEWPARTB">
    <vt:lpwstr>07</vt:lpwstr>
  </property>
  <property fmtid="{D5CDD505-2E9C-101B-9397-08002B2CF9AE}" pid="7" name="NEWPARTC">
    <vt:lpwstr>15</vt:lpwstr>
  </property>
  <property fmtid="{D5CDD505-2E9C-101B-9397-08002B2CF9AE}" pid="8" name="APPELLANT">
    <vt:lpwstr>פרקליטות מחוז מרכז</vt:lpwstr>
  </property>
  <property fmtid="{D5CDD505-2E9C-101B-9397-08002B2CF9AE}" pid="9" name="APPELLEE">
    <vt:lpwstr>עיד בניאת</vt:lpwstr>
  </property>
  <property fmtid="{D5CDD505-2E9C-101B-9397-08002B2CF9AE}" pid="10" name="LAWYER">
    <vt:lpwstr>אירית חכמון;שרון אלי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20161026</vt:lpwstr>
  </property>
  <property fmtid="{D5CDD505-2E9C-101B-9397-08002B2CF9AE}" pid="14" name="TYPE_N_DATE">
    <vt:lpwstr>38020161026</vt:lpwstr>
  </property>
  <property fmtid="{D5CDD505-2E9C-101B-9397-08002B2CF9AE}" pid="15" name="CASESLISTTMP1">
    <vt:lpwstr>20473596</vt:lpwstr>
  </property>
  <property fmtid="{D5CDD505-2E9C-101B-9397-08002B2CF9AE}" pid="16" name="WORDNUMPAGES">
    <vt:lpwstr>2</vt:lpwstr>
  </property>
  <property fmtid="{D5CDD505-2E9C-101B-9397-08002B2CF9AE}" pid="17" name="TYPE_ABS_DATE">
    <vt:lpwstr>380020161026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</vt:lpwstr>
  </property>
  <property fmtid="{D5CDD505-2E9C-101B-9397-08002B2CF9AE}" pid="36" name="LAWLISTTMP2">
    <vt:lpwstr>4216:2</vt:lpwstr>
  </property>
</Properties>
</file>