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142677" w:rsidRPr="00D077F5" w14:paraId="0602536B" w14:textId="77777777">
        <w:trPr>
          <w:trHeight w:hRule="exact" w:val="418"/>
          <w:jc w:val="center"/>
        </w:trPr>
        <w:tc>
          <w:tcPr>
            <w:tcW w:w="8721" w:type="dxa"/>
            <w:gridSpan w:val="2"/>
          </w:tcPr>
          <w:p w14:paraId="400B211E" w14:textId="77777777" w:rsidR="00142677" w:rsidRPr="00D077F5" w:rsidRDefault="00142677" w:rsidP="00D077F5">
            <w:pPr>
              <w:pStyle w:val="a3"/>
              <w:jc w:val="center"/>
              <w:rPr>
                <w:rFonts w:ascii="Tahoma" w:hAnsi="Tahoma" w:cs="Tahoma"/>
                <w:color w:val="000080"/>
                <w:rtl/>
              </w:rPr>
            </w:pPr>
            <w:r w:rsidRPr="00D077F5">
              <w:rPr>
                <w:rFonts w:ascii="Tahoma" w:hAnsi="Tahoma" w:cs="Tahoma"/>
                <w:b/>
                <w:bCs/>
                <w:color w:val="000080"/>
                <w:rtl/>
              </w:rPr>
              <w:t>בית משפט השלום בירושלים</w:t>
            </w:r>
          </w:p>
        </w:tc>
      </w:tr>
      <w:tr w:rsidR="00142677" w:rsidRPr="00D077F5" w14:paraId="239006E1" w14:textId="77777777">
        <w:trPr>
          <w:trHeight w:val="337"/>
          <w:jc w:val="center"/>
        </w:trPr>
        <w:tc>
          <w:tcPr>
            <w:tcW w:w="5053" w:type="dxa"/>
          </w:tcPr>
          <w:p w14:paraId="2246E958" w14:textId="77777777" w:rsidR="00142677" w:rsidRPr="00D077F5" w:rsidRDefault="00142677" w:rsidP="00D077F5">
            <w:pPr>
              <w:rPr>
                <w:rFonts w:cs="FrankRuehl"/>
                <w:sz w:val="28"/>
                <w:szCs w:val="28"/>
                <w:rtl/>
              </w:rPr>
            </w:pPr>
            <w:r w:rsidRPr="00D077F5">
              <w:rPr>
                <w:rFonts w:cs="FrankRuehl"/>
                <w:sz w:val="28"/>
                <w:szCs w:val="28"/>
                <w:rtl/>
              </w:rPr>
              <w:t>ת"פ</w:t>
            </w:r>
            <w:r w:rsidRPr="00D077F5">
              <w:rPr>
                <w:rFonts w:cs="FrankRuehl" w:hint="cs"/>
                <w:sz w:val="28"/>
                <w:szCs w:val="28"/>
                <w:rtl/>
              </w:rPr>
              <w:t xml:space="preserve"> </w:t>
            </w:r>
            <w:r w:rsidRPr="00D077F5">
              <w:rPr>
                <w:rFonts w:cs="FrankRuehl"/>
                <w:sz w:val="28"/>
                <w:szCs w:val="28"/>
                <w:rtl/>
              </w:rPr>
              <w:t>6660-07-15</w:t>
            </w:r>
            <w:r w:rsidRPr="00D077F5">
              <w:rPr>
                <w:rFonts w:cs="FrankRuehl" w:hint="cs"/>
                <w:sz w:val="28"/>
                <w:szCs w:val="28"/>
                <w:rtl/>
              </w:rPr>
              <w:t xml:space="preserve"> </w:t>
            </w:r>
            <w:r w:rsidRPr="00D077F5">
              <w:rPr>
                <w:rFonts w:cs="FrankRuehl"/>
                <w:sz w:val="28"/>
                <w:szCs w:val="28"/>
                <w:rtl/>
              </w:rPr>
              <w:t>מדינת ישראל נ' בוחניק(עצור בפיקוח)</w:t>
            </w:r>
          </w:p>
          <w:p w14:paraId="157294A9" w14:textId="77777777" w:rsidR="00142677" w:rsidRPr="00D077F5" w:rsidRDefault="00142677" w:rsidP="00D077F5">
            <w:pPr>
              <w:pStyle w:val="a3"/>
              <w:rPr>
                <w:rtl/>
              </w:rPr>
            </w:pPr>
          </w:p>
          <w:p w14:paraId="67BDDA01" w14:textId="77777777" w:rsidR="00142677" w:rsidRPr="00D077F5" w:rsidRDefault="00142677" w:rsidP="00D077F5">
            <w:pPr>
              <w:pStyle w:val="a3"/>
              <w:rPr>
                <w:rFonts w:cs="FrankRuehl"/>
                <w:sz w:val="28"/>
                <w:szCs w:val="28"/>
                <w:rtl/>
              </w:rPr>
            </w:pPr>
          </w:p>
        </w:tc>
        <w:tc>
          <w:tcPr>
            <w:tcW w:w="3668" w:type="dxa"/>
          </w:tcPr>
          <w:p w14:paraId="7961448E" w14:textId="77777777" w:rsidR="00142677" w:rsidRPr="00D077F5" w:rsidRDefault="00142677" w:rsidP="00D077F5">
            <w:pPr>
              <w:pStyle w:val="a3"/>
              <w:jc w:val="right"/>
              <w:rPr>
                <w:rFonts w:cs="FrankRuehl"/>
                <w:sz w:val="28"/>
                <w:szCs w:val="28"/>
                <w:rtl/>
              </w:rPr>
            </w:pPr>
            <w:r w:rsidRPr="00D077F5">
              <w:rPr>
                <w:rFonts w:cs="FrankRuehl"/>
                <w:sz w:val="28"/>
                <w:szCs w:val="28"/>
                <w:rtl/>
              </w:rPr>
              <w:t>06 ינואר 2016</w:t>
            </w:r>
          </w:p>
        </w:tc>
      </w:tr>
    </w:tbl>
    <w:p w14:paraId="6764B2FD" w14:textId="77777777" w:rsidR="00142677" w:rsidRPr="00D077F5" w:rsidRDefault="00142677" w:rsidP="00142677">
      <w:pPr>
        <w:pStyle w:val="a3"/>
        <w:rPr>
          <w:rtl/>
        </w:rPr>
      </w:pPr>
      <w:r w:rsidRPr="00D077F5">
        <w:rPr>
          <w:rFonts w:hint="cs"/>
          <w:rtl/>
        </w:rPr>
        <w:t xml:space="preserve"> </w:t>
      </w:r>
    </w:p>
    <w:p w14:paraId="1D33782B" w14:textId="77777777" w:rsidR="00142677" w:rsidRPr="00D077F5" w:rsidRDefault="00142677" w:rsidP="00107069">
      <w:pPr>
        <w:pStyle w:val="a3"/>
      </w:pPr>
      <w:r w:rsidRPr="00D077F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42677" w:rsidRPr="00D077F5" w14:paraId="559BEC89" w14:textId="77777777">
        <w:trPr>
          <w:trHeight w:val="295"/>
          <w:jc w:val="center"/>
        </w:trPr>
        <w:tc>
          <w:tcPr>
            <w:tcW w:w="923" w:type="dxa"/>
            <w:tcBorders>
              <w:top w:val="nil"/>
              <w:left w:val="nil"/>
              <w:bottom w:val="nil"/>
              <w:right w:val="nil"/>
            </w:tcBorders>
            <w:shd w:val="clear" w:color="auto" w:fill="auto"/>
          </w:tcPr>
          <w:p w14:paraId="5A95BE72" w14:textId="77777777" w:rsidR="00142677" w:rsidRPr="00D077F5" w:rsidRDefault="00142677" w:rsidP="00D077F5">
            <w:pPr>
              <w:jc w:val="both"/>
              <w:rPr>
                <w:rFonts w:ascii="Arial" w:hAnsi="Arial" w:cs="FrankRuehl"/>
                <w:sz w:val="28"/>
                <w:szCs w:val="28"/>
              </w:rPr>
            </w:pPr>
            <w:r w:rsidRPr="00D077F5">
              <w:rPr>
                <w:rFonts w:ascii="Arial" w:hAnsi="Arial" w:cs="FrankRuehl" w:hint="cs"/>
                <w:sz w:val="28"/>
                <w:szCs w:val="28"/>
                <w:rtl/>
              </w:rPr>
              <w:t>ב</w:t>
            </w:r>
            <w:r w:rsidRPr="00D077F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DB7F76D" w14:textId="77777777" w:rsidR="00142677" w:rsidRPr="00D077F5" w:rsidRDefault="00142677" w:rsidP="00D077F5">
            <w:pPr>
              <w:rPr>
                <w:rFonts w:ascii="Arial" w:hAnsi="Arial"/>
                <w:b/>
                <w:bCs/>
              </w:rPr>
            </w:pPr>
            <w:r w:rsidRPr="00D077F5">
              <w:rPr>
                <w:rFonts w:ascii="Arial" w:hAnsi="Arial" w:hint="cs"/>
                <w:b/>
                <w:bCs/>
                <w:rtl/>
              </w:rPr>
              <w:t>כב' השופטת חגית מאק-קלמנוביץ, ס. נשיא</w:t>
            </w:r>
          </w:p>
        </w:tc>
      </w:tr>
      <w:tr w:rsidR="00142677" w:rsidRPr="00D077F5" w14:paraId="5ACFA22E" w14:textId="77777777">
        <w:trPr>
          <w:trHeight w:val="355"/>
          <w:jc w:val="center"/>
        </w:trPr>
        <w:tc>
          <w:tcPr>
            <w:tcW w:w="923" w:type="dxa"/>
            <w:tcBorders>
              <w:top w:val="nil"/>
              <w:left w:val="nil"/>
              <w:bottom w:val="nil"/>
              <w:right w:val="nil"/>
            </w:tcBorders>
            <w:shd w:val="clear" w:color="auto" w:fill="auto"/>
          </w:tcPr>
          <w:p w14:paraId="59CE18BD" w14:textId="77777777" w:rsidR="00142677" w:rsidRPr="00D077F5" w:rsidRDefault="00142677" w:rsidP="00D077F5">
            <w:pPr>
              <w:jc w:val="both"/>
              <w:rPr>
                <w:rFonts w:ascii="Arial" w:hAnsi="Arial"/>
                <w:b/>
                <w:bCs/>
                <w:sz w:val="28"/>
                <w:szCs w:val="28"/>
                <w:rtl/>
              </w:rPr>
            </w:pPr>
            <w:bookmarkStart w:id="0" w:name="FirstAppellant"/>
            <w:bookmarkStart w:id="1" w:name="LastJudge"/>
            <w:bookmarkEnd w:id="1"/>
          </w:p>
          <w:p w14:paraId="5297E3C0" w14:textId="77777777" w:rsidR="00142677" w:rsidRPr="00D077F5" w:rsidRDefault="00142677" w:rsidP="00D077F5">
            <w:pPr>
              <w:jc w:val="both"/>
              <w:rPr>
                <w:rFonts w:ascii="Arial" w:hAnsi="Arial"/>
                <w:b/>
                <w:bCs/>
                <w:sz w:val="28"/>
                <w:szCs w:val="28"/>
              </w:rPr>
            </w:pPr>
            <w:r w:rsidRPr="00D077F5">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8091578" w14:textId="77777777" w:rsidR="00142677" w:rsidRPr="00D077F5" w:rsidRDefault="00142677" w:rsidP="00D077F5">
            <w:pPr>
              <w:jc w:val="both"/>
              <w:rPr>
                <w:rFonts w:ascii="Arial" w:hAnsi="Arial"/>
                <w:b/>
                <w:bCs/>
                <w:sz w:val="28"/>
                <w:szCs w:val="28"/>
                <w:rtl/>
              </w:rPr>
            </w:pPr>
          </w:p>
          <w:p w14:paraId="7F895277" w14:textId="77777777" w:rsidR="00142677" w:rsidRPr="00D077F5" w:rsidRDefault="00142677" w:rsidP="00D077F5">
            <w:pPr>
              <w:rPr>
                <w:b/>
                <w:bCs/>
                <w:sz w:val="28"/>
                <w:szCs w:val="28"/>
              </w:rPr>
            </w:pPr>
            <w:r w:rsidRPr="00D077F5">
              <w:rPr>
                <w:rFonts w:hint="cs"/>
                <w:b/>
                <w:bCs/>
                <w:sz w:val="28"/>
                <w:szCs w:val="28"/>
                <w:rtl/>
              </w:rPr>
              <w:t>מדינת ישראל</w:t>
            </w:r>
          </w:p>
          <w:p w14:paraId="522D9012" w14:textId="77777777" w:rsidR="00142677" w:rsidRPr="00D077F5" w:rsidRDefault="00142677" w:rsidP="00D077F5">
            <w:pPr>
              <w:jc w:val="both"/>
              <w:rPr>
                <w:rFonts w:ascii="Arial" w:hAnsi="Arial"/>
                <w:b/>
                <w:bCs/>
                <w:sz w:val="28"/>
                <w:szCs w:val="28"/>
              </w:rPr>
            </w:pPr>
            <w:r w:rsidRPr="00D077F5">
              <w:rPr>
                <w:rFonts w:ascii="Arial" w:hAnsi="Arial" w:hint="cs"/>
                <w:b/>
                <w:bCs/>
                <w:sz w:val="28"/>
                <w:szCs w:val="28"/>
                <w:rtl/>
              </w:rPr>
              <w:t>ע"י ענף תביעות ירושלים</w:t>
            </w:r>
          </w:p>
        </w:tc>
        <w:tc>
          <w:tcPr>
            <w:tcW w:w="3771" w:type="dxa"/>
            <w:tcBorders>
              <w:top w:val="nil"/>
              <w:left w:val="nil"/>
              <w:bottom w:val="nil"/>
              <w:right w:val="nil"/>
            </w:tcBorders>
            <w:shd w:val="clear" w:color="auto" w:fill="auto"/>
          </w:tcPr>
          <w:p w14:paraId="38FCF1A9" w14:textId="77777777" w:rsidR="00142677" w:rsidRPr="00D077F5" w:rsidRDefault="00142677" w:rsidP="00D077F5">
            <w:pPr>
              <w:jc w:val="both"/>
              <w:rPr>
                <w:rFonts w:ascii="Arial" w:hAnsi="Arial"/>
                <w:b/>
                <w:bCs/>
                <w:sz w:val="28"/>
                <w:szCs w:val="28"/>
              </w:rPr>
            </w:pPr>
          </w:p>
        </w:tc>
      </w:tr>
      <w:bookmarkEnd w:id="0"/>
      <w:tr w:rsidR="00142677" w:rsidRPr="00D077F5" w14:paraId="0DAB703D" w14:textId="77777777">
        <w:trPr>
          <w:trHeight w:val="355"/>
          <w:jc w:val="center"/>
        </w:trPr>
        <w:tc>
          <w:tcPr>
            <w:tcW w:w="923" w:type="dxa"/>
            <w:tcBorders>
              <w:top w:val="nil"/>
              <w:left w:val="nil"/>
              <w:bottom w:val="nil"/>
              <w:right w:val="nil"/>
            </w:tcBorders>
            <w:shd w:val="clear" w:color="auto" w:fill="auto"/>
          </w:tcPr>
          <w:p w14:paraId="6A8DAAFB" w14:textId="77777777" w:rsidR="00142677" w:rsidRPr="00D077F5" w:rsidRDefault="00142677" w:rsidP="00D077F5">
            <w:pPr>
              <w:jc w:val="both"/>
              <w:rPr>
                <w:rFonts w:ascii="Arial" w:hAnsi="Arial"/>
                <w:b/>
                <w:bCs/>
                <w:sz w:val="28"/>
                <w:szCs w:val="28"/>
                <w:rtl/>
              </w:rPr>
            </w:pPr>
          </w:p>
        </w:tc>
        <w:tc>
          <w:tcPr>
            <w:tcW w:w="4126" w:type="dxa"/>
            <w:tcBorders>
              <w:top w:val="nil"/>
              <w:left w:val="nil"/>
              <w:bottom w:val="nil"/>
              <w:right w:val="nil"/>
            </w:tcBorders>
            <w:shd w:val="clear" w:color="auto" w:fill="auto"/>
          </w:tcPr>
          <w:p w14:paraId="57E54B14" w14:textId="77777777" w:rsidR="00142677" w:rsidRPr="00D077F5" w:rsidRDefault="00142677" w:rsidP="00D077F5">
            <w:pPr>
              <w:jc w:val="both"/>
              <w:rPr>
                <w:b/>
                <w:bCs/>
                <w:sz w:val="28"/>
                <w:szCs w:val="28"/>
                <w:rtl/>
              </w:rPr>
            </w:pPr>
          </w:p>
        </w:tc>
        <w:tc>
          <w:tcPr>
            <w:tcW w:w="3771" w:type="dxa"/>
            <w:tcBorders>
              <w:top w:val="nil"/>
              <w:left w:val="nil"/>
              <w:bottom w:val="nil"/>
              <w:right w:val="nil"/>
            </w:tcBorders>
            <w:shd w:val="clear" w:color="auto" w:fill="auto"/>
          </w:tcPr>
          <w:p w14:paraId="127E2DB0" w14:textId="77777777" w:rsidR="00142677" w:rsidRPr="00D077F5" w:rsidRDefault="00142677" w:rsidP="00D077F5">
            <w:pPr>
              <w:jc w:val="right"/>
              <w:rPr>
                <w:rFonts w:ascii="Arial" w:hAnsi="Arial"/>
                <w:b/>
                <w:bCs/>
                <w:sz w:val="28"/>
                <w:szCs w:val="28"/>
                <w:rtl/>
              </w:rPr>
            </w:pPr>
            <w:r w:rsidRPr="00D077F5">
              <w:rPr>
                <w:rFonts w:ascii="Arial" w:hAnsi="Arial" w:hint="cs"/>
                <w:b/>
                <w:bCs/>
                <w:sz w:val="28"/>
                <w:szCs w:val="28"/>
                <w:rtl/>
              </w:rPr>
              <w:t>ה</w:t>
            </w:r>
            <w:r w:rsidRPr="00D077F5">
              <w:rPr>
                <w:rFonts w:hint="cs"/>
                <w:b/>
                <w:bCs/>
                <w:sz w:val="28"/>
                <w:szCs w:val="28"/>
                <w:rtl/>
              </w:rPr>
              <w:t>מאשימה</w:t>
            </w:r>
          </w:p>
        </w:tc>
      </w:tr>
      <w:tr w:rsidR="00142677" w:rsidRPr="00D077F5" w14:paraId="6F187F5E" w14:textId="77777777">
        <w:trPr>
          <w:trHeight w:val="355"/>
          <w:jc w:val="center"/>
        </w:trPr>
        <w:tc>
          <w:tcPr>
            <w:tcW w:w="923" w:type="dxa"/>
            <w:tcBorders>
              <w:top w:val="nil"/>
              <w:left w:val="nil"/>
              <w:bottom w:val="nil"/>
              <w:right w:val="nil"/>
            </w:tcBorders>
            <w:shd w:val="clear" w:color="auto" w:fill="auto"/>
          </w:tcPr>
          <w:p w14:paraId="04FD8997" w14:textId="77777777" w:rsidR="00142677" w:rsidRPr="00D077F5" w:rsidRDefault="00142677" w:rsidP="00D077F5">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D940687" w14:textId="77777777" w:rsidR="00142677" w:rsidRPr="00D077F5" w:rsidRDefault="00142677" w:rsidP="00D077F5">
            <w:pPr>
              <w:jc w:val="center"/>
              <w:rPr>
                <w:rFonts w:ascii="Arial" w:hAnsi="Arial"/>
                <w:b/>
                <w:bCs/>
                <w:sz w:val="28"/>
                <w:szCs w:val="28"/>
                <w:rtl/>
              </w:rPr>
            </w:pPr>
          </w:p>
          <w:p w14:paraId="02CB2404" w14:textId="77777777" w:rsidR="00142677" w:rsidRPr="00D077F5" w:rsidRDefault="00142677" w:rsidP="00D077F5">
            <w:pPr>
              <w:jc w:val="center"/>
              <w:rPr>
                <w:rFonts w:ascii="Arial" w:hAnsi="Arial"/>
                <w:b/>
                <w:bCs/>
                <w:sz w:val="28"/>
                <w:szCs w:val="28"/>
                <w:rtl/>
              </w:rPr>
            </w:pPr>
            <w:r w:rsidRPr="00D077F5">
              <w:rPr>
                <w:rFonts w:ascii="Arial" w:hAnsi="Arial"/>
                <w:b/>
                <w:bCs/>
                <w:sz w:val="28"/>
                <w:szCs w:val="28"/>
                <w:rtl/>
              </w:rPr>
              <w:t>נגד</w:t>
            </w:r>
          </w:p>
          <w:p w14:paraId="46315F0E" w14:textId="77777777" w:rsidR="00142677" w:rsidRPr="00D077F5" w:rsidRDefault="00142677" w:rsidP="00D077F5">
            <w:pPr>
              <w:jc w:val="both"/>
              <w:rPr>
                <w:rFonts w:ascii="Arial" w:hAnsi="Arial"/>
                <w:b/>
                <w:bCs/>
                <w:sz w:val="28"/>
                <w:szCs w:val="28"/>
              </w:rPr>
            </w:pPr>
          </w:p>
        </w:tc>
      </w:tr>
      <w:tr w:rsidR="00142677" w:rsidRPr="00D077F5" w14:paraId="3CD388D2" w14:textId="77777777">
        <w:trPr>
          <w:trHeight w:val="355"/>
          <w:jc w:val="center"/>
        </w:trPr>
        <w:tc>
          <w:tcPr>
            <w:tcW w:w="923" w:type="dxa"/>
            <w:tcBorders>
              <w:top w:val="nil"/>
              <w:left w:val="nil"/>
              <w:bottom w:val="nil"/>
              <w:right w:val="nil"/>
            </w:tcBorders>
            <w:shd w:val="clear" w:color="auto" w:fill="auto"/>
          </w:tcPr>
          <w:p w14:paraId="19DB1D7B" w14:textId="77777777" w:rsidR="00142677" w:rsidRPr="00D077F5" w:rsidRDefault="00142677" w:rsidP="00D077F5">
            <w:pPr>
              <w:jc w:val="both"/>
              <w:rPr>
                <w:rFonts w:ascii="Arial" w:hAnsi="Arial"/>
                <w:b/>
                <w:bCs/>
                <w:sz w:val="28"/>
                <w:szCs w:val="28"/>
                <w:rtl/>
              </w:rPr>
            </w:pPr>
          </w:p>
        </w:tc>
        <w:tc>
          <w:tcPr>
            <w:tcW w:w="4126" w:type="dxa"/>
            <w:tcBorders>
              <w:top w:val="nil"/>
              <w:left w:val="nil"/>
              <w:bottom w:val="nil"/>
              <w:right w:val="nil"/>
            </w:tcBorders>
            <w:shd w:val="clear" w:color="auto" w:fill="auto"/>
          </w:tcPr>
          <w:p w14:paraId="0606B38E" w14:textId="77777777" w:rsidR="00142677" w:rsidRPr="00D077F5" w:rsidRDefault="00142677" w:rsidP="00D077F5">
            <w:pPr>
              <w:jc w:val="both"/>
              <w:rPr>
                <w:b/>
                <w:bCs/>
                <w:sz w:val="28"/>
                <w:szCs w:val="28"/>
                <w:rtl/>
              </w:rPr>
            </w:pPr>
            <w:r w:rsidRPr="00D077F5">
              <w:rPr>
                <w:rFonts w:hint="cs"/>
                <w:b/>
                <w:bCs/>
                <w:sz w:val="28"/>
                <w:szCs w:val="28"/>
                <w:rtl/>
              </w:rPr>
              <w:t>מיכאל בוחניק (עצור בפיקוח)</w:t>
            </w:r>
          </w:p>
        </w:tc>
        <w:tc>
          <w:tcPr>
            <w:tcW w:w="3771" w:type="dxa"/>
            <w:tcBorders>
              <w:top w:val="nil"/>
              <w:left w:val="nil"/>
              <w:bottom w:val="nil"/>
              <w:right w:val="nil"/>
            </w:tcBorders>
            <w:shd w:val="clear" w:color="auto" w:fill="auto"/>
          </w:tcPr>
          <w:p w14:paraId="4A230715" w14:textId="77777777" w:rsidR="00142677" w:rsidRPr="00D077F5" w:rsidRDefault="00142677" w:rsidP="00D077F5">
            <w:pPr>
              <w:jc w:val="right"/>
              <w:rPr>
                <w:rFonts w:ascii="Arial" w:hAnsi="Arial"/>
                <w:b/>
                <w:bCs/>
                <w:sz w:val="28"/>
                <w:szCs w:val="28"/>
              </w:rPr>
            </w:pPr>
          </w:p>
        </w:tc>
      </w:tr>
      <w:tr w:rsidR="00142677" w:rsidRPr="00D077F5" w14:paraId="1EEC20B3" w14:textId="77777777">
        <w:trPr>
          <w:trHeight w:val="355"/>
          <w:jc w:val="center"/>
        </w:trPr>
        <w:tc>
          <w:tcPr>
            <w:tcW w:w="923" w:type="dxa"/>
            <w:tcBorders>
              <w:top w:val="nil"/>
              <w:left w:val="nil"/>
              <w:bottom w:val="nil"/>
              <w:right w:val="nil"/>
            </w:tcBorders>
            <w:shd w:val="clear" w:color="auto" w:fill="auto"/>
          </w:tcPr>
          <w:p w14:paraId="1A34B21D" w14:textId="77777777" w:rsidR="00142677" w:rsidRPr="00D077F5" w:rsidRDefault="00142677" w:rsidP="00D077F5">
            <w:pPr>
              <w:jc w:val="both"/>
              <w:rPr>
                <w:rFonts w:ascii="Arial" w:hAnsi="Arial"/>
                <w:b/>
                <w:bCs/>
                <w:sz w:val="28"/>
                <w:szCs w:val="28"/>
                <w:rtl/>
              </w:rPr>
            </w:pPr>
            <w:bookmarkStart w:id="2" w:name="FirstLawyer"/>
          </w:p>
        </w:tc>
        <w:tc>
          <w:tcPr>
            <w:tcW w:w="4126" w:type="dxa"/>
            <w:tcBorders>
              <w:top w:val="nil"/>
              <w:left w:val="nil"/>
              <w:bottom w:val="nil"/>
              <w:right w:val="nil"/>
            </w:tcBorders>
            <w:shd w:val="clear" w:color="auto" w:fill="auto"/>
          </w:tcPr>
          <w:p w14:paraId="72A1C37F" w14:textId="77777777" w:rsidR="00142677" w:rsidRPr="00D077F5" w:rsidRDefault="00142677" w:rsidP="00D077F5">
            <w:pPr>
              <w:jc w:val="both"/>
              <w:rPr>
                <w:b/>
                <w:bCs/>
                <w:sz w:val="28"/>
                <w:szCs w:val="28"/>
                <w:rtl/>
              </w:rPr>
            </w:pPr>
            <w:r w:rsidRPr="00D077F5">
              <w:rPr>
                <w:rFonts w:hint="cs"/>
                <w:b/>
                <w:bCs/>
                <w:sz w:val="28"/>
                <w:szCs w:val="28"/>
                <w:rtl/>
              </w:rPr>
              <w:t>ע"י ב"כ עו"ד רותם טובול</w:t>
            </w:r>
          </w:p>
        </w:tc>
        <w:tc>
          <w:tcPr>
            <w:tcW w:w="3771" w:type="dxa"/>
            <w:tcBorders>
              <w:top w:val="nil"/>
              <w:left w:val="nil"/>
              <w:bottom w:val="nil"/>
              <w:right w:val="nil"/>
            </w:tcBorders>
            <w:shd w:val="clear" w:color="auto" w:fill="auto"/>
          </w:tcPr>
          <w:p w14:paraId="42D5CB7C" w14:textId="77777777" w:rsidR="00142677" w:rsidRPr="00D077F5" w:rsidRDefault="00142677" w:rsidP="00D077F5">
            <w:pPr>
              <w:jc w:val="right"/>
              <w:rPr>
                <w:rFonts w:ascii="Arial" w:hAnsi="Arial"/>
                <w:b/>
                <w:bCs/>
                <w:sz w:val="28"/>
                <w:szCs w:val="28"/>
              </w:rPr>
            </w:pPr>
            <w:r w:rsidRPr="00D077F5">
              <w:rPr>
                <w:rFonts w:ascii="Arial" w:hAnsi="Arial" w:hint="cs"/>
                <w:b/>
                <w:bCs/>
                <w:sz w:val="28"/>
                <w:szCs w:val="28"/>
                <w:rtl/>
              </w:rPr>
              <w:t>ה</w:t>
            </w:r>
            <w:r w:rsidRPr="00D077F5">
              <w:rPr>
                <w:rFonts w:hint="cs"/>
                <w:b/>
                <w:bCs/>
                <w:sz w:val="28"/>
                <w:szCs w:val="28"/>
                <w:rtl/>
              </w:rPr>
              <w:t>נאשם</w:t>
            </w:r>
          </w:p>
        </w:tc>
      </w:tr>
    </w:tbl>
    <w:p w14:paraId="63AF45E5" w14:textId="77777777" w:rsidR="00107069" w:rsidRDefault="00107069" w:rsidP="00142677">
      <w:pPr>
        <w:rPr>
          <w:sz w:val="28"/>
          <w:szCs w:val="28"/>
          <w:rtl/>
        </w:rPr>
      </w:pPr>
      <w:bookmarkStart w:id="3" w:name="LawTable"/>
      <w:bookmarkEnd w:id="2"/>
      <w:bookmarkEnd w:id="3"/>
    </w:p>
    <w:p w14:paraId="56195E59" w14:textId="77777777" w:rsidR="00107069" w:rsidRPr="00107069" w:rsidRDefault="00107069" w:rsidP="00107069">
      <w:pPr>
        <w:spacing w:after="120" w:line="240" w:lineRule="exact"/>
        <w:ind w:left="283" w:hanging="283"/>
        <w:jc w:val="both"/>
        <w:rPr>
          <w:rFonts w:ascii="FrankRuehl" w:hAnsi="FrankRuehl" w:cs="FrankRuehl"/>
          <w:rtl/>
        </w:rPr>
      </w:pPr>
    </w:p>
    <w:p w14:paraId="26455559" w14:textId="77777777" w:rsidR="00107069" w:rsidRPr="00107069" w:rsidRDefault="00107069" w:rsidP="00107069">
      <w:pPr>
        <w:spacing w:after="120" w:line="240" w:lineRule="exact"/>
        <w:ind w:left="283" w:hanging="283"/>
        <w:jc w:val="both"/>
        <w:rPr>
          <w:rFonts w:ascii="FrankRuehl" w:hAnsi="FrankRuehl" w:cs="FrankRuehl"/>
          <w:rtl/>
        </w:rPr>
      </w:pPr>
      <w:r w:rsidRPr="00107069">
        <w:rPr>
          <w:rFonts w:ascii="FrankRuehl" w:hAnsi="FrankRuehl" w:cs="FrankRuehl"/>
          <w:rtl/>
        </w:rPr>
        <w:t xml:space="preserve">חקיקה שאוזכרה: </w:t>
      </w:r>
    </w:p>
    <w:p w14:paraId="4CE80914" w14:textId="77777777" w:rsidR="00107069" w:rsidRPr="00107069" w:rsidRDefault="00107069" w:rsidP="00107069">
      <w:pPr>
        <w:spacing w:after="120" w:line="240" w:lineRule="exact"/>
        <w:ind w:left="283" w:hanging="283"/>
        <w:jc w:val="both"/>
        <w:rPr>
          <w:rFonts w:ascii="FrankRuehl" w:hAnsi="FrankRuehl" w:cs="FrankRuehl"/>
          <w:rtl/>
        </w:rPr>
      </w:pPr>
      <w:hyperlink r:id="rId6" w:history="1">
        <w:r w:rsidRPr="00107069">
          <w:rPr>
            <w:rFonts w:ascii="FrankRuehl" w:hAnsi="FrankRuehl" w:cs="FrankRuehl"/>
            <w:color w:val="0000FF"/>
            <w:u w:val="single"/>
            <w:rtl/>
          </w:rPr>
          <w:t>פקודת הסמים המסוכנים [נוסח חדש], תשל"ג-1973</w:t>
        </w:r>
      </w:hyperlink>
      <w:r w:rsidRPr="00107069">
        <w:rPr>
          <w:rFonts w:ascii="FrankRuehl" w:hAnsi="FrankRuehl" w:cs="FrankRuehl"/>
          <w:rtl/>
        </w:rPr>
        <w:t xml:space="preserve">: סע'  </w:t>
      </w:r>
      <w:hyperlink r:id="rId7" w:history="1">
        <w:r w:rsidRPr="00107069">
          <w:rPr>
            <w:rFonts w:ascii="FrankRuehl" w:hAnsi="FrankRuehl" w:cs="FrankRuehl"/>
            <w:color w:val="0000FF"/>
            <w:u w:val="single"/>
            <w:rtl/>
          </w:rPr>
          <w:t>6</w:t>
        </w:r>
      </w:hyperlink>
    </w:p>
    <w:p w14:paraId="7CB1249F" w14:textId="77777777" w:rsidR="00107069" w:rsidRPr="00107069" w:rsidRDefault="00107069" w:rsidP="00107069">
      <w:pPr>
        <w:spacing w:after="120" w:line="240" w:lineRule="exact"/>
        <w:ind w:left="283" w:hanging="283"/>
        <w:jc w:val="both"/>
        <w:rPr>
          <w:rFonts w:ascii="FrankRuehl" w:hAnsi="FrankRuehl" w:cs="FrankRuehl"/>
          <w:rtl/>
        </w:rPr>
      </w:pPr>
      <w:hyperlink r:id="rId8" w:history="1">
        <w:r w:rsidRPr="00107069">
          <w:rPr>
            <w:rFonts w:ascii="FrankRuehl" w:hAnsi="FrankRuehl" w:cs="FrankRuehl"/>
            <w:color w:val="0000FF"/>
            <w:u w:val="single"/>
            <w:rtl/>
          </w:rPr>
          <w:t>חוק העונשין, תשל"ז-1977</w:t>
        </w:r>
      </w:hyperlink>
      <w:r w:rsidRPr="00107069">
        <w:rPr>
          <w:rFonts w:ascii="FrankRuehl" w:hAnsi="FrankRuehl" w:cs="FrankRuehl"/>
          <w:rtl/>
        </w:rPr>
        <w:t xml:space="preserve">: סע'  </w:t>
      </w:r>
      <w:hyperlink r:id="rId9" w:history="1">
        <w:r w:rsidRPr="00107069">
          <w:rPr>
            <w:rFonts w:ascii="FrankRuehl" w:hAnsi="FrankRuehl" w:cs="FrankRuehl"/>
            <w:color w:val="0000FF"/>
            <w:u w:val="single"/>
            <w:rtl/>
          </w:rPr>
          <w:t>29</w:t>
        </w:r>
      </w:hyperlink>
    </w:p>
    <w:p w14:paraId="32D6D83B" w14:textId="77777777" w:rsidR="00107069" w:rsidRPr="00107069" w:rsidRDefault="00107069" w:rsidP="0010706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2677" w14:paraId="37DA5ABC" w14:textId="77777777">
        <w:trPr>
          <w:trHeight w:val="355"/>
          <w:jc w:val="center"/>
        </w:trPr>
        <w:tc>
          <w:tcPr>
            <w:tcW w:w="8820" w:type="dxa"/>
            <w:tcBorders>
              <w:top w:val="nil"/>
              <w:left w:val="nil"/>
              <w:bottom w:val="nil"/>
              <w:right w:val="nil"/>
            </w:tcBorders>
            <w:shd w:val="clear" w:color="auto" w:fill="auto"/>
          </w:tcPr>
          <w:p w14:paraId="77321BA2" w14:textId="77777777" w:rsidR="00D077F5" w:rsidRPr="00D077F5" w:rsidRDefault="00D077F5" w:rsidP="00D077F5">
            <w:pPr>
              <w:jc w:val="center"/>
              <w:rPr>
                <w:rFonts w:ascii="Arial" w:hAnsi="Arial"/>
                <w:b/>
                <w:bCs/>
                <w:sz w:val="32"/>
                <w:szCs w:val="32"/>
                <w:u w:val="single"/>
                <w:rtl/>
              </w:rPr>
            </w:pPr>
            <w:bookmarkStart w:id="4" w:name="LawTable_End"/>
            <w:bookmarkStart w:id="5" w:name="PsakDin"/>
            <w:bookmarkEnd w:id="4"/>
            <w:r w:rsidRPr="00D077F5">
              <w:rPr>
                <w:rFonts w:ascii="Arial" w:hAnsi="Arial"/>
                <w:b/>
                <w:bCs/>
                <w:sz w:val="32"/>
                <w:szCs w:val="32"/>
                <w:u w:val="single"/>
                <w:rtl/>
              </w:rPr>
              <w:t>גזר דין חלקי</w:t>
            </w:r>
          </w:p>
          <w:bookmarkEnd w:id="5"/>
          <w:p w14:paraId="585B0BA3" w14:textId="77777777" w:rsidR="00142677" w:rsidRPr="00D077F5" w:rsidRDefault="00142677" w:rsidP="00D077F5">
            <w:pPr>
              <w:jc w:val="center"/>
              <w:rPr>
                <w:rFonts w:ascii="Arial" w:hAnsi="Arial"/>
                <w:bCs/>
                <w:sz w:val="32"/>
                <w:szCs w:val="32"/>
                <w:u w:val="single"/>
                <w:rtl/>
              </w:rPr>
            </w:pPr>
          </w:p>
        </w:tc>
      </w:tr>
    </w:tbl>
    <w:p w14:paraId="4ED7B510" w14:textId="77777777" w:rsidR="00142677" w:rsidRDefault="00142677" w:rsidP="00142677">
      <w:pPr>
        <w:rPr>
          <w:rFonts w:ascii="Arial" w:hAnsi="Arial" w:cs="FrankRuehl"/>
          <w:sz w:val="28"/>
          <w:szCs w:val="28"/>
          <w:rtl/>
        </w:rPr>
      </w:pPr>
    </w:p>
    <w:p w14:paraId="444A0DB0" w14:textId="77777777" w:rsidR="00142677" w:rsidRDefault="00142677" w:rsidP="00142677">
      <w:pPr>
        <w:rPr>
          <w:rFonts w:ascii="Arial" w:hAnsi="Arial" w:cs="FrankRuehl"/>
          <w:sz w:val="28"/>
          <w:szCs w:val="28"/>
          <w:rtl/>
        </w:rPr>
      </w:pPr>
    </w:p>
    <w:p w14:paraId="67FC01D6" w14:textId="77777777" w:rsidR="00142677" w:rsidRPr="008C39DE" w:rsidRDefault="00142677" w:rsidP="00142677">
      <w:pPr>
        <w:spacing w:after="120" w:line="360" w:lineRule="auto"/>
        <w:ind w:left="720" w:hanging="720"/>
        <w:jc w:val="both"/>
        <w:rPr>
          <w:sz w:val="26"/>
          <w:szCs w:val="26"/>
          <w:rtl/>
        </w:rPr>
      </w:pPr>
      <w:r>
        <w:rPr>
          <w:rFonts w:hint="cs"/>
          <w:sz w:val="26"/>
          <w:szCs w:val="26"/>
          <w:rtl/>
        </w:rPr>
        <w:t>1.</w:t>
      </w:r>
      <w:r>
        <w:rPr>
          <w:rFonts w:hint="cs"/>
          <w:sz w:val="26"/>
          <w:szCs w:val="26"/>
          <w:rtl/>
        </w:rPr>
        <w:tab/>
      </w:r>
      <w:bookmarkStart w:id="6" w:name="ABSTRACT_START"/>
      <w:bookmarkEnd w:id="6"/>
      <w:r w:rsidRPr="008C39DE">
        <w:rPr>
          <w:rFonts w:hint="cs"/>
          <w:sz w:val="26"/>
          <w:szCs w:val="26"/>
          <w:rtl/>
        </w:rPr>
        <w:t xml:space="preserve">הנאשם הודה והורשע בכתב אישום מתוקן בעבירה של גידול סם מסוכן בצוותא לפי </w:t>
      </w:r>
      <w:hyperlink r:id="rId10" w:history="1">
        <w:r w:rsidR="00107069" w:rsidRPr="00107069">
          <w:rPr>
            <w:color w:val="0000FF"/>
            <w:sz w:val="26"/>
            <w:szCs w:val="26"/>
            <w:u w:val="single"/>
            <w:rtl/>
          </w:rPr>
          <w:t>סעיף 6</w:t>
        </w:r>
      </w:hyperlink>
      <w:r w:rsidRPr="008C39DE">
        <w:rPr>
          <w:rFonts w:hint="cs"/>
          <w:sz w:val="26"/>
          <w:szCs w:val="26"/>
          <w:rtl/>
        </w:rPr>
        <w:t xml:space="preserve"> ל</w:t>
      </w:r>
      <w:hyperlink r:id="rId11" w:history="1">
        <w:r w:rsidR="00D077F5" w:rsidRPr="00D077F5">
          <w:rPr>
            <w:color w:val="0000FF"/>
            <w:sz w:val="26"/>
            <w:szCs w:val="26"/>
            <w:u w:val="single"/>
            <w:rtl/>
          </w:rPr>
          <w:t>פקודת הסמים המסוכנים</w:t>
        </w:r>
      </w:hyperlink>
      <w:r w:rsidRPr="008C39DE">
        <w:rPr>
          <w:rFonts w:hint="cs"/>
          <w:sz w:val="26"/>
          <w:szCs w:val="26"/>
          <w:rtl/>
        </w:rPr>
        <w:t xml:space="preserve"> [נוסח חדש] התשל"ג-1973בצירוף </w:t>
      </w:r>
      <w:hyperlink r:id="rId12" w:history="1">
        <w:r w:rsidR="00107069" w:rsidRPr="00107069">
          <w:rPr>
            <w:color w:val="0000FF"/>
            <w:sz w:val="26"/>
            <w:szCs w:val="26"/>
            <w:u w:val="single"/>
            <w:rtl/>
          </w:rPr>
          <w:t>סעיף 29</w:t>
        </w:r>
      </w:hyperlink>
      <w:r w:rsidRPr="008C39DE">
        <w:rPr>
          <w:rFonts w:hint="cs"/>
          <w:sz w:val="26"/>
          <w:szCs w:val="26"/>
          <w:rtl/>
        </w:rPr>
        <w:t xml:space="preserve"> ל</w:t>
      </w:r>
      <w:hyperlink r:id="rId13" w:history="1">
        <w:r w:rsidR="00D077F5" w:rsidRPr="00D077F5">
          <w:rPr>
            <w:color w:val="0000FF"/>
            <w:sz w:val="26"/>
            <w:szCs w:val="26"/>
            <w:u w:val="single"/>
            <w:rtl/>
          </w:rPr>
          <w:t>חוק העונשין</w:t>
        </w:r>
      </w:hyperlink>
      <w:r w:rsidRPr="008C39DE">
        <w:rPr>
          <w:rFonts w:hint="cs"/>
          <w:sz w:val="26"/>
          <w:szCs w:val="26"/>
          <w:rtl/>
        </w:rPr>
        <w:t xml:space="preserve"> התשל"ז-1977. הצדדים הגיעו להסדר שכלל תיקונים מסויימים בכתב האישום, אך לא כלל הסכמה כלשהי לעניין העונש. </w:t>
      </w:r>
    </w:p>
    <w:p w14:paraId="49DF53F8" w14:textId="77777777" w:rsidR="00142677" w:rsidRDefault="00142677" w:rsidP="00142677">
      <w:pPr>
        <w:spacing w:after="120" w:line="360" w:lineRule="auto"/>
        <w:ind w:left="720" w:hanging="720"/>
        <w:jc w:val="both"/>
        <w:rPr>
          <w:sz w:val="26"/>
          <w:szCs w:val="26"/>
          <w:rtl/>
        </w:rPr>
      </w:pPr>
      <w:bookmarkStart w:id="7" w:name="ABSTRACT_END"/>
      <w:bookmarkEnd w:id="7"/>
      <w:r>
        <w:rPr>
          <w:rFonts w:hint="cs"/>
          <w:sz w:val="26"/>
          <w:szCs w:val="26"/>
          <w:rtl/>
        </w:rPr>
        <w:t>2.</w:t>
      </w:r>
      <w:r>
        <w:rPr>
          <w:rFonts w:hint="cs"/>
          <w:sz w:val="26"/>
          <w:szCs w:val="26"/>
          <w:rtl/>
        </w:rPr>
        <w:tab/>
      </w:r>
      <w:r w:rsidRPr="008C39DE">
        <w:rPr>
          <w:rFonts w:hint="cs"/>
          <w:sz w:val="26"/>
          <w:szCs w:val="26"/>
          <w:rtl/>
        </w:rPr>
        <w:t xml:space="preserve">על פי עובדות כתב האישום המתוקן, גמלה בליבם של הנאשם ואדם אחר החלטה להקים מעבדה לגידול סמים. לשם קידום והוצאת הדבר אל הפועל, השניים שכרו דירה שאותה ייעדו לצורך גידול הסמים. עובר למועד התפיסה ביום 23.6.15, הנאשם והאדם האחר הכניסו לדירה שבע מנורות גדולות עם בית מנורה ושנאי קטן, שלוש מנורות קטנות, שמונה שנאים גדולים, חמישה מפוחים בגדלים שונים, שלושה פילטרים, צינורות אוויר, משאבה, שני שעוני שבת, שני מחשבי טמפרטורה, עציצים, אדמה, כפפות, עשרה בקבוקי חומר דישון ו-110 שתילים, וכן החזיקו בדירה שקים ובהם אדמה ושתילים יבשים. באמצעות הציוד האמור גידלו הנאשם והאחר בדירה סם מסוכן מסוג קנבוס במשקל כולל של 3,161.86 גרם נטו. ביום התפיסה החזיק הנאשם ברשותו גם משקל ובקבוק חומר דישון, וכן החזיק ברכב שק חול. </w:t>
      </w:r>
    </w:p>
    <w:p w14:paraId="17A53A25" w14:textId="77777777" w:rsidR="00142677" w:rsidRPr="008C39DE" w:rsidRDefault="00142677" w:rsidP="00142677">
      <w:pPr>
        <w:spacing w:after="120" w:line="360" w:lineRule="auto"/>
        <w:ind w:left="720" w:hanging="720"/>
        <w:jc w:val="both"/>
        <w:rPr>
          <w:sz w:val="26"/>
          <w:szCs w:val="26"/>
          <w:rtl/>
        </w:rPr>
      </w:pPr>
    </w:p>
    <w:p w14:paraId="38B46A3E" w14:textId="77777777" w:rsidR="00142677" w:rsidRPr="00E91722" w:rsidRDefault="00142677" w:rsidP="00142677">
      <w:pPr>
        <w:spacing w:after="120" w:line="360" w:lineRule="auto"/>
        <w:jc w:val="both"/>
        <w:rPr>
          <w:b/>
          <w:bCs/>
          <w:sz w:val="26"/>
          <w:szCs w:val="26"/>
          <w:u w:val="single"/>
          <w:rtl/>
        </w:rPr>
      </w:pPr>
      <w:r w:rsidRPr="00E91722">
        <w:rPr>
          <w:rFonts w:hint="cs"/>
          <w:b/>
          <w:bCs/>
          <w:sz w:val="26"/>
          <w:szCs w:val="26"/>
          <w:u w:val="single"/>
          <w:rtl/>
        </w:rPr>
        <w:t>טיעוני הצדדים</w:t>
      </w:r>
    </w:p>
    <w:p w14:paraId="7C5CAD54" w14:textId="77777777" w:rsidR="00142677" w:rsidRPr="008C39DE" w:rsidRDefault="00142677" w:rsidP="00142677">
      <w:pPr>
        <w:spacing w:after="120" w:line="360" w:lineRule="auto"/>
        <w:ind w:left="720" w:hanging="720"/>
        <w:jc w:val="both"/>
        <w:rPr>
          <w:sz w:val="26"/>
          <w:szCs w:val="26"/>
          <w:rtl/>
        </w:rPr>
      </w:pPr>
      <w:r>
        <w:rPr>
          <w:rFonts w:hint="cs"/>
          <w:sz w:val="26"/>
          <w:szCs w:val="26"/>
          <w:rtl/>
        </w:rPr>
        <w:t>3.</w:t>
      </w:r>
      <w:r>
        <w:rPr>
          <w:rFonts w:hint="cs"/>
          <w:sz w:val="26"/>
          <w:szCs w:val="26"/>
          <w:rtl/>
        </w:rPr>
        <w:tab/>
      </w:r>
      <w:r w:rsidRPr="008C39DE">
        <w:rPr>
          <w:rFonts w:hint="cs"/>
          <w:sz w:val="26"/>
          <w:szCs w:val="26"/>
          <w:rtl/>
        </w:rPr>
        <w:t xml:space="preserve">ב"כ המאשימה ציינה בטיעוניה כי העבירה שביצע הנאשם היתה כרוכה בתכנון ומחשבה ובביצוע פעולות לא מעטות של שכירת הדירה והקמת המעבדה. היא התייחסה לכמות הסם שנתפסה, 110 שתילים שמשקלם כשלושה ק"ג, אם כי ציינה כי משקל הסם תלוי במועד פשיטת המשטרה ותפיסת הסם. באשר למניע לביצוע העבירה טענה התובעת כי דווקא מניע כלכלי והפיתוי ל"כסף קל" ומהיר מחייב עונשי מאסר מרתיעים וממושכים, וכי מטרת הגידול היתה לשם הפצת הסם ולא למטרה אחרת. </w:t>
      </w:r>
    </w:p>
    <w:p w14:paraId="0A72636F" w14:textId="77777777" w:rsidR="00142677" w:rsidRPr="008C39DE" w:rsidRDefault="00142677" w:rsidP="00142677">
      <w:pPr>
        <w:spacing w:after="120" w:line="360" w:lineRule="auto"/>
        <w:ind w:left="720" w:hanging="720"/>
        <w:jc w:val="both"/>
        <w:rPr>
          <w:sz w:val="26"/>
          <w:szCs w:val="26"/>
          <w:rtl/>
        </w:rPr>
      </w:pPr>
      <w:r>
        <w:rPr>
          <w:rFonts w:hint="cs"/>
          <w:sz w:val="26"/>
          <w:szCs w:val="26"/>
          <w:rtl/>
        </w:rPr>
        <w:t>4.</w:t>
      </w:r>
      <w:r>
        <w:rPr>
          <w:rFonts w:hint="cs"/>
          <w:sz w:val="26"/>
          <w:szCs w:val="26"/>
          <w:rtl/>
        </w:rPr>
        <w:tab/>
      </w:r>
      <w:r w:rsidRPr="008C39DE">
        <w:rPr>
          <w:rFonts w:hint="cs"/>
          <w:sz w:val="26"/>
          <w:szCs w:val="26"/>
          <w:rtl/>
        </w:rPr>
        <w:t xml:space="preserve">ב"כ המאשימה הפנתה לפסיקה וטענה למתחם הנע בין שנים עשר לבים עשרים וארבעה חודשי מאסר בפועל, כאשר עונשו של הנאשם בתיק זה מצוי ברף התחתון של המתחם. </w:t>
      </w:r>
    </w:p>
    <w:p w14:paraId="615D4CCC" w14:textId="77777777" w:rsidR="00142677" w:rsidRPr="008C39DE" w:rsidRDefault="00142677" w:rsidP="00142677">
      <w:pPr>
        <w:spacing w:after="120" w:line="360" w:lineRule="auto"/>
        <w:ind w:left="720"/>
        <w:jc w:val="both"/>
        <w:rPr>
          <w:sz w:val="26"/>
          <w:szCs w:val="26"/>
          <w:rtl/>
        </w:rPr>
      </w:pPr>
      <w:r w:rsidRPr="008C39DE">
        <w:rPr>
          <w:rFonts w:hint="cs"/>
          <w:sz w:val="26"/>
          <w:szCs w:val="26"/>
          <w:rtl/>
        </w:rPr>
        <w:t xml:space="preserve">התובעת התייחסה גם לבקשה בעניין ניכוי התקופה בה היה הנאשם נתון במעצר באיזוק אלקטרוני, וטענה כי אין לנכות תקופה זו מתקופת מאסרו של הנאשם, תוך הפניה לפסיקה אשר תידון להלן. </w:t>
      </w:r>
    </w:p>
    <w:p w14:paraId="53582625" w14:textId="77777777" w:rsidR="00142677" w:rsidRPr="008C39DE" w:rsidRDefault="00142677" w:rsidP="00142677">
      <w:pPr>
        <w:spacing w:after="120" w:line="360" w:lineRule="auto"/>
        <w:ind w:left="720" w:hanging="720"/>
        <w:jc w:val="both"/>
        <w:rPr>
          <w:sz w:val="26"/>
          <w:szCs w:val="26"/>
          <w:rtl/>
        </w:rPr>
      </w:pPr>
      <w:r>
        <w:rPr>
          <w:rFonts w:hint="cs"/>
          <w:sz w:val="26"/>
          <w:szCs w:val="26"/>
          <w:rtl/>
        </w:rPr>
        <w:t>5.</w:t>
      </w:r>
      <w:r>
        <w:rPr>
          <w:rFonts w:hint="cs"/>
          <w:sz w:val="26"/>
          <w:szCs w:val="26"/>
          <w:rtl/>
        </w:rPr>
        <w:tab/>
      </w:r>
      <w:r w:rsidRPr="008C39DE">
        <w:rPr>
          <w:rFonts w:hint="cs"/>
          <w:sz w:val="26"/>
          <w:szCs w:val="26"/>
          <w:rtl/>
        </w:rPr>
        <w:t xml:space="preserve">ב"כ הנאשם הגישה את טיעוניה בכתב, צירפה להם אסופת פסיקה והוסיפה עליהם טיעונים בעל פה. היא טענה למתחם ענישה הנע בין אי הרשעה או של"צ לבין מספר חודשי מאסר אשר יכול שירוצו בעבודות שירות. ב"כ הנאשם פירטה בטיעוניה כי הנאשם גדל והתחנך במשפחה חרדית נורמטיבית, היה נתון בחובות בשוק האפור לאחר כישלון עסק שהקים, ועל רקע זה החליט להקים את ה"מעבדה". לטענת הסניגורית המעבדה הוקמה ללא תכנון מעמיק או מתוחכם, ונחשפה ארבעה חודשים לאחר שהוקמה, כשהשתילים צעירים, כך שמעשיו לא גרמו נזק רב. </w:t>
      </w:r>
    </w:p>
    <w:p w14:paraId="77BC32D4" w14:textId="77777777" w:rsidR="00142677" w:rsidRDefault="00142677" w:rsidP="00142677">
      <w:pPr>
        <w:spacing w:after="120" w:line="360" w:lineRule="auto"/>
        <w:ind w:left="720" w:hanging="720"/>
        <w:jc w:val="both"/>
        <w:rPr>
          <w:sz w:val="26"/>
          <w:szCs w:val="26"/>
          <w:rtl/>
        </w:rPr>
      </w:pPr>
      <w:r>
        <w:rPr>
          <w:rFonts w:hint="cs"/>
          <w:sz w:val="26"/>
          <w:szCs w:val="26"/>
          <w:rtl/>
        </w:rPr>
        <w:t>6.</w:t>
      </w:r>
      <w:r>
        <w:rPr>
          <w:rFonts w:hint="cs"/>
          <w:sz w:val="26"/>
          <w:szCs w:val="26"/>
          <w:rtl/>
        </w:rPr>
        <w:tab/>
      </w:r>
      <w:r w:rsidRPr="008C39DE">
        <w:rPr>
          <w:rFonts w:hint="cs"/>
          <w:sz w:val="26"/>
          <w:szCs w:val="26"/>
          <w:rtl/>
        </w:rPr>
        <w:t xml:space="preserve">עוד ציינה ב"כ הנאשם כי הנאשם הודה במיוחס לו, נטל אחריות מלאה והביע חרטה, כי מדובר בתיק יחיד של הנאשם וכי ההליך הפלילי ומעצרו שימשו עבורו גורם מרתיע ומציב גבולות, אשר זיעזעו את שגרת חייו. לאחר מעצרו הנאשם הידק את קשריו עם משפחתו הגרעינית וזכה לתמיכה מהם, הוא נפגש באופן קבוע עם עובדת סוציאלית והשתלב בקבוצה טיפולית. לטענת ההגנה, הטלת עונש של מאסר מאחורי סורג ובריח תגרום נזק כבד לנאשם ולבני משפחתו ותגדע את ההליך השיקומי בו החל הנאשם. </w:t>
      </w:r>
    </w:p>
    <w:p w14:paraId="09F6E39C" w14:textId="77777777" w:rsidR="00142677" w:rsidRDefault="00142677" w:rsidP="00142677">
      <w:pPr>
        <w:spacing w:after="120" w:line="360" w:lineRule="auto"/>
        <w:ind w:left="720" w:hanging="720"/>
        <w:jc w:val="both"/>
        <w:rPr>
          <w:sz w:val="26"/>
          <w:szCs w:val="26"/>
          <w:rtl/>
        </w:rPr>
      </w:pPr>
      <w:r>
        <w:rPr>
          <w:rFonts w:hint="cs"/>
          <w:sz w:val="26"/>
          <w:szCs w:val="26"/>
          <w:rtl/>
        </w:rPr>
        <w:t>7.</w:t>
      </w:r>
      <w:r>
        <w:rPr>
          <w:rFonts w:hint="cs"/>
          <w:sz w:val="26"/>
          <w:szCs w:val="26"/>
          <w:rtl/>
        </w:rPr>
        <w:tab/>
        <w:t xml:space="preserve">ב"כ הנאשם טענה בהרחבה כי יש לנכות מעונשו של הנאשם הן את התקופה בה שהה הנאשם במאסר מאחורי סורג ובריח והן את התקופה בה היה נתון במעצר באיזוק אלקטרוני. היא ביקשה להטיל על הנאשם עונש של מאסר על תנאי עד מספר חודשים של עבודות שירות כדי לאפשר לו להשלים את הליך השיקום עם משפחתו. </w:t>
      </w:r>
    </w:p>
    <w:p w14:paraId="5F867D0F" w14:textId="77777777" w:rsidR="00142677" w:rsidRDefault="00142677" w:rsidP="00142677">
      <w:pPr>
        <w:spacing w:after="120" w:line="360" w:lineRule="auto"/>
        <w:jc w:val="both"/>
        <w:rPr>
          <w:sz w:val="26"/>
          <w:szCs w:val="26"/>
          <w:rtl/>
        </w:rPr>
      </w:pPr>
    </w:p>
    <w:p w14:paraId="45789ACA" w14:textId="77777777" w:rsidR="00142677" w:rsidRPr="00E91722" w:rsidRDefault="00142677" w:rsidP="00142677">
      <w:pPr>
        <w:spacing w:after="120" w:line="360" w:lineRule="auto"/>
        <w:jc w:val="both"/>
        <w:rPr>
          <w:b/>
          <w:bCs/>
          <w:sz w:val="26"/>
          <w:szCs w:val="26"/>
          <w:u w:val="single"/>
          <w:rtl/>
        </w:rPr>
      </w:pPr>
      <w:r w:rsidRPr="00E91722">
        <w:rPr>
          <w:rFonts w:hint="cs"/>
          <w:b/>
          <w:bCs/>
          <w:sz w:val="26"/>
          <w:szCs w:val="26"/>
          <w:u w:val="single"/>
          <w:rtl/>
        </w:rPr>
        <w:lastRenderedPageBreak/>
        <w:t>מתחם העונש ההולם</w:t>
      </w:r>
    </w:p>
    <w:p w14:paraId="3ED71844" w14:textId="77777777" w:rsidR="00142677" w:rsidRDefault="00142677" w:rsidP="00142677">
      <w:pPr>
        <w:spacing w:after="120" w:line="360" w:lineRule="auto"/>
        <w:ind w:left="720" w:hanging="720"/>
        <w:jc w:val="both"/>
        <w:rPr>
          <w:sz w:val="26"/>
          <w:szCs w:val="26"/>
          <w:rtl/>
        </w:rPr>
      </w:pPr>
      <w:r>
        <w:rPr>
          <w:rFonts w:hint="cs"/>
          <w:sz w:val="26"/>
          <w:szCs w:val="26"/>
          <w:rtl/>
        </w:rPr>
        <w:t>8.</w:t>
      </w:r>
      <w:r>
        <w:rPr>
          <w:rFonts w:hint="cs"/>
          <w:sz w:val="26"/>
          <w:szCs w:val="26"/>
          <w:rtl/>
        </w:rPr>
        <w:tab/>
        <w:t>הערכים המוגנים בעבירה של איסור גידול סמים הם שמירה על שלומו ובטחונו של הציבור, העלול להיפגע מסחר והפצה של סמים מסוכנים, כאשר הנזק כפול וכולל הן את הנזק הישיר כתוצאה מהגדלת החשיפה לסמים והשימוש בהם, הן את הנזק העקיף של יצירת מעגלי פשיעה ועבריינות כתוצאה מהפצת הסמים.</w:t>
      </w:r>
    </w:p>
    <w:p w14:paraId="5CCABD39" w14:textId="77777777" w:rsidR="00142677" w:rsidRDefault="00142677" w:rsidP="00142677">
      <w:pPr>
        <w:spacing w:after="120" w:line="360" w:lineRule="auto"/>
        <w:ind w:left="720" w:hanging="720"/>
        <w:jc w:val="both"/>
        <w:rPr>
          <w:sz w:val="26"/>
          <w:szCs w:val="26"/>
          <w:rtl/>
        </w:rPr>
      </w:pPr>
      <w:r>
        <w:rPr>
          <w:rFonts w:hint="cs"/>
          <w:sz w:val="26"/>
          <w:szCs w:val="26"/>
          <w:rtl/>
        </w:rPr>
        <w:t>9.</w:t>
      </w:r>
      <w:r>
        <w:rPr>
          <w:rFonts w:hint="cs"/>
          <w:sz w:val="26"/>
          <w:szCs w:val="26"/>
          <w:rtl/>
        </w:rPr>
        <w:tab/>
        <w:t xml:space="preserve">העבירה של גידול סמים מסוכנים, כשהיא נעשית בדרך המתוארת בכתב האישום, על ידי הקמת "מעבדה" ובאמצעות ציוד מקצועי, מצריכה תכנון מדוקדק, רכישה של ציוד מתאים ייעודי לצורך זה, שכירה של מקום מתאים לגידול והשקעה של משאבי כסף, זמן וטיפוח הצמחים. כל זאת באופן סדיר ולאורך זמן. גידול "מקצועי" שכזה אינו נעשה לשם שימוש עצמי, אלא לצורך מכירת הסם והפצתו, כאשר מגדל הסם הוא החוליה הראשונה והחיונית בשרשרת הפצת הסם. העובדה שהנאשם פעל ממניעים כלכליים ולאחר שנקלע לחובות, מדגישה את הצורך להחמיר בענישה על מנת ליצור הרתעה ממשית מול הסיכוי להתעשרות קלה. </w:t>
      </w:r>
    </w:p>
    <w:p w14:paraId="68CA0959" w14:textId="77777777" w:rsidR="00142677" w:rsidRDefault="00142677" w:rsidP="00142677">
      <w:pPr>
        <w:spacing w:after="120" w:line="360" w:lineRule="auto"/>
        <w:ind w:left="720" w:hanging="720"/>
        <w:jc w:val="both"/>
        <w:rPr>
          <w:sz w:val="26"/>
          <w:szCs w:val="26"/>
          <w:rtl/>
        </w:rPr>
      </w:pPr>
      <w:r>
        <w:rPr>
          <w:rFonts w:hint="cs"/>
          <w:sz w:val="26"/>
          <w:szCs w:val="26"/>
          <w:rtl/>
        </w:rPr>
        <w:t>10.</w:t>
      </w:r>
      <w:r>
        <w:rPr>
          <w:rFonts w:hint="cs"/>
          <w:sz w:val="26"/>
          <w:szCs w:val="26"/>
          <w:rtl/>
        </w:rPr>
        <w:tab/>
        <w:t>כמות הסם שנתפסה ברשות הנאשם אמנם אינה גדולה במיוחד ביחס למעבדות גידול סם, אולם המשקל נובע משלבי הגידול של הצמח, אם תפיסת הסמים היתה מתאחרת היה משקל הצמחים עולה, כך שפוטנציאל הנזק של העבירה קיים גם כאשר כמויות הסם אינן גדולות במיוחד. גם יש לציין כי מספר השתילים שנתפסו, מאה ועשרה שתילים, גדול למדי ביחס לעבירות מסוג זה, ועובדה זו משפיעה על פוטנציאל הנזק הנובע מהעבירה.</w:t>
      </w:r>
    </w:p>
    <w:p w14:paraId="29D58CC6" w14:textId="77777777" w:rsidR="00142677" w:rsidRDefault="00142677" w:rsidP="00142677">
      <w:pPr>
        <w:spacing w:after="120" w:line="360" w:lineRule="auto"/>
        <w:ind w:left="720" w:hanging="720"/>
        <w:jc w:val="both"/>
        <w:rPr>
          <w:sz w:val="26"/>
          <w:szCs w:val="26"/>
          <w:rtl/>
        </w:rPr>
      </w:pPr>
      <w:r>
        <w:rPr>
          <w:rFonts w:hint="cs"/>
          <w:sz w:val="26"/>
          <w:szCs w:val="26"/>
          <w:rtl/>
        </w:rPr>
        <w:t>11.</w:t>
      </w:r>
      <w:r>
        <w:rPr>
          <w:rFonts w:hint="cs"/>
          <w:sz w:val="26"/>
          <w:szCs w:val="26"/>
          <w:rtl/>
        </w:rPr>
        <w:tab/>
        <w:t>לעניין רמת הענישה הנוהגת והרצויה, אני מביאה בחשבון בין היתר את פסקי הדין שניתנו בתיקים אלו:</w:t>
      </w:r>
    </w:p>
    <w:p w14:paraId="008661EC" w14:textId="77777777" w:rsidR="00142677" w:rsidRDefault="00D077F5" w:rsidP="00142677">
      <w:pPr>
        <w:spacing w:after="120" w:line="360" w:lineRule="auto"/>
        <w:ind w:left="720"/>
        <w:jc w:val="both"/>
        <w:rPr>
          <w:sz w:val="26"/>
          <w:szCs w:val="26"/>
          <w:u w:val="single"/>
          <w:rtl/>
        </w:rPr>
      </w:pPr>
      <w:hyperlink r:id="rId14" w:history="1">
        <w:r w:rsidRPr="00D077F5">
          <w:rPr>
            <w:color w:val="0000FF"/>
            <w:sz w:val="26"/>
            <w:szCs w:val="26"/>
            <w:u w:val="single"/>
            <w:rtl/>
          </w:rPr>
          <w:t>רע"פ 1787/15</w:t>
        </w:r>
      </w:hyperlink>
      <w:r w:rsidR="00142677">
        <w:rPr>
          <w:rFonts w:hint="cs"/>
          <w:sz w:val="26"/>
          <w:szCs w:val="26"/>
          <w:rtl/>
        </w:rPr>
        <w:t xml:space="preserve">, </w:t>
      </w:r>
      <w:r w:rsidR="00142677">
        <w:rPr>
          <w:rFonts w:hint="cs"/>
          <w:sz w:val="26"/>
          <w:szCs w:val="26"/>
          <w:u w:val="single"/>
          <w:rtl/>
        </w:rPr>
        <w:t>אדי עמר נגד מדינת ישראל.</w:t>
      </w:r>
    </w:p>
    <w:p w14:paraId="3E6753FB" w14:textId="77777777" w:rsidR="00142677" w:rsidRDefault="00D077F5" w:rsidP="00142677">
      <w:pPr>
        <w:spacing w:after="120" w:line="360" w:lineRule="auto"/>
        <w:ind w:left="720"/>
        <w:jc w:val="both"/>
        <w:rPr>
          <w:sz w:val="26"/>
          <w:szCs w:val="26"/>
          <w:u w:val="single"/>
          <w:rtl/>
        </w:rPr>
      </w:pPr>
      <w:hyperlink r:id="rId15" w:history="1">
        <w:r w:rsidRPr="00D077F5">
          <w:rPr>
            <w:color w:val="0000FF"/>
            <w:sz w:val="26"/>
            <w:szCs w:val="26"/>
            <w:u w:val="single"/>
            <w:rtl/>
          </w:rPr>
          <w:t>רע"פ 5177/14</w:t>
        </w:r>
      </w:hyperlink>
      <w:r w:rsidR="00142677">
        <w:rPr>
          <w:rFonts w:hint="cs"/>
          <w:sz w:val="26"/>
          <w:szCs w:val="26"/>
          <w:rtl/>
        </w:rPr>
        <w:t xml:space="preserve">, </w:t>
      </w:r>
      <w:r w:rsidR="00142677">
        <w:rPr>
          <w:rFonts w:hint="cs"/>
          <w:sz w:val="26"/>
          <w:szCs w:val="26"/>
          <w:u w:val="single"/>
          <w:rtl/>
        </w:rPr>
        <w:t>משה זוארץ נגד מדינת ישראל</w:t>
      </w:r>
    </w:p>
    <w:p w14:paraId="1D0D9556" w14:textId="77777777" w:rsidR="00142677" w:rsidRPr="00CA1A31" w:rsidRDefault="00D077F5" w:rsidP="00142677">
      <w:pPr>
        <w:spacing w:after="120" w:line="360" w:lineRule="auto"/>
        <w:ind w:left="720"/>
        <w:jc w:val="both"/>
        <w:rPr>
          <w:sz w:val="26"/>
          <w:szCs w:val="26"/>
          <w:u w:val="single"/>
          <w:rtl/>
        </w:rPr>
      </w:pPr>
      <w:hyperlink r:id="rId16" w:history="1">
        <w:r w:rsidRPr="00D077F5">
          <w:rPr>
            <w:color w:val="0000FF"/>
            <w:sz w:val="26"/>
            <w:szCs w:val="26"/>
            <w:u w:val="single"/>
            <w:rtl/>
          </w:rPr>
          <w:t>עפ"ג (ירושלים) 3082-04-15</w:t>
        </w:r>
      </w:hyperlink>
      <w:r w:rsidR="00142677" w:rsidRPr="0067572A">
        <w:rPr>
          <w:rFonts w:hint="cs"/>
          <w:sz w:val="26"/>
          <w:szCs w:val="26"/>
          <w:rtl/>
        </w:rPr>
        <w:t xml:space="preserve">, </w:t>
      </w:r>
      <w:r w:rsidR="00142677">
        <w:rPr>
          <w:rFonts w:hint="cs"/>
          <w:sz w:val="26"/>
          <w:szCs w:val="26"/>
          <w:u w:val="single"/>
          <w:rtl/>
        </w:rPr>
        <w:t>מדינת ישראל נגד אליהו פרידמן.</w:t>
      </w:r>
    </w:p>
    <w:p w14:paraId="2D26B852" w14:textId="77777777" w:rsidR="00142677" w:rsidRDefault="00D077F5" w:rsidP="00142677">
      <w:pPr>
        <w:spacing w:after="120" w:line="360" w:lineRule="auto"/>
        <w:ind w:left="720"/>
        <w:jc w:val="both"/>
        <w:rPr>
          <w:sz w:val="26"/>
          <w:szCs w:val="26"/>
          <w:rtl/>
        </w:rPr>
      </w:pPr>
      <w:hyperlink r:id="rId17" w:history="1">
        <w:r w:rsidRPr="00D077F5">
          <w:rPr>
            <w:color w:val="0000FF"/>
            <w:sz w:val="26"/>
            <w:szCs w:val="26"/>
            <w:u w:val="single"/>
            <w:rtl/>
          </w:rPr>
          <w:t>ת"פ (שלום רמלה) 9346-07-12</w:t>
        </w:r>
      </w:hyperlink>
      <w:r w:rsidR="00142677">
        <w:rPr>
          <w:rFonts w:hint="cs"/>
          <w:sz w:val="26"/>
          <w:szCs w:val="26"/>
          <w:rtl/>
        </w:rPr>
        <w:t xml:space="preserve">, </w:t>
      </w:r>
      <w:r w:rsidR="00142677" w:rsidRPr="002D0920">
        <w:rPr>
          <w:rFonts w:hint="cs"/>
          <w:sz w:val="26"/>
          <w:szCs w:val="26"/>
          <w:u w:val="single"/>
          <w:rtl/>
        </w:rPr>
        <w:t>מדינת ישראל נגד אמיר עבד אל האדי</w:t>
      </w:r>
      <w:r w:rsidR="00142677">
        <w:rPr>
          <w:rFonts w:hint="cs"/>
          <w:sz w:val="26"/>
          <w:szCs w:val="26"/>
          <w:rtl/>
        </w:rPr>
        <w:t xml:space="preserve">, והפסיקה המפורטת בו. </w:t>
      </w:r>
    </w:p>
    <w:p w14:paraId="4179DE7B" w14:textId="77777777" w:rsidR="00142677" w:rsidRDefault="00D077F5" w:rsidP="00142677">
      <w:pPr>
        <w:spacing w:after="120" w:line="360" w:lineRule="auto"/>
        <w:ind w:left="720"/>
        <w:jc w:val="both"/>
        <w:rPr>
          <w:sz w:val="26"/>
          <w:szCs w:val="26"/>
          <w:rtl/>
        </w:rPr>
      </w:pPr>
      <w:hyperlink r:id="rId18" w:history="1">
        <w:r w:rsidRPr="00D077F5">
          <w:rPr>
            <w:color w:val="0000FF"/>
            <w:sz w:val="26"/>
            <w:szCs w:val="26"/>
            <w:u w:val="single"/>
            <w:rtl/>
          </w:rPr>
          <w:t>ת"פ (שלום פתח תקוה) 11069-06-12</w:t>
        </w:r>
      </w:hyperlink>
      <w:r w:rsidR="00142677">
        <w:rPr>
          <w:rFonts w:hint="cs"/>
          <w:sz w:val="26"/>
          <w:szCs w:val="26"/>
          <w:rtl/>
        </w:rPr>
        <w:t xml:space="preserve">, </w:t>
      </w:r>
      <w:r w:rsidR="00142677" w:rsidRPr="00BA1E4E">
        <w:rPr>
          <w:rFonts w:hint="cs"/>
          <w:sz w:val="26"/>
          <w:szCs w:val="26"/>
          <w:u w:val="single"/>
          <w:rtl/>
        </w:rPr>
        <w:t>מדינת ישראל נגד רן הררי</w:t>
      </w:r>
      <w:r w:rsidR="00142677">
        <w:rPr>
          <w:rFonts w:hint="cs"/>
          <w:sz w:val="26"/>
          <w:szCs w:val="26"/>
          <w:rtl/>
        </w:rPr>
        <w:t xml:space="preserve">. </w:t>
      </w:r>
    </w:p>
    <w:p w14:paraId="7B58F377" w14:textId="77777777" w:rsidR="00142677" w:rsidRDefault="00D077F5" w:rsidP="00142677">
      <w:pPr>
        <w:spacing w:after="120" w:line="360" w:lineRule="auto"/>
        <w:ind w:left="720"/>
        <w:jc w:val="both"/>
        <w:rPr>
          <w:sz w:val="26"/>
          <w:szCs w:val="26"/>
          <w:u w:val="single"/>
          <w:rtl/>
        </w:rPr>
      </w:pPr>
      <w:hyperlink r:id="rId19" w:history="1">
        <w:r w:rsidRPr="00D077F5">
          <w:rPr>
            <w:color w:val="0000FF"/>
            <w:sz w:val="26"/>
            <w:szCs w:val="26"/>
            <w:u w:val="single"/>
            <w:rtl/>
          </w:rPr>
          <w:t>ת"פ (שלום חדרה) 14209-09-14</w:t>
        </w:r>
      </w:hyperlink>
      <w:r w:rsidR="00142677">
        <w:rPr>
          <w:rFonts w:hint="cs"/>
          <w:sz w:val="26"/>
          <w:szCs w:val="26"/>
          <w:rtl/>
        </w:rPr>
        <w:t xml:space="preserve">, </w:t>
      </w:r>
      <w:r w:rsidR="00142677">
        <w:rPr>
          <w:rFonts w:hint="cs"/>
          <w:sz w:val="26"/>
          <w:szCs w:val="26"/>
          <w:u w:val="single"/>
          <w:rtl/>
        </w:rPr>
        <w:t>מדינת ישראל נגד מתתיהו רבינוביץ</w:t>
      </w:r>
    </w:p>
    <w:p w14:paraId="1E8113D2" w14:textId="77777777" w:rsidR="00142677" w:rsidRPr="0067572A" w:rsidRDefault="00D077F5" w:rsidP="00142677">
      <w:pPr>
        <w:spacing w:after="120" w:line="360" w:lineRule="auto"/>
        <w:ind w:left="720"/>
        <w:jc w:val="both"/>
        <w:rPr>
          <w:sz w:val="26"/>
          <w:szCs w:val="26"/>
          <w:u w:val="single"/>
          <w:rtl/>
        </w:rPr>
      </w:pPr>
      <w:hyperlink r:id="rId20" w:history="1">
        <w:r w:rsidRPr="00D077F5">
          <w:rPr>
            <w:color w:val="0000FF"/>
            <w:sz w:val="26"/>
            <w:szCs w:val="26"/>
            <w:u w:val="single"/>
            <w:rtl/>
          </w:rPr>
          <w:t>ת"פ (שלום חיפה) 74-11-13</w:t>
        </w:r>
      </w:hyperlink>
      <w:r w:rsidR="00142677">
        <w:rPr>
          <w:rFonts w:hint="cs"/>
          <w:sz w:val="26"/>
          <w:szCs w:val="26"/>
          <w:rtl/>
        </w:rPr>
        <w:t xml:space="preserve">, </w:t>
      </w:r>
      <w:r w:rsidR="00142677">
        <w:rPr>
          <w:rFonts w:hint="cs"/>
          <w:sz w:val="26"/>
          <w:szCs w:val="26"/>
          <w:u w:val="single"/>
          <w:rtl/>
        </w:rPr>
        <w:t>מדינת ישראל נגד עידן דוד</w:t>
      </w:r>
    </w:p>
    <w:p w14:paraId="58E20EDE" w14:textId="77777777" w:rsidR="00142677" w:rsidRDefault="00142677" w:rsidP="00142677">
      <w:pPr>
        <w:spacing w:after="120" w:line="360" w:lineRule="auto"/>
        <w:ind w:left="720"/>
        <w:jc w:val="both"/>
        <w:rPr>
          <w:sz w:val="26"/>
          <w:szCs w:val="26"/>
          <w:u w:val="single"/>
          <w:rtl/>
        </w:rPr>
      </w:pPr>
      <w:r>
        <w:rPr>
          <w:rFonts w:hint="cs"/>
          <w:sz w:val="26"/>
          <w:szCs w:val="26"/>
          <w:rtl/>
        </w:rPr>
        <w:t xml:space="preserve">ת"פ (שלום חדרה) 57187-05-14, </w:t>
      </w:r>
      <w:r>
        <w:rPr>
          <w:rFonts w:hint="cs"/>
          <w:sz w:val="26"/>
          <w:szCs w:val="26"/>
          <w:u w:val="single"/>
          <w:rtl/>
        </w:rPr>
        <w:t>מדינת ישראל נגד נתנוב</w:t>
      </w:r>
    </w:p>
    <w:p w14:paraId="73614199" w14:textId="77777777" w:rsidR="00142677" w:rsidRPr="007B029B" w:rsidRDefault="00D077F5" w:rsidP="00142677">
      <w:pPr>
        <w:spacing w:after="120" w:line="360" w:lineRule="auto"/>
        <w:ind w:left="720"/>
        <w:jc w:val="both"/>
        <w:rPr>
          <w:sz w:val="26"/>
          <w:szCs w:val="26"/>
          <w:u w:val="single"/>
          <w:rtl/>
        </w:rPr>
      </w:pPr>
      <w:hyperlink r:id="rId21" w:history="1">
        <w:r w:rsidRPr="00D077F5">
          <w:rPr>
            <w:color w:val="0000FF"/>
            <w:sz w:val="26"/>
            <w:szCs w:val="26"/>
            <w:u w:val="single"/>
            <w:rtl/>
          </w:rPr>
          <w:t>ת"פ (שלום ראשל"צ) 29504-09-13</w:t>
        </w:r>
      </w:hyperlink>
      <w:r w:rsidR="00142677" w:rsidRPr="00501552">
        <w:rPr>
          <w:rFonts w:hint="cs"/>
          <w:sz w:val="26"/>
          <w:szCs w:val="26"/>
          <w:rtl/>
        </w:rPr>
        <w:t xml:space="preserve">, </w:t>
      </w:r>
      <w:r w:rsidR="00142677">
        <w:rPr>
          <w:rFonts w:hint="cs"/>
          <w:sz w:val="26"/>
          <w:szCs w:val="26"/>
          <w:u w:val="single"/>
          <w:rtl/>
        </w:rPr>
        <w:t>מדינת ישראל נגד מושיק זרקון</w:t>
      </w:r>
    </w:p>
    <w:p w14:paraId="751E7A72" w14:textId="77777777" w:rsidR="00142677" w:rsidRDefault="00142677" w:rsidP="00142677">
      <w:pPr>
        <w:spacing w:after="120" w:line="360" w:lineRule="auto"/>
        <w:ind w:left="720" w:hanging="720"/>
        <w:jc w:val="both"/>
        <w:rPr>
          <w:sz w:val="26"/>
          <w:szCs w:val="26"/>
          <w:rtl/>
        </w:rPr>
      </w:pPr>
      <w:r>
        <w:rPr>
          <w:rFonts w:hint="cs"/>
          <w:sz w:val="26"/>
          <w:szCs w:val="26"/>
          <w:rtl/>
        </w:rPr>
        <w:t>12.</w:t>
      </w:r>
      <w:r>
        <w:rPr>
          <w:rFonts w:hint="cs"/>
          <w:sz w:val="26"/>
          <w:szCs w:val="26"/>
          <w:rtl/>
        </w:rPr>
        <w:tab/>
        <w:t>לנוכח כל האמור אני סבורה כי מתחם הענישה לעבירה נע בין ארבעה לבין ארבעה עשר חודשי מאסר, שניתן לרצותם בעבודות שירות במקרים המתאימים.</w:t>
      </w:r>
    </w:p>
    <w:p w14:paraId="2D4C6EF6" w14:textId="77777777" w:rsidR="00142677" w:rsidRDefault="00142677" w:rsidP="00142677">
      <w:pPr>
        <w:spacing w:after="120" w:line="360" w:lineRule="auto"/>
        <w:ind w:left="720" w:hanging="720"/>
        <w:jc w:val="both"/>
        <w:rPr>
          <w:sz w:val="26"/>
          <w:szCs w:val="26"/>
          <w:rtl/>
        </w:rPr>
      </w:pPr>
      <w:r>
        <w:rPr>
          <w:sz w:val="26"/>
          <w:szCs w:val="26"/>
          <w:rtl/>
        </w:rPr>
        <w:tab/>
      </w:r>
    </w:p>
    <w:p w14:paraId="68499D78" w14:textId="77777777" w:rsidR="00142677" w:rsidRPr="008A2EF6" w:rsidRDefault="00142677" w:rsidP="00142677">
      <w:pPr>
        <w:spacing w:after="120" w:line="360" w:lineRule="auto"/>
        <w:jc w:val="both"/>
        <w:rPr>
          <w:b/>
          <w:bCs/>
          <w:sz w:val="26"/>
          <w:szCs w:val="26"/>
          <w:u w:val="single"/>
          <w:rtl/>
        </w:rPr>
      </w:pPr>
      <w:r w:rsidRPr="008A2EF6">
        <w:rPr>
          <w:rFonts w:hint="cs"/>
          <w:b/>
          <w:bCs/>
          <w:sz w:val="26"/>
          <w:szCs w:val="26"/>
          <w:u w:val="single"/>
          <w:rtl/>
        </w:rPr>
        <w:t>העונש הראוי במקרה זה</w:t>
      </w:r>
    </w:p>
    <w:p w14:paraId="6B2AF715" w14:textId="77777777" w:rsidR="00142677" w:rsidRDefault="00142677" w:rsidP="00142677">
      <w:pPr>
        <w:spacing w:after="120" w:line="360" w:lineRule="auto"/>
        <w:ind w:left="720" w:hanging="720"/>
        <w:jc w:val="both"/>
        <w:rPr>
          <w:sz w:val="26"/>
          <w:szCs w:val="26"/>
          <w:rtl/>
        </w:rPr>
      </w:pPr>
      <w:r>
        <w:rPr>
          <w:rFonts w:hint="cs"/>
          <w:sz w:val="26"/>
          <w:szCs w:val="26"/>
          <w:rtl/>
        </w:rPr>
        <w:t>13.</w:t>
      </w:r>
      <w:r>
        <w:rPr>
          <w:rFonts w:hint="cs"/>
          <w:sz w:val="26"/>
          <w:szCs w:val="26"/>
          <w:rtl/>
        </w:rPr>
        <w:tab/>
        <w:t>ל</w:t>
      </w:r>
      <w:r w:rsidRPr="00501552">
        <w:rPr>
          <w:rFonts w:hint="cs"/>
          <w:sz w:val="26"/>
          <w:szCs w:val="26"/>
          <w:rtl/>
        </w:rPr>
        <w:t xml:space="preserve">נאשם </w:t>
      </w:r>
      <w:r>
        <w:rPr>
          <w:rFonts w:hint="cs"/>
          <w:sz w:val="26"/>
          <w:szCs w:val="26"/>
          <w:rtl/>
        </w:rPr>
        <w:t xml:space="preserve">שבפני אין הרשעות קודמות או מעורבות פלילית נוספת מלבד תיק זה. הוא הודה, נטל אחריות וחסך זמן שיפוטי. </w:t>
      </w:r>
    </w:p>
    <w:p w14:paraId="6A55CF72" w14:textId="77777777" w:rsidR="00142677" w:rsidRDefault="00142677" w:rsidP="00142677">
      <w:pPr>
        <w:spacing w:after="120" w:line="360" w:lineRule="auto"/>
        <w:ind w:left="720"/>
        <w:jc w:val="both"/>
        <w:rPr>
          <w:sz w:val="26"/>
          <w:szCs w:val="26"/>
          <w:rtl/>
        </w:rPr>
      </w:pPr>
      <w:r>
        <w:rPr>
          <w:rFonts w:hint="cs"/>
          <w:sz w:val="26"/>
          <w:szCs w:val="26"/>
          <w:rtl/>
        </w:rPr>
        <w:t>ב"כ הנאשם טענה כי הנאשם עבר תהליך של שיקום, שיקם את קשריו עם משפחתו לאחר תקופה של נתק, נפגש עם עובדת סוציאלית ומשתתף בקבוצה טיפולית. היא התייחסה גם לרקע לביצוע העבירות, הנובע מקשיים כלכליים וחובות בשוק האפור אליהם נקלע הנאשם לאחר שעסק שהקים כשל.</w:t>
      </w:r>
    </w:p>
    <w:p w14:paraId="79043B20" w14:textId="77777777" w:rsidR="00142677" w:rsidRPr="00501552" w:rsidRDefault="00142677" w:rsidP="00142677">
      <w:pPr>
        <w:spacing w:after="120" w:line="360" w:lineRule="auto"/>
        <w:ind w:left="720" w:hanging="720"/>
        <w:jc w:val="both"/>
        <w:rPr>
          <w:sz w:val="26"/>
          <w:szCs w:val="26"/>
          <w:rtl/>
        </w:rPr>
      </w:pPr>
      <w:r>
        <w:rPr>
          <w:rFonts w:hint="cs"/>
          <w:sz w:val="26"/>
          <w:szCs w:val="26"/>
          <w:rtl/>
        </w:rPr>
        <w:t>14.</w:t>
      </w:r>
      <w:r>
        <w:rPr>
          <w:rFonts w:hint="cs"/>
          <w:sz w:val="26"/>
          <w:szCs w:val="26"/>
          <w:rtl/>
        </w:rPr>
        <w:tab/>
        <w:t xml:space="preserve">אציין כי לא התבקש ולא הוגש תסקיר של שירות המבחן. כמו כן לא הובאו ראיות כלשהן לעניין תהליך השיקום שעבר הנאשם, מלבד עדות אחותו של הנאשם בנוגע למצב המשפחה וקשריו עם המשפחה. לא הוצגו גם אישורים בנוגע לטיפול אישי או קבוצתי כלשהו. אני נכונה להניח כי מה שנטען אכן מתקיים, אולם לא ברור באיזה טיפול מדובר. ככלל, משקלן של טענות בנוגע לנתונים אישיים והליכי שיקום משמעותי הרבה יותר כאשר הן מובאות באמצעות הגורם המוסמך והאובייקטיבי האמון על כך </w:t>
      </w:r>
      <w:r>
        <w:rPr>
          <w:sz w:val="26"/>
          <w:szCs w:val="26"/>
          <w:rtl/>
        </w:rPr>
        <w:t>–</w:t>
      </w:r>
      <w:r>
        <w:rPr>
          <w:rFonts w:hint="cs"/>
          <w:sz w:val="26"/>
          <w:szCs w:val="26"/>
          <w:rtl/>
        </w:rPr>
        <w:t xml:space="preserve"> שירות המבחן. </w:t>
      </w:r>
    </w:p>
    <w:p w14:paraId="325D3E5A" w14:textId="77777777" w:rsidR="00142677" w:rsidRPr="008C39DE" w:rsidRDefault="00142677" w:rsidP="00142677">
      <w:pPr>
        <w:spacing w:after="120" w:line="360" w:lineRule="auto"/>
        <w:ind w:firstLine="720"/>
        <w:jc w:val="both"/>
        <w:rPr>
          <w:sz w:val="26"/>
          <w:szCs w:val="26"/>
          <w:rtl/>
        </w:rPr>
      </w:pPr>
      <w:r>
        <w:rPr>
          <w:rFonts w:hint="cs"/>
          <w:sz w:val="26"/>
          <w:szCs w:val="26"/>
          <w:rtl/>
        </w:rPr>
        <w:t xml:space="preserve">מכל מקום, במקרה זה מצוי הנאשם בין כך ובין כך ברף התחתון של מתחם הענישה. </w:t>
      </w:r>
    </w:p>
    <w:p w14:paraId="3E2DC2C2" w14:textId="77777777" w:rsidR="00142677" w:rsidRDefault="00142677" w:rsidP="00142677">
      <w:pPr>
        <w:spacing w:after="120" w:line="360" w:lineRule="auto"/>
        <w:ind w:left="720" w:hanging="720"/>
        <w:jc w:val="both"/>
        <w:rPr>
          <w:sz w:val="26"/>
          <w:szCs w:val="26"/>
          <w:rtl/>
        </w:rPr>
      </w:pPr>
      <w:r>
        <w:rPr>
          <w:rFonts w:hint="cs"/>
          <w:sz w:val="26"/>
          <w:szCs w:val="26"/>
          <w:rtl/>
        </w:rPr>
        <w:t>15.</w:t>
      </w:r>
      <w:r>
        <w:rPr>
          <w:rFonts w:hint="cs"/>
          <w:sz w:val="26"/>
          <w:szCs w:val="26"/>
          <w:rtl/>
        </w:rPr>
        <w:tab/>
        <w:t xml:space="preserve">הנאשם היה נתון במעצר ממש בין התאריכים 23.6.15 </w:t>
      </w:r>
      <w:r>
        <w:rPr>
          <w:sz w:val="26"/>
          <w:szCs w:val="26"/>
          <w:rtl/>
        </w:rPr>
        <w:t>–</w:t>
      </w:r>
      <w:r>
        <w:rPr>
          <w:rFonts w:hint="cs"/>
          <w:sz w:val="26"/>
          <w:szCs w:val="26"/>
          <w:rtl/>
        </w:rPr>
        <w:t xml:space="preserve"> 10.8.15, ומיום 10.8.15 הוא מצוי במעצר באיזוק אלקטרוני. </w:t>
      </w:r>
    </w:p>
    <w:p w14:paraId="7C9571ED" w14:textId="77777777" w:rsidR="00142677" w:rsidRDefault="00142677" w:rsidP="00142677">
      <w:pPr>
        <w:spacing w:after="120" w:line="360" w:lineRule="auto"/>
        <w:ind w:left="720" w:hanging="720"/>
        <w:jc w:val="both"/>
        <w:rPr>
          <w:sz w:val="26"/>
          <w:szCs w:val="26"/>
          <w:rtl/>
        </w:rPr>
      </w:pPr>
      <w:r>
        <w:rPr>
          <w:sz w:val="26"/>
          <w:szCs w:val="26"/>
          <w:rtl/>
        </w:rPr>
        <w:tab/>
      </w:r>
      <w:r>
        <w:rPr>
          <w:rFonts w:hint="cs"/>
          <w:sz w:val="26"/>
          <w:szCs w:val="26"/>
          <w:rtl/>
        </w:rPr>
        <w:t xml:space="preserve">בשים לב לכך שהנאשם היה נתון במעצר ממש במשך קרוב לחודשיים, לנסיבות המקלות המציבות אותו בתחתית מתחם הענישה, ובכלל שלפיו בית המשפט אינו מחזיר בנקל למעצר את מי שריצה כבר תקופה של מאסר או מעצר, אני סבורה שיש לשקול להטיל על הנאשם עונש מאסר שירוצה בעבודות שירות. </w:t>
      </w:r>
    </w:p>
    <w:p w14:paraId="0C408F0E" w14:textId="77777777" w:rsidR="00142677" w:rsidRDefault="00142677" w:rsidP="00142677">
      <w:pPr>
        <w:spacing w:after="120" w:line="360" w:lineRule="auto"/>
        <w:ind w:left="720" w:hanging="720"/>
        <w:jc w:val="both"/>
        <w:rPr>
          <w:sz w:val="26"/>
          <w:szCs w:val="26"/>
          <w:rtl/>
        </w:rPr>
      </w:pPr>
      <w:r>
        <w:rPr>
          <w:rFonts w:hint="cs"/>
          <w:sz w:val="26"/>
          <w:szCs w:val="26"/>
          <w:rtl/>
        </w:rPr>
        <w:t>16.</w:t>
      </w:r>
      <w:r>
        <w:rPr>
          <w:rFonts w:hint="cs"/>
          <w:sz w:val="26"/>
          <w:szCs w:val="26"/>
          <w:rtl/>
        </w:rPr>
        <w:tab/>
        <w:t xml:space="preserve">לאור האמור מתבקש הממונה על עבודות השירות לבחון את התאמתו של הנאשם לריצוי עבודות שירות. </w:t>
      </w:r>
    </w:p>
    <w:p w14:paraId="23BCCC9A" w14:textId="77777777" w:rsidR="00142677" w:rsidRDefault="00142677" w:rsidP="00142677">
      <w:pPr>
        <w:spacing w:after="120" w:line="360" w:lineRule="auto"/>
        <w:ind w:left="720" w:hanging="720"/>
        <w:jc w:val="both"/>
        <w:rPr>
          <w:sz w:val="26"/>
          <w:szCs w:val="26"/>
          <w:rtl/>
        </w:rPr>
      </w:pPr>
    </w:p>
    <w:p w14:paraId="1D01F27C" w14:textId="77777777" w:rsidR="00142677" w:rsidRDefault="00142677" w:rsidP="00142677">
      <w:pPr>
        <w:spacing w:after="120" w:line="360" w:lineRule="auto"/>
        <w:ind w:left="720" w:hanging="720"/>
        <w:jc w:val="both"/>
        <w:rPr>
          <w:sz w:val="26"/>
          <w:szCs w:val="26"/>
          <w:rtl/>
        </w:rPr>
      </w:pPr>
    </w:p>
    <w:p w14:paraId="6EC03DE9" w14:textId="77777777" w:rsidR="00142677" w:rsidRDefault="00142677" w:rsidP="00142677">
      <w:pPr>
        <w:spacing w:after="120" w:line="360" w:lineRule="auto"/>
        <w:ind w:left="720"/>
        <w:jc w:val="both"/>
        <w:rPr>
          <w:sz w:val="26"/>
          <w:szCs w:val="26"/>
          <w:rtl/>
        </w:rPr>
      </w:pPr>
      <w:r>
        <w:rPr>
          <w:rFonts w:hint="cs"/>
          <w:sz w:val="26"/>
          <w:szCs w:val="26"/>
          <w:rtl/>
        </w:rPr>
        <w:t xml:space="preserve">ניתן ליצור עם הנאשם קשר בטלפון 054-8078062. או באמצעות ב"כ עו"ד קובי אביטבול 050-4403879 03-5662260 . </w:t>
      </w:r>
    </w:p>
    <w:p w14:paraId="6013FCB1" w14:textId="77777777" w:rsidR="00142677" w:rsidRDefault="00142677" w:rsidP="00142677">
      <w:pPr>
        <w:spacing w:after="120" w:line="360" w:lineRule="auto"/>
        <w:ind w:left="720"/>
        <w:jc w:val="both"/>
        <w:rPr>
          <w:sz w:val="26"/>
          <w:szCs w:val="26"/>
          <w:rtl/>
        </w:rPr>
      </w:pPr>
      <w:r>
        <w:rPr>
          <w:rFonts w:hint="cs"/>
          <w:sz w:val="26"/>
          <w:szCs w:val="26"/>
          <w:rtl/>
        </w:rPr>
        <w:t xml:space="preserve">נדחה להשלמת גזר דין ליום 22.2.16 שעה 10:00. </w:t>
      </w:r>
    </w:p>
    <w:p w14:paraId="79D2059D" w14:textId="77777777" w:rsidR="00142677" w:rsidRDefault="00142677" w:rsidP="00142677">
      <w:pPr>
        <w:spacing w:after="120" w:line="360" w:lineRule="auto"/>
        <w:ind w:left="720"/>
        <w:jc w:val="both"/>
        <w:rPr>
          <w:sz w:val="26"/>
          <w:szCs w:val="26"/>
          <w:rtl/>
        </w:rPr>
      </w:pPr>
    </w:p>
    <w:p w14:paraId="092E46C8" w14:textId="77777777" w:rsidR="00142677" w:rsidRPr="00D077F5" w:rsidRDefault="00D077F5" w:rsidP="00142677">
      <w:pPr>
        <w:rPr>
          <w:rFonts w:cs="FrankRuehl"/>
          <w:color w:val="FFFFFF"/>
          <w:sz w:val="2"/>
          <w:szCs w:val="2"/>
          <w:rtl/>
        </w:rPr>
      </w:pPr>
      <w:r w:rsidRPr="00D077F5">
        <w:rPr>
          <w:rFonts w:cs="FrankRuehl"/>
          <w:color w:val="FFFFFF"/>
          <w:sz w:val="2"/>
          <w:szCs w:val="2"/>
          <w:rtl/>
        </w:rPr>
        <w:t>5129371</w:t>
      </w:r>
    </w:p>
    <w:p w14:paraId="4F5E2C1D" w14:textId="77777777" w:rsidR="00142677" w:rsidRDefault="00D077F5" w:rsidP="00142677">
      <w:pPr>
        <w:rPr>
          <w:rFonts w:cs="FrankRuehl"/>
          <w:sz w:val="28"/>
          <w:szCs w:val="28"/>
          <w:rtl/>
        </w:rPr>
      </w:pPr>
      <w:r w:rsidRPr="00D077F5">
        <w:rPr>
          <w:rFonts w:ascii="Arial" w:hAnsi="Arial"/>
          <w:color w:val="FFFFFF"/>
          <w:sz w:val="2"/>
          <w:szCs w:val="2"/>
          <w:rtl/>
        </w:rPr>
        <w:t>54678313</w:t>
      </w:r>
      <w:r>
        <w:rPr>
          <w:rFonts w:ascii="Arial" w:hAnsi="Arial"/>
          <w:sz w:val="26"/>
          <w:szCs w:val="26"/>
          <w:rtl/>
        </w:rPr>
        <w:t xml:space="preserve">ניתן היום,  כ"ה טבת תשע"ו, 06 ינואר 2016, בנוכחות הצדדים. </w:t>
      </w:r>
    </w:p>
    <w:p w14:paraId="6ACF3CFC" w14:textId="77777777" w:rsidR="00142677" w:rsidRDefault="00142677" w:rsidP="00142677">
      <w:pPr>
        <w:jc w:val="right"/>
      </w:pPr>
    </w:p>
    <w:p w14:paraId="2B637154" w14:textId="77777777" w:rsidR="00142677" w:rsidRDefault="00142677" w:rsidP="00142677">
      <w:pPr>
        <w:jc w:val="right"/>
        <w:rPr>
          <w:rFonts w:ascii="Arial" w:hAnsi="Arial" w:cs="FrankRuehl"/>
          <w:sz w:val="28"/>
          <w:szCs w:val="28"/>
          <w:rtl/>
        </w:rPr>
      </w:pPr>
    </w:p>
    <w:p w14:paraId="20FF7F01" w14:textId="77777777" w:rsidR="00142677" w:rsidRDefault="00142677" w:rsidP="00142677">
      <w:pPr>
        <w:rPr>
          <w:rFonts w:cs="FrankRuehl"/>
          <w:sz w:val="28"/>
          <w:szCs w:val="28"/>
          <w:rtl/>
        </w:rPr>
      </w:pPr>
    </w:p>
    <w:p w14:paraId="04B81AE4" w14:textId="77777777" w:rsidR="00142677" w:rsidRDefault="00142677" w:rsidP="00142677">
      <w:pPr>
        <w:pStyle w:val="a3"/>
        <w:jc w:val="center"/>
        <w:rPr>
          <w:rtl/>
        </w:rPr>
      </w:pPr>
    </w:p>
    <w:p w14:paraId="25EC41EB" w14:textId="77777777" w:rsidR="00D077F5" w:rsidRPr="00D077F5" w:rsidRDefault="00D077F5" w:rsidP="00D077F5">
      <w:pPr>
        <w:keepNext/>
        <w:rPr>
          <w:rFonts w:ascii="David" w:hAnsi="David"/>
          <w:color w:val="000000"/>
          <w:sz w:val="22"/>
          <w:szCs w:val="22"/>
          <w:rtl/>
        </w:rPr>
      </w:pPr>
    </w:p>
    <w:p w14:paraId="73A9AAD6" w14:textId="77777777" w:rsidR="00D077F5" w:rsidRPr="00D077F5" w:rsidRDefault="00D077F5" w:rsidP="00D077F5">
      <w:pPr>
        <w:keepNext/>
        <w:rPr>
          <w:rFonts w:ascii="David" w:hAnsi="David"/>
          <w:color w:val="000000"/>
          <w:sz w:val="22"/>
          <w:szCs w:val="22"/>
          <w:rtl/>
        </w:rPr>
      </w:pPr>
      <w:r w:rsidRPr="00D077F5">
        <w:rPr>
          <w:rFonts w:ascii="David" w:hAnsi="David"/>
          <w:color w:val="000000"/>
          <w:sz w:val="22"/>
          <w:szCs w:val="22"/>
          <w:rtl/>
        </w:rPr>
        <w:t>חגית מאק קלמנוביץ 54678313</w:t>
      </w:r>
    </w:p>
    <w:p w14:paraId="4F0BC51C" w14:textId="77777777" w:rsidR="00D077F5" w:rsidRDefault="00D077F5" w:rsidP="00D077F5">
      <w:r w:rsidRPr="00D077F5">
        <w:rPr>
          <w:color w:val="000000"/>
          <w:rtl/>
        </w:rPr>
        <w:t>נוסח מסמך זה כפוף לשינויי ניסוח ועריכה</w:t>
      </w:r>
    </w:p>
    <w:p w14:paraId="11959645" w14:textId="77777777" w:rsidR="00D077F5" w:rsidRDefault="00D077F5" w:rsidP="00D077F5">
      <w:pPr>
        <w:rPr>
          <w:rtl/>
        </w:rPr>
      </w:pPr>
    </w:p>
    <w:p w14:paraId="32B29967" w14:textId="77777777" w:rsidR="00D077F5" w:rsidRDefault="00D077F5" w:rsidP="00D077F5">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8B3D113" w14:textId="77777777" w:rsidR="009737B5" w:rsidRPr="00D077F5" w:rsidRDefault="009737B5" w:rsidP="00D077F5">
      <w:pPr>
        <w:jc w:val="center"/>
        <w:rPr>
          <w:color w:val="0000FF"/>
          <w:u w:val="single"/>
        </w:rPr>
      </w:pPr>
    </w:p>
    <w:sectPr w:rsidR="009737B5" w:rsidRPr="00D077F5" w:rsidSect="00D077F5">
      <w:headerReference w:type="even" r:id="rId23"/>
      <w:headerReference w:type="default" r:id="rId24"/>
      <w:footerReference w:type="even" r:id="rId25"/>
      <w:footerReference w:type="default" r:id="rId26"/>
      <w:pgSz w:w="11907" w:h="16840" w:code="9"/>
      <w:pgMar w:top="1701" w:right="1701" w:bottom="1134" w:left="1701" w:header="18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B91B6" w14:textId="77777777" w:rsidR="00461FEF" w:rsidRDefault="00461FEF">
      <w:r>
        <w:separator/>
      </w:r>
    </w:p>
  </w:endnote>
  <w:endnote w:type="continuationSeparator" w:id="0">
    <w:p w14:paraId="76314229" w14:textId="77777777" w:rsidR="00461FEF" w:rsidRDefault="0046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07BCB" w14:textId="77777777" w:rsidR="00461FEF" w:rsidRDefault="00461FEF" w:rsidP="00D077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39E2AD" w14:textId="77777777" w:rsidR="00461FEF" w:rsidRPr="00D077F5" w:rsidRDefault="00461FEF" w:rsidP="00D077F5">
    <w:pPr>
      <w:pStyle w:val="a4"/>
      <w:pBdr>
        <w:top w:val="single" w:sz="4" w:space="1" w:color="auto"/>
        <w:between w:val="single" w:sz="4" w:space="0" w:color="auto"/>
      </w:pBdr>
      <w:spacing w:after="60"/>
      <w:jc w:val="center"/>
      <w:rPr>
        <w:rFonts w:ascii="FrankRuehl" w:hAnsi="FrankRuehl" w:cs="FrankRuehl"/>
        <w:color w:val="000000"/>
      </w:rPr>
    </w:pPr>
    <w:r w:rsidRPr="00D077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578C7" w14:textId="77777777" w:rsidR="00461FEF" w:rsidRDefault="00461FEF" w:rsidP="00D077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0F7E">
      <w:rPr>
        <w:rFonts w:ascii="FrankRuehl" w:hAnsi="FrankRuehl" w:cs="FrankRuehl"/>
        <w:noProof/>
        <w:rtl/>
      </w:rPr>
      <w:t>1</w:t>
    </w:r>
    <w:r>
      <w:rPr>
        <w:rFonts w:ascii="FrankRuehl" w:hAnsi="FrankRuehl" w:cs="FrankRuehl"/>
        <w:rtl/>
      </w:rPr>
      <w:fldChar w:fldCharType="end"/>
    </w:r>
  </w:p>
  <w:p w14:paraId="7AC75211" w14:textId="77777777" w:rsidR="00461FEF" w:rsidRPr="00D077F5" w:rsidRDefault="00461FEF" w:rsidP="00D077F5">
    <w:pPr>
      <w:pStyle w:val="a4"/>
      <w:pBdr>
        <w:top w:val="single" w:sz="4" w:space="1" w:color="auto"/>
        <w:between w:val="single" w:sz="4" w:space="0" w:color="auto"/>
      </w:pBdr>
      <w:spacing w:after="60"/>
      <w:jc w:val="center"/>
      <w:rPr>
        <w:rFonts w:ascii="FrankRuehl" w:hAnsi="FrankRuehl" w:cs="FrankRuehl"/>
        <w:color w:val="000000"/>
      </w:rPr>
    </w:pPr>
    <w:r w:rsidRPr="00D077F5">
      <w:rPr>
        <w:rFonts w:ascii="FrankRuehl" w:hAnsi="FrankRuehl" w:cs="FrankRuehl"/>
        <w:color w:val="000000"/>
      </w:rPr>
      <w:pict w14:anchorId="0EC46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9FBF0" w14:textId="77777777" w:rsidR="00461FEF" w:rsidRDefault="00461FEF">
      <w:r>
        <w:separator/>
      </w:r>
    </w:p>
  </w:footnote>
  <w:footnote w:type="continuationSeparator" w:id="0">
    <w:p w14:paraId="24481F83" w14:textId="77777777" w:rsidR="00461FEF" w:rsidRDefault="00461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D363B" w14:textId="77777777" w:rsidR="00461FEF" w:rsidRPr="00D077F5" w:rsidRDefault="00461FEF" w:rsidP="00D077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6660-07-15</w:t>
    </w:r>
    <w:r>
      <w:rPr>
        <w:rFonts w:ascii="David" w:hAnsi="David"/>
        <w:color w:val="000000"/>
        <w:sz w:val="22"/>
        <w:szCs w:val="22"/>
        <w:rtl/>
      </w:rPr>
      <w:tab/>
      <w:t xml:space="preserve"> מדינת ישראל נ' מיכאל בוחניק (עצור בפיקוח)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3730C" w14:textId="77777777" w:rsidR="00461FEF" w:rsidRPr="00D077F5" w:rsidRDefault="00461FEF" w:rsidP="00D077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6660-07-15</w:t>
    </w:r>
    <w:r>
      <w:rPr>
        <w:rFonts w:ascii="David" w:hAnsi="David"/>
        <w:color w:val="000000"/>
        <w:sz w:val="22"/>
        <w:szCs w:val="22"/>
        <w:rtl/>
      </w:rPr>
      <w:tab/>
      <w:t xml:space="preserve"> מדינת ישראל נ' מיכאל בוחניק (עצור בפיקוח)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2677"/>
    <w:rsid w:val="00107069"/>
    <w:rsid w:val="00142677"/>
    <w:rsid w:val="00461FEF"/>
    <w:rsid w:val="004C2C7C"/>
    <w:rsid w:val="006D0F7E"/>
    <w:rsid w:val="007C05A4"/>
    <w:rsid w:val="009737B5"/>
    <w:rsid w:val="00AA755F"/>
    <w:rsid w:val="00B9278C"/>
    <w:rsid w:val="00D077F5"/>
    <w:rsid w:val="00F714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4D5CD1"/>
  <w15:chartTrackingRefBased/>
  <w15:docId w15:val="{3ADB4F3C-DB31-4C22-8186-8001B2E3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67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42677"/>
    <w:pPr>
      <w:tabs>
        <w:tab w:val="center" w:pos="4153"/>
        <w:tab w:val="right" w:pos="8306"/>
      </w:tabs>
    </w:pPr>
  </w:style>
  <w:style w:type="paragraph" w:styleId="a4">
    <w:name w:val="footer"/>
    <w:basedOn w:val="a"/>
    <w:rsid w:val="00142677"/>
    <w:pPr>
      <w:tabs>
        <w:tab w:val="center" w:pos="4153"/>
        <w:tab w:val="right" w:pos="8306"/>
      </w:tabs>
    </w:pPr>
  </w:style>
  <w:style w:type="character" w:styleId="a5">
    <w:name w:val="page number"/>
    <w:basedOn w:val="a0"/>
    <w:rsid w:val="00142677"/>
  </w:style>
  <w:style w:type="character" w:styleId="Hyperlink">
    <w:name w:val="Hyperlink"/>
    <w:basedOn w:val="a0"/>
    <w:rsid w:val="00D07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550172"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10446022" TargetMode="External"/><Relationship Id="rId7" Type="http://schemas.openxmlformats.org/officeDocument/2006/relationships/hyperlink" Target="http://www.nevo.co.il/law/4216/6" TargetMode="External"/><Relationship Id="rId12" Type="http://schemas.openxmlformats.org/officeDocument/2006/relationships/hyperlink" Target="http://www.nevo.co.il/law/70301/29" TargetMode="External"/><Relationship Id="rId17" Type="http://schemas.openxmlformats.org/officeDocument/2006/relationships/hyperlink" Target="http://www.nevo.co.il/case/3832583"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0156094" TargetMode="External"/><Relationship Id="rId20" Type="http://schemas.openxmlformats.org/officeDocument/2006/relationships/hyperlink" Target="http://www.nevo.co.il/case/847804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70845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6" TargetMode="External"/><Relationship Id="rId19" Type="http://schemas.openxmlformats.org/officeDocument/2006/relationships/hyperlink" Target="http://www.nevo.co.il/case/18008870" TargetMode="External"/><Relationship Id="rId4" Type="http://schemas.openxmlformats.org/officeDocument/2006/relationships/footnotes" Target="footnotes.xml"/><Relationship Id="rId9" Type="http://schemas.openxmlformats.org/officeDocument/2006/relationships/hyperlink" Target="http://www.nevo.co.il/law/70301/29" TargetMode="External"/><Relationship Id="rId14" Type="http://schemas.openxmlformats.org/officeDocument/2006/relationships/hyperlink" Target="http://www.nevo.co.il/case/20111708"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1304</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7809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3211376</vt:i4>
      </vt:variant>
      <vt:variant>
        <vt:i4>45</vt:i4>
      </vt:variant>
      <vt:variant>
        <vt:i4>0</vt:i4>
      </vt:variant>
      <vt:variant>
        <vt:i4>5</vt:i4>
      </vt:variant>
      <vt:variant>
        <vt:lpwstr>http://www.nevo.co.il/case/10446022</vt:lpwstr>
      </vt:variant>
      <vt:variant>
        <vt:lpwstr/>
      </vt:variant>
      <vt:variant>
        <vt:i4>3932284</vt:i4>
      </vt:variant>
      <vt:variant>
        <vt:i4>42</vt:i4>
      </vt:variant>
      <vt:variant>
        <vt:i4>0</vt:i4>
      </vt:variant>
      <vt:variant>
        <vt:i4>5</vt:i4>
      </vt:variant>
      <vt:variant>
        <vt:lpwstr>http://www.nevo.co.il/case/8478043</vt:lpwstr>
      </vt:variant>
      <vt:variant>
        <vt:lpwstr/>
      </vt:variant>
      <vt:variant>
        <vt:i4>4063348</vt:i4>
      </vt:variant>
      <vt:variant>
        <vt:i4>39</vt:i4>
      </vt:variant>
      <vt:variant>
        <vt:i4>0</vt:i4>
      </vt:variant>
      <vt:variant>
        <vt:i4>5</vt:i4>
      </vt:variant>
      <vt:variant>
        <vt:lpwstr>http://www.nevo.co.il/case/18008870</vt:lpwstr>
      </vt:variant>
      <vt:variant>
        <vt:lpwstr/>
      </vt:variant>
      <vt:variant>
        <vt:i4>3407990</vt:i4>
      </vt:variant>
      <vt:variant>
        <vt:i4>36</vt:i4>
      </vt:variant>
      <vt:variant>
        <vt:i4>0</vt:i4>
      </vt:variant>
      <vt:variant>
        <vt:i4>5</vt:i4>
      </vt:variant>
      <vt:variant>
        <vt:lpwstr>http://www.nevo.co.il/case/2550172</vt:lpwstr>
      </vt:variant>
      <vt:variant>
        <vt:lpwstr/>
      </vt:variant>
      <vt:variant>
        <vt:i4>3539062</vt:i4>
      </vt:variant>
      <vt:variant>
        <vt:i4>33</vt:i4>
      </vt:variant>
      <vt:variant>
        <vt:i4>0</vt:i4>
      </vt:variant>
      <vt:variant>
        <vt:i4>5</vt:i4>
      </vt:variant>
      <vt:variant>
        <vt:lpwstr>http://www.nevo.co.il/case/3832583</vt:lpwstr>
      </vt:variant>
      <vt:variant>
        <vt:lpwstr/>
      </vt:variant>
      <vt:variant>
        <vt:i4>3932273</vt:i4>
      </vt:variant>
      <vt:variant>
        <vt:i4>30</vt:i4>
      </vt:variant>
      <vt:variant>
        <vt:i4>0</vt:i4>
      </vt:variant>
      <vt:variant>
        <vt:i4>5</vt:i4>
      </vt:variant>
      <vt:variant>
        <vt:lpwstr>http://www.nevo.co.il/case/20156094</vt:lpwstr>
      </vt:variant>
      <vt:variant>
        <vt:lpwstr/>
      </vt:variant>
      <vt:variant>
        <vt:i4>3473534</vt:i4>
      </vt:variant>
      <vt:variant>
        <vt:i4>27</vt:i4>
      </vt:variant>
      <vt:variant>
        <vt:i4>0</vt:i4>
      </vt:variant>
      <vt:variant>
        <vt:i4>5</vt:i4>
      </vt:variant>
      <vt:variant>
        <vt:lpwstr>http://www.nevo.co.il/case/17084501</vt:lpwstr>
      </vt:variant>
      <vt:variant>
        <vt:lpwstr/>
      </vt:variant>
      <vt:variant>
        <vt:i4>3276914</vt:i4>
      </vt:variant>
      <vt:variant>
        <vt:i4>24</vt:i4>
      </vt:variant>
      <vt:variant>
        <vt:i4>0</vt:i4>
      </vt:variant>
      <vt:variant>
        <vt:i4>5</vt:i4>
      </vt:variant>
      <vt:variant>
        <vt:lpwstr>http://www.nevo.co.il/case/20111708</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6660</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מיכאל בוחניק (עצור בפיקוח)</vt:lpwstr>
  </property>
  <property fmtid="{D5CDD505-2E9C-101B-9397-08002B2CF9AE}" pid="10" name="LAWYER">
    <vt:lpwstr>רותם טובול;ענף תביעות ירושלים</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20160106</vt:lpwstr>
  </property>
  <property fmtid="{D5CDD505-2E9C-101B-9397-08002B2CF9AE}" pid="14" name="TYPE_N_DATE">
    <vt:lpwstr>38020160106</vt:lpwstr>
  </property>
  <property fmtid="{D5CDD505-2E9C-101B-9397-08002B2CF9AE}" pid="15" name="CASESLISTTMP1">
    <vt:lpwstr>20111708;17084501;20156094;3832583;2550172;18008870;8478043;10446022</vt:lpwstr>
  </property>
  <property fmtid="{D5CDD505-2E9C-101B-9397-08002B2CF9AE}" pid="16" name="CASENOTES1">
    <vt:lpwstr>ProcID=209&amp;PartA=57187&amp;PartB=05&amp;PartC=14</vt:lpwstr>
  </property>
  <property fmtid="{D5CDD505-2E9C-101B-9397-08002B2CF9AE}" pid="17" name="WORDNUMPAGES">
    <vt:lpwstr>5</vt:lpwstr>
  </property>
  <property fmtid="{D5CDD505-2E9C-101B-9397-08002B2CF9AE}" pid="18" name="TYPE_ABS_DATE">
    <vt:lpwstr>380020160106</vt:lpwstr>
  </property>
  <property fmtid="{D5CDD505-2E9C-101B-9397-08002B2CF9AE}" pid="19" name="ISABSTRACT">
    <vt:lpwstr>Y</vt:lpwstr>
  </property>
  <property fmtid="{D5CDD505-2E9C-101B-9397-08002B2CF9AE}" pid="20" name="LAWLISTTMP1">
    <vt:lpwstr>4216/006</vt:lpwstr>
  </property>
  <property fmtid="{D5CDD505-2E9C-101B-9397-08002B2CF9AE}" pid="21" name="LAWLISTTMP2">
    <vt:lpwstr>70301/029</vt:lpwstr>
  </property>
</Properties>
</file>