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90051" w:rsidRPr="00F25298" w14:paraId="05EAC8D5" w14:textId="77777777" w:rsidTr="00A455CF">
        <w:trPr>
          <w:trHeight w:hRule="exact" w:val="418"/>
          <w:jc w:val="center"/>
        </w:trPr>
        <w:tc>
          <w:tcPr>
            <w:tcW w:w="8721" w:type="dxa"/>
            <w:gridSpan w:val="2"/>
          </w:tcPr>
          <w:p w14:paraId="3CEA5C7C" w14:textId="77777777" w:rsidR="00190051" w:rsidRPr="00F25298" w:rsidRDefault="00190051" w:rsidP="00124463">
            <w:pPr>
              <w:pStyle w:val="a3"/>
              <w:jc w:val="center"/>
              <w:rPr>
                <w:rFonts w:ascii="Tahoma" w:hAnsi="Tahoma"/>
                <w:color w:val="000080"/>
                <w:sz w:val="32"/>
                <w:szCs w:val="32"/>
                <w:rtl/>
              </w:rPr>
            </w:pPr>
            <w:bookmarkStart w:id="0" w:name="LastJudge"/>
            <w:r w:rsidRPr="00F25298">
              <w:rPr>
                <w:rFonts w:ascii="Tahoma" w:hAnsi="Tahoma"/>
                <w:b/>
                <w:bCs/>
                <w:color w:val="000080"/>
                <w:sz w:val="32"/>
                <w:szCs w:val="32"/>
                <w:rtl/>
              </w:rPr>
              <w:t>בית משפט השלום בתל אביב - יפו</w:t>
            </w:r>
          </w:p>
        </w:tc>
      </w:tr>
      <w:tr w:rsidR="00190051" w:rsidRPr="00F25298" w14:paraId="4B979718" w14:textId="77777777" w:rsidTr="00A455CF">
        <w:trPr>
          <w:trHeight w:val="337"/>
          <w:jc w:val="center"/>
        </w:trPr>
        <w:tc>
          <w:tcPr>
            <w:tcW w:w="5054" w:type="dxa"/>
          </w:tcPr>
          <w:p w14:paraId="1B27474F" w14:textId="77777777" w:rsidR="00190051" w:rsidRPr="00F25298" w:rsidRDefault="00190051" w:rsidP="00124463">
            <w:pPr>
              <w:rPr>
                <w:sz w:val="26"/>
                <w:szCs w:val="26"/>
                <w:rtl/>
              </w:rPr>
            </w:pPr>
            <w:r w:rsidRPr="00F25298">
              <w:rPr>
                <w:sz w:val="26"/>
                <w:szCs w:val="26"/>
                <w:rtl/>
              </w:rPr>
              <w:t>ת"פ</w:t>
            </w:r>
            <w:r w:rsidRPr="00F25298">
              <w:rPr>
                <w:rFonts w:hint="cs"/>
                <w:sz w:val="26"/>
                <w:szCs w:val="26"/>
                <w:rtl/>
              </w:rPr>
              <w:t xml:space="preserve"> </w:t>
            </w:r>
            <w:r w:rsidRPr="00F25298">
              <w:rPr>
                <w:sz w:val="26"/>
                <w:szCs w:val="26"/>
                <w:rtl/>
              </w:rPr>
              <w:t>12819-08-15</w:t>
            </w:r>
            <w:r w:rsidRPr="00F25298">
              <w:rPr>
                <w:rFonts w:hint="cs"/>
                <w:sz w:val="26"/>
                <w:szCs w:val="26"/>
                <w:rtl/>
              </w:rPr>
              <w:t xml:space="preserve"> </w:t>
            </w:r>
            <w:r w:rsidRPr="00F25298">
              <w:rPr>
                <w:sz w:val="26"/>
                <w:szCs w:val="26"/>
                <w:rtl/>
              </w:rPr>
              <w:t>מדינת ישראל נ' סאפי</w:t>
            </w:r>
          </w:p>
          <w:p w14:paraId="4CE75074" w14:textId="77777777" w:rsidR="00190051" w:rsidRPr="00F25298" w:rsidRDefault="00190051" w:rsidP="00124463">
            <w:pPr>
              <w:pStyle w:val="a3"/>
              <w:rPr>
                <w:rFonts w:cs="FrankRuehl"/>
                <w:sz w:val="28"/>
                <w:szCs w:val="28"/>
                <w:rtl/>
              </w:rPr>
            </w:pPr>
          </w:p>
        </w:tc>
        <w:tc>
          <w:tcPr>
            <w:tcW w:w="3667" w:type="dxa"/>
          </w:tcPr>
          <w:p w14:paraId="6106592A" w14:textId="77777777" w:rsidR="00190051" w:rsidRPr="00F25298" w:rsidRDefault="00190051" w:rsidP="00124463">
            <w:pPr>
              <w:pStyle w:val="a3"/>
              <w:jc w:val="right"/>
              <w:rPr>
                <w:rFonts w:cs="FrankRuehl"/>
                <w:sz w:val="28"/>
                <w:szCs w:val="28"/>
                <w:rtl/>
              </w:rPr>
            </w:pPr>
          </w:p>
        </w:tc>
      </w:tr>
    </w:tbl>
    <w:p w14:paraId="118C50B5" w14:textId="77777777" w:rsidR="00190051" w:rsidRPr="00F25298" w:rsidRDefault="00190051" w:rsidP="00190051">
      <w:pPr>
        <w:pStyle w:val="a3"/>
        <w:rPr>
          <w:rtl/>
        </w:rPr>
      </w:pPr>
      <w:r w:rsidRPr="00F25298">
        <w:rPr>
          <w:rFonts w:hint="cs"/>
          <w:rtl/>
        </w:rPr>
        <w:t xml:space="preserve"> </w:t>
      </w:r>
    </w:p>
    <w:p w14:paraId="4F00F330" w14:textId="77777777" w:rsidR="00190051" w:rsidRPr="00F25298" w:rsidRDefault="00190051" w:rsidP="0019005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58"/>
        <w:gridCol w:w="3367"/>
      </w:tblGrid>
      <w:tr w:rsidR="00190051" w:rsidRPr="00F25298" w14:paraId="2ECD055A" w14:textId="77777777" w:rsidTr="00190051">
        <w:trPr>
          <w:trHeight w:val="295"/>
          <w:jc w:val="center"/>
        </w:trPr>
        <w:tc>
          <w:tcPr>
            <w:tcW w:w="1195" w:type="dxa"/>
            <w:tcBorders>
              <w:top w:val="nil"/>
              <w:left w:val="nil"/>
              <w:bottom w:val="nil"/>
              <w:right w:val="nil"/>
            </w:tcBorders>
            <w:shd w:val="clear" w:color="auto" w:fill="auto"/>
          </w:tcPr>
          <w:p w14:paraId="727E648E" w14:textId="77777777" w:rsidR="00190051" w:rsidRPr="00F25298" w:rsidRDefault="00190051" w:rsidP="00190051">
            <w:pPr>
              <w:jc w:val="both"/>
              <w:rPr>
                <w:rFonts w:ascii="Arial" w:hAnsi="Arial"/>
                <w:b/>
                <w:bCs/>
                <w:sz w:val="26"/>
                <w:szCs w:val="26"/>
              </w:rPr>
            </w:pPr>
            <w:r w:rsidRPr="00F25298">
              <w:rPr>
                <w:rFonts w:ascii="Arial" w:hAnsi="Arial" w:hint="cs"/>
                <w:b/>
                <w:bCs/>
                <w:sz w:val="26"/>
                <w:szCs w:val="26"/>
                <w:rtl/>
              </w:rPr>
              <w:t>ל</w:t>
            </w:r>
            <w:r w:rsidRPr="00F25298">
              <w:rPr>
                <w:rFonts w:ascii="Arial" w:hAnsi="Arial"/>
                <w:b/>
                <w:bCs/>
                <w:sz w:val="26"/>
                <w:szCs w:val="26"/>
                <w:rtl/>
              </w:rPr>
              <w:t xml:space="preserve">פני </w:t>
            </w:r>
          </w:p>
        </w:tc>
        <w:tc>
          <w:tcPr>
            <w:tcW w:w="7625" w:type="dxa"/>
            <w:gridSpan w:val="2"/>
            <w:tcBorders>
              <w:top w:val="nil"/>
              <w:left w:val="nil"/>
              <w:bottom w:val="nil"/>
              <w:right w:val="nil"/>
            </w:tcBorders>
            <w:shd w:val="clear" w:color="auto" w:fill="auto"/>
          </w:tcPr>
          <w:p w14:paraId="75E49FE8" w14:textId="77777777" w:rsidR="00190051" w:rsidRPr="00F25298" w:rsidRDefault="00190051" w:rsidP="00124463">
            <w:pPr>
              <w:rPr>
                <w:rFonts w:ascii="Arial" w:hAnsi="Arial"/>
                <w:b/>
                <w:bCs/>
                <w:sz w:val="26"/>
                <w:szCs w:val="26"/>
                <w:rtl/>
              </w:rPr>
            </w:pPr>
            <w:r w:rsidRPr="00F25298">
              <w:rPr>
                <w:rFonts w:ascii="Arial" w:hAnsi="Arial" w:hint="cs"/>
                <w:b/>
                <w:bCs/>
                <w:sz w:val="26"/>
                <w:szCs w:val="26"/>
                <w:rtl/>
              </w:rPr>
              <w:t>כבוד ה</w:t>
            </w:r>
            <w:r w:rsidRPr="00F25298">
              <w:rPr>
                <w:rFonts w:ascii="Arial" w:hAnsi="Arial"/>
                <w:b/>
                <w:bCs/>
                <w:sz w:val="26"/>
                <w:szCs w:val="26"/>
                <w:rtl/>
              </w:rPr>
              <w:t>שופט</w:t>
            </w:r>
            <w:r w:rsidRPr="00F25298">
              <w:rPr>
                <w:rFonts w:ascii="Arial" w:hAnsi="Arial" w:hint="cs"/>
                <w:b/>
                <w:bCs/>
                <w:sz w:val="26"/>
                <w:szCs w:val="26"/>
                <w:rtl/>
              </w:rPr>
              <w:t xml:space="preserve">  </w:t>
            </w:r>
            <w:r w:rsidRPr="00F25298">
              <w:rPr>
                <w:rFonts w:ascii="Arial" w:hAnsi="Arial"/>
                <w:b/>
                <w:bCs/>
                <w:sz w:val="26"/>
                <w:szCs w:val="26"/>
                <w:rtl/>
              </w:rPr>
              <w:t>איתי הרמלין</w:t>
            </w:r>
          </w:p>
          <w:p w14:paraId="5ED77F17" w14:textId="77777777" w:rsidR="00190051" w:rsidRPr="00F25298" w:rsidRDefault="00190051" w:rsidP="00124463">
            <w:pPr>
              <w:rPr>
                <w:sz w:val="26"/>
                <w:szCs w:val="26"/>
                <w:rtl/>
              </w:rPr>
            </w:pPr>
          </w:p>
          <w:p w14:paraId="0C338048" w14:textId="77777777" w:rsidR="00190051" w:rsidRPr="00F25298" w:rsidRDefault="00190051" w:rsidP="00190051">
            <w:pPr>
              <w:jc w:val="both"/>
              <w:rPr>
                <w:rFonts w:ascii="Arial" w:hAnsi="Arial"/>
                <w:sz w:val="26"/>
                <w:szCs w:val="26"/>
              </w:rPr>
            </w:pPr>
          </w:p>
        </w:tc>
      </w:tr>
      <w:tr w:rsidR="00190051" w:rsidRPr="00F25298" w14:paraId="62A6A758" w14:textId="77777777" w:rsidTr="00190051">
        <w:trPr>
          <w:trHeight w:val="355"/>
          <w:jc w:val="center"/>
        </w:trPr>
        <w:tc>
          <w:tcPr>
            <w:tcW w:w="1195" w:type="dxa"/>
            <w:tcBorders>
              <w:top w:val="nil"/>
              <w:left w:val="nil"/>
              <w:bottom w:val="nil"/>
              <w:right w:val="nil"/>
            </w:tcBorders>
            <w:shd w:val="clear" w:color="auto" w:fill="auto"/>
          </w:tcPr>
          <w:p w14:paraId="0A531435" w14:textId="77777777" w:rsidR="00190051" w:rsidRPr="00F25298" w:rsidRDefault="00190051" w:rsidP="00190051">
            <w:pPr>
              <w:jc w:val="both"/>
              <w:rPr>
                <w:rFonts w:ascii="Arial" w:hAnsi="Arial"/>
                <w:b/>
                <w:bCs/>
                <w:sz w:val="26"/>
                <w:szCs w:val="26"/>
              </w:rPr>
            </w:pPr>
            <w:bookmarkStart w:id="1" w:name="FirstAppellant"/>
            <w:bookmarkStart w:id="2" w:name="FirstLawyer"/>
            <w:r w:rsidRPr="00F25298">
              <w:rPr>
                <w:rFonts w:ascii="Arial" w:hAnsi="Arial" w:hint="cs"/>
                <w:sz w:val="26"/>
                <w:szCs w:val="26"/>
                <w:rtl/>
              </w:rPr>
              <w:t>ה</w:t>
            </w:r>
            <w:r w:rsidRPr="00F25298">
              <w:rPr>
                <w:rFonts w:ascii="Arial" w:hAnsi="Arial"/>
                <w:sz w:val="26"/>
                <w:szCs w:val="26"/>
                <w:rtl/>
              </w:rPr>
              <w:t>מאשימה</w:t>
            </w:r>
          </w:p>
        </w:tc>
        <w:tc>
          <w:tcPr>
            <w:tcW w:w="4258" w:type="dxa"/>
            <w:tcBorders>
              <w:top w:val="nil"/>
              <w:left w:val="nil"/>
              <w:bottom w:val="nil"/>
              <w:right w:val="nil"/>
            </w:tcBorders>
            <w:shd w:val="clear" w:color="auto" w:fill="auto"/>
          </w:tcPr>
          <w:p w14:paraId="303AE5CF" w14:textId="77777777" w:rsidR="00190051" w:rsidRPr="00F25298" w:rsidRDefault="00190051" w:rsidP="00124463">
            <w:pPr>
              <w:rPr>
                <w:sz w:val="26"/>
                <w:szCs w:val="26"/>
                <w:rtl/>
              </w:rPr>
            </w:pPr>
            <w:r w:rsidRPr="00F25298">
              <w:rPr>
                <w:rFonts w:ascii="Arial" w:hAnsi="Arial"/>
                <w:sz w:val="26"/>
                <w:szCs w:val="26"/>
                <w:rtl/>
              </w:rPr>
              <w:t>מדינת ישראל</w:t>
            </w:r>
          </w:p>
          <w:p w14:paraId="5E8F04A6" w14:textId="77777777" w:rsidR="00190051" w:rsidRPr="00F25298" w:rsidRDefault="00190051" w:rsidP="00124463">
            <w:pPr>
              <w:rPr>
                <w:sz w:val="26"/>
                <w:szCs w:val="26"/>
              </w:rPr>
            </w:pPr>
            <w:r w:rsidRPr="00F25298">
              <w:rPr>
                <w:rFonts w:hint="cs"/>
                <w:sz w:val="26"/>
                <w:szCs w:val="26"/>
                <w:rtl/>
              </w:rPr>
              <w:t>ע"י עו"ד סיון אטיה</w:t>
            </w:r>
          </w:p>
        </w:tc>
        <w:tc>
          <w:tcPr>
            <w:tcW w:w="3367" w:type="dxa"/>
            <w:tcBorders>
              <w:top w:val="nil"/>
              <w:left w:val="nil"/>
              <w:bottom w:val="nil"/>
              <w:right w:val="nil"/>
            </w:tcBorders>
            <w:shd w:val="clear" w:color="auto" w:fill="auto"/>
          </w:tcPr>
          <w:p w14:paraId="2FB234F7" w14:textId="77777777" w:rsidR="00190051" w:rsidRPr="00F25298" w:rsidRDefault="00190051" w:rsidP="00190051">
            <w:pPr>
              <w:jc w:val="both"/>
              <w:rPr>
                <w:rFonts w:ascii="Arial" w:hAnsi="Arial"/>
                <w:sz w:val="26"/>
                <w:szCs w:val="26"/>
              </w:rPr>
            </w:pPr>
          </w:p>
        </w:tc>
      </w:tr>
      <w:bookmarkEnd w:id="1"/>
      <w:bookmarkEnd w:id="2"/>
      <w:tr w:rsidR="00190051" w:rsidRPr="00F25298" w14:paraId="5DB3A1BE" w14:textId="77777777" w:rsidTr="00190051">
        <w:trPr>
          <w:trHeight w:val="355"/>
          <w:jc w:val="center"/>
        </w:trPr>
        <w:tc>
          <w:tcPr>
            <w:tcW w:w="1195" w:type="dxa"/>
            <w:tcBorders>
              <w:top w:val="nil"/>
              <w:left w:val="nil"/>
              <w:bottom w:val="nil"/>
              <w:right w:val="nil"/>
            </w:tcBorders>
            <w:shd w:val="clear" w:color="auto" w:fill="auto"/>
          </w:tcPr>
          <w:p w14:paraId="2E6EBCFA" w14:textId="77777777" w:rsidR="00190051" w:rsidRPr="00F25298" w:rsidRDefault="00190051" w:rsidP="00190051">
            <w:pPr>
              <w:jc w:val="both"/>
              <w:rPr>
                <w:rFonts w:ascii="Arial" w:hAnsi="Arial"/>
                <w:sz w:val="26"/>
                <w:szCs w:val="26"/>
                <w:rtl/>
              </w:rPr>
            </w:pPr>
          </w:p>
        </w:tc>
        <w:tc>
          <w:tcPr>
            <w:tcW w:w="4258" w:type="dxa"/>
            <w:tcBorders>
              <w:top w:val="nil"/>
              <w:left w:val="nil"/>
              <w:bottom w:val="nil"/>
              <w:right w:val="nil"/>
            </w:tcBorders>
            <w:shd w:val="clear" w:color="auto" w:fill="auto"/>
          </w:tcPr>
          <w:p w14:paraId="69548CC6" w14:textId="77777777" w:rsidR="00190051" w:rsidRPr="00F25298" w:rsidRDefault="00190051" w:rsidP="00124463">
            <w:pPr>
              <w:rPr>
                <w:rFonts w:ascii="Arial" w:hAnsi="Arial"/>
                <w:sz w:val="26"/>
                <w:szCs w:val="26"/>
                <w:rtl/>
              </w:rPr>
            </w:pPr>
          </w:p>
        </w:tc>
        <w:tc>
          <w:tcPr>
            <w:tcW w:w="3367" w:type="dxa"/>
            <w:tcBorders>
              <w:top w:val="nil"/>
              <w:left w:val="nil"/>
              <w:bottom w:val="nil"/>
              <w:right w:val="nil"/>
            </w:tcBorders>
            <w:shd w:val="clear" w:color="auto" w:fill="auto"/>
          </w:tcPr>
          <w:p w14:paraId="6BA96C7B" w14:textId="77777777" w:rsidR="00190051" w:rsidRPr="00F25298" w:rsidRDefault="00190051" w:rsidP="00190051">
            <w:pPr>
              <w:jc w:val="right"/>
              <w:rPr>
                <w:rFonts w:ascii="Arial" w:hAnsi="Arial"/>
                <w:sz w:val="26"/>
                <w:szCs w:val="26"/>
                <w:rtl/>
              </w:rPr>
            </w:pPr>
          </w:p>
        </w:tc>
      </w:tr>
      <w:tr w:rsidR="00190051" w:rsidRPr="00F25298" w14:paraId="5D61B1CF" w14:textId="77777777" w:rsidTr="00190051">
        <w:trPr>
          <w:trHeight w:val="355"/>
          <w:jc w:val="center"/>
        </w:trPr>
        <w:tc>
          <w:tcPr>
            <w:tcW w:w="1195" w:type="dxa"/>
            <w:tcBorders>
              <w:top w:val="nil"/>
              <w:left w:val="nil"/>
              <w:bottom w:val="nil"/>
              <w:right w:val="nil"/>
            </w:tcBorders>
            <w:shd w:val="clear" w:color="auto" w:fill="auto"/>
          </w:tcPr>
          <w:p w14:paraId="4F50E7FD" w14:textId="77777777" w:rsidR="00190051" w:rsidRPr="00F25298" w:rsidRDefault="00190051" w:rsidP="00190051">
            <w:pPr>
              <w:jc w:val="both"/>
              <w:rPr>
                <w:rFonts w:ascii="Arial" w:hAnsi="Arial"/>
                <w:sz w:val="26"/>
                <w:szCs w:val="26"/>
                <w:rtl/>
              </w:rPr>
            </w:pPr>
          </w:p>
        </w:tc>
        <w:tc>
          <w:tcPr>
            <w:tcW w:w="7625" w:type="dxa"/>
            <w:gridSpan w:val="2"/>
            <w:tcBorders>
              <w:top w:val="nil"/>
              <w:left w:val="nil"/>
              <w:bottom w:val="nil"/>
              <w:right w:val="nil"/>
            </w:tcBorders>
            <w:shd w:val="clear" w:color="auto" w:fill="auto"/>
          </w:tcPr>
          <w:p w14:paraId="6DE0B950" w14:textId="77777777" w:rsidR="00190051" w:rsidRPr="00F25298" w:rsidRDefault="00190051" w:rsidP="00190051">
            <w:pPr>
              <w:jc w:val="center"/>
              <w:rPr>
                <w:rFonts w:ascii="Arial" w:hAnsi="Arial"/>
                <w:b/>
                <w:bCs/>
                <w:sz w:val="26"/>
                <w:szCs w:val="26"/>
                <w:rtl/>
              </w:rPr>
            </w:pPr>
          </w:p>
          <w:p w14:paraId="61321B2F" w14:textId="77777777" w:rsidR="00190051" w:rsidRPr="00F25298" w:rsidRDefault="00190051" w:rsidP="00190051">
            <w:pPr>
              <w:jc w:val="center"/>
              <w:rPr>
                <w:rFonts w:ascii="Arial" w:hAnsi="Arial"/>
                <w:b/>
                <w:bCs/>
                <w:sz w:val="26"/>
                <w:szCs w:val="26"/>
                <w:rtl/>
              </w:rPr>
            </w:pPr>
            <w:r w:rsidRPr="00F25298">
              <w:rPr>
                <w:rFonts w:ascii="Arial" w:hAnsi="Arial"/>
                <w:b/>
                <w:bCs/>
                <w:sz w:val="26"/>
                <w:szCs w:val="26"/>
                <w:rtl/>
              </w:rPr>
              <w:t>נגד</w:t>
            </w:r>
          </w:p>
          <w:p w14:paraId="5A49D448" w14:textId="77777777" w:rsidR="00190051" w:rsidRPr="00F25298" w:rsidRDefault="00190051" w:rsidP="00190051">
            <w:pPr>
              <w:jc w:val="both"/>
              <w:rPr>
                <w:rFonts w:ascii="Arial" w:hAnsi="Arial"/>
                <w:sz w:val="26"/>
                <w:szCs w:val="26"/>
              </w:rPr>
            </w:pPr>
          </w:p>
        </w:tc>
      </w:tr>
      <w:tr w:rsidR="00190051" w:rsidRPr="00F25298" w14:paraId="02CA0854" w14:textId="77777777" w:rsidTr="00190051">
        <w:trPr>
          <w:trHeight w:val="355"/>
          <w:jc w:val="center"/>
        </w:trPr>
        <w:tc>
          <w:tcPr>
            <w:tcW w:w="1195" w:type="dxa"/>
            <w:tcBorders>
              <w:top w:val="nil"/>
              <w:left w:val="nil"/>
              <w:bottom w:val="nil"/>
              <w:right w:val="nil"/>
            </w:tcBorders>
            <w:shd w:val="clear" w:color="auto" w:fill="auto"/>
          </w:tcPr>
          <w:p w14:paraId="07EF425F" w14:textId="77777777" w:rsidR="00190051" w:rsidRPr="00F25298" w:rsidRDefault="00190051" w:rsidP="00124463">
            <w:pPr>
              <w:rPr>
                <w:rFonts w:ascii="Arial" w:hAnsi="Arial"/>
                <w:sz w:val="26"/>
                <w:szCs w:val="26"/>
                <w:rtl/>
              </w:rPr>
            </w:pPr>
            <w:r w:rsidRPr="00F25298">
              <w:rPr>
                <w:rFonts w:ascii="Arial" w:hAnsi="Arial" w:hint="cs"/>
                <w:sz w:val="26"/>
                <w:szCs w:val="26"/>
                <w:rtl/>
              </w:rPr>
              <w:t>ה</w:t>
            </w:r>
            <w:r w:rsidRPr="00F25298">
              <w:rPr>
                <w:rFonts w:ascii="Arial" w:hAnsi="Arial"/>
                <w:sz w:val="26"/>
                <w:szCs w:val="26"/>
                <w:rtl/>
              </w:rPr>
              <w:t>נאשמים</w:t>
            </w:r>
          </w:p>
        </w:tc>
        <w:tc>
          <w:tcPr>
            <w:tcW w:w="4258" w:type="dxa"/>
            <w:tcBorders>
              <w:top w:val="nil"/>
              <w:left w:val="nil"/>
              <w:bottom w:val="nil"/>
              <w:right w:val="nil"/>
            </w:tcBorders>
            <w:shd w:val="clear" w:color="auto" w:fill="auto"/>
          </w:tcPr>
          <w:p w14:paraId="00D1E6C5" w14:textId="77777777" w:rsidR="00190051" w:rsidRPr="00F25298" w:rsidRDefault="00190051" w:rsidP="00124463">
            <w:pPr>
              <w:rPr>
                <w:sz w:val="26"/>
                <w:szCs w:val="26"/>
                <w:rtl/>
              </w:rPr>
            </w:pPr>
            <w:r w:rsidRPr="00F25298">
              <w:rPr>
                <w:rFonts w:ascii="Arial" w:hAnsi="Arial"/>
                <w:sz w:val="26"/>
                <w:szCs w:val="26"/>
                <w:rtl/>
              </w:rPr>
              <w:t>מחמד סאפי</w:t>
            </w:r>
          </w:p>
          <w:p w14:paraId="0F8EC625" w14:textId="77777777" w:rsidR="00190051" w:rsidRPr="00F25298" w:rsidRDefault="00190051" w:rsidP="00124463">
            <w:pPr>
              <w:rPr>
                <w:sz w:val="26"/>
                <w:szCs w:val="26"/>
                <w:rtl/>
              </w:rPr>
            </w:pPr>
            <w:r w:rsidRPr="00F25298">
              <w:rPr>
                <w:rFonts w:hint="cs"/>
                <w:sz w:val="26"/>
                <w:szCs w:val="26"/>
                <w:rtl/>
              </w:rPr>
              <w:t>ע"י עו"ד מחמוד נעאמנה</w:t>
            </w:r>
          </w:p>
        </w:tc>
        <w:tc>
          <w:tcPr>
            <w:tcW w:w="3367" w:type="dxa"/>
            <w:tcBorders>
              <w:top w:val="nil"/>
              <w:left w:val="nil"/>
              <w:bottom w:val="nil"/>
              <w:right w:val="nil"/>
            </w:tcBorders>
            <w:shd w:val="clear" w:color="auto" w:fill="auto"/>
          </w:tcPr>
          <w:p w14:paraId="73544438" w14:textId="77777777" w:rsidR="00190051" w:rsidRPr="00F25298" w:rsidRDefault="00190051" w:rsidP="00190051">
            <w:pPr>
              <w:jc w:val="right"/>
              <w:rPr>
                <w:rFonts w:ascii="Arial" w:hAnsi="Arial"/>
                <w:sz w:val="26"/>
                <w:szCs w:val="26"/>
              </w:rPr>
            </w:pPr>
          </w:p>
        </w:tc>
      </w:tr>
      <w:tr w:rsidR="00190051" w:rsidRPr="00F25298" w14:paraId="5C117A35" w14:textId="77777777" w:rsidTr="00190051">
        <w:trPr>
          <w:trHeight w:val="355"/>
          <w:jc w:val="center"/>
        </w:trPr>
        <w:tc>
          <w:tcPr>
            <w:tcW w:w="1195" w:type="dxa"/>
            <w:tcBorders>
              <w:top w:val="nil"/>
              <w:left w:val="nil"/>
              <w:bottom w:val="nil"/>
              <w:right w:val="nil"/>
            </w:tcBorders>
            <w:shd w:val="clear" w:color="auto" w:fill="auto"/>
          </w:tcPr>
          <w:p w14:paraId="1BAE30A5" w14:textId="77777777" w:rsidR="00190051" w:rsidRPr="00F25298" w:rsidRDefault="00190051" w:rsidP="00190051">
            <w:pPr>
              <w:jc w:val="both"/>
              <w:rPr>
                <w:rFonts w:ascii="Arial" w:hAnsi="Arial"/>
                <w:sz w:val="26"/>
                <w:szCs w:val="26"/>
                <w:rtl/>
              </w:rPr>
            </w:pPr>
          </w:p>
        </w:tc>
        <w:tc>
          <w:tcPr>
            <w:tcW w:w="4258" w:type="dxa"/>
            <w:tcBorders>
              <w:top w:val="nil"/>
              <w:left w:val="nil"/>
              <w:bottom w:val="nil"/>
              <w:right w:val="nil"/>
            </w:tcBorders>
            <w:shd w:val="clear" w:color="auto" w:fill="auto"/>
          </w:tcPr>
          <w:p w14:paraId="048CF148" w14:textId="77777777" w:rsidR="00190051" w:rsidRPr="00F25298" w:rsidRDefault="00190051" w:rsidP="00124463">
            <w:pPr>
              <w:rPr>
                <w:rFonts w:ascii="Arial" w:hAnsi="Arial"/>
                <w:sz w:val="26"/>
                <w:szCs w:val="26"/>
              </w:rPr>
            </w:pPr>
          </w:p>
        </w:tc>
        <w:tc>
          <w:tcPr>
            <w:tcW w:w="3367" w:type="dxa"/>
            <w:tcBorders>
              <w:top w:val="nil"/>
              <w:left w:val="nil"/>
              <w:bottom w:val="nil"/>
              <w:right w:val="nil"/>
            </w:tcBorders>
            <w:shd w:val="clear" w:color="auto" w:fill="auto"/>
          </w:tcPr>
          <w:p w14:paraId="2E10F847" w14:textId="77777777" w:rsidR="00190051" w:rsidRPr="00F25298" w:rsidRDefault="00190051" w:rsidP="00190051">
            <w:pPr>
              <w:jc w:val="right"/>
              <w:rPr>
                <w:rFonts w:ascii="Arial" w:hAnsi="Arial"/>
                <w:sz w:val="26"/>
                <w:szCs w:val="26"/>
              </w:rPr>
            </w:pPr>
          </w:p>
        </w:tc>
      </w:tr>
      <w:tr w:rsidR="00190051" w14:paraId="472537D7" w14:textId="77777777" w:rsidTr="00190051">
        <w:trPr>
          <w:trHeight w:val="355"/>
          <w:jc w:val="center"/>
        </w:trPr>
        <w:tc>
          <w:tcPr>
            <w:tcW w:w="8820" w:type="dxa"/>
            <w:gridSpan w:val="3"/>
            <w:tcBorders>
              <w:top w:val="nil"/>
              <w:left w:val="nil"/>
              <w:bottom w:val="nil"/>
              <w:right w:val="nil"/>
            </w:tcBorders>
            <w:shd w:val="clear" w:color="auto" w:fill="auto"/>
          </w:tcPr>
          <w:p w14:paraId="258A28DC" w14:textId="77777777" w:rsidR="00A455CF" w:rsidRDefault="00A455CF" w:rsidP="00F25298">
            <w:pPr>
              <w:jc w:val="center"/>
              <w:rPr>
                <w:rFonts w:ascii="Arial" w:hAnsi="Arial"/>
                <w:sz w:val="28"/>
                <w:szCs w:val="28"/>
                <w:rtl/>
              </w:rPr>
            </w:pPr>
            <w:bookmarkStart w:id="3" w:name="PsakDin" w:colFirst="0" w:colLast="0"/>
            <w:bookmarkStart w:id="4" w:name="LawTable"/>
            <w:bookmarkEnd w:id="0"/>
            <w:bookmarkEnd w:id="4"/>
          </w:p>
          <w:p w14:paraId="404E3F16" w14:textId="77777777" w:rsidR="00A455CF" w:rsidRPr="00A455CF" w:rsidRDefault="00A455CF" w:rsidP="00A455CF">
            <w:pPr>
              <w:spacing w:after="120" w:line="240" w:lineRule="exact"/>
              <w:ind w:left="283" w:hanging="283"/>
              <w:jc w:val="both"/>
              <w:rPr>
                <w:rFonts w:ascii="FrankRuehl" w:hAnsi="FrankRuehl" w:cs="FrankRuehl"/>
                <w:rtl/>
              </w:rPr>
            </w:pPr>
            <w:r w:rsidRPr="00A455CF">
              <w:rPr>
                <w:rFonts w:ascii="FrankRuehl" w:hAnsi="FrankRuehl" w:cs="FrankRuehl"/>
                <w:rtl/>
              </w:rPr>
              <w:t xml:space="preserve">חקיקה שאוזכרה: </w:t>
            </w:r>
          </w:p>
          <w:p w14:paraId="14D70D8E" w14:textId="77777777" w:rsidR="00A455CF" w:rsidRPr="00A455CF" w:rsidRDefault="00A455CF" w:rsidP="00A455CF">
            <w:pPr>
              <w:spacing w:after="120" w:line="240" w:lineRule="exact"/>
              <w:ind w:left="283" w:hanging="283"/>
              <w:jc w:val="both"/>
              <w:rPr>
                <w:rFonts w:ascii="FrankRuehl" w:hAnsi="FrankRuehl" w:cs="FrankRuehl"/>
                <w:rtl/>
              </w:rPr>
            </w:pPr>
            <w:hyperlink r:id="rId6" w:history="1">
              <w:r w:rsidRPr="00A455CF">
                <w:rPr>
                  <w:rFonts w:ascii="FrankRuehl" w:hAnsi="FrankRuehl" w:cs="FrankRuehl"/>
                  <w:color w:val="0000FF"/>
                  <w:u w:val="single"/>
                  <w:rtl/>
                </w:rPr>
                <w:t>פקודת הסמים המסוכנים [נוסח חדש], תשל"ג-1973</w:t>
              </w:r>
            </w:hyperlink>
            <w:r w:rsidRPr="00A455CF">
              <w:rPr>
                <w:rFonts w:ascii="FrankRuehl" w:hAnsi="FrankRuehl" w:cs="FrankRuehl"/>
                <w:rtl/>
              </w:rPr>
              <w:t xml:space="preserve">: סע'  </w:t>
            </w:r>
            <w:hyperlink r:id="rId7" w:history="1">
              <w:r w:rsidRPr="00A455CF">
                <w:rPr>
                  <w:rFonts w:ascii="FrankRuehl" w:hAnsi="FrankRuehl" w:cs="FrankRuehl"/>
                  <w:color w:val="0000FF"/>
                  <w:u w:val="single"/>
                  <w:rtl/>
                </w:rPr>
                <w:t>7(א+ג</w:t>
              </w:r>
            </w:hyperlink>
          </w:p>
          <w:p w14:paraId="192FBCE8" w14:textId="77777777" w:rsidR="00A455CF" w:rsidRPr="00A455CF" w:rsidRDefault="00A455CF" w:rsidP="00A455CF">
            <w:pPr>
              <w:spacing w:after="120" w:line="240" w:lineRule="exact"/>
              <w:ind w:left="283" w:hanging="283"/>
              <w:jc w:val="both"/>
              <w:rPr>
                <w:rFonts w:ascii="FrankRuehl" w:hAnsi="FrankRuehl" w:cs="FrankRuehl"/>
                <w:rtl/>
              </w:rPr>
            </w:pPr>
          </w:p>
          <w:p w14:paraId="576ECC39" w14:textId="77777777" w:rsidR="00F25298" w:rsidRPr="00F25298" w:rsidRDefault="00F25298" w:rsidP="00F25298">
            <w:pPr>
              <w:jc w:val="center"/>
              <w:rPr>
                <w:rFonts w:ascii="Arial" w:hAnsi="Arial"/>
                <w:b/>
                <w:bCs/>
                <w:sz w:val="28"/>
                <w:szCs w:val="28"/>
                <w:u w:val="single"/>
                <w:rtl/>
              </w:rPr>
            </w:pPr>
            <w:bookmarkStart w:id="5" w:name="LawTable_End"/>
            <w:bookmarkEnd w:id="5"/>
            <w:r w:rsidRPr="00F25298">
              <w:rPr>
                <w:rFonts w:ascii="Arial" w:hAnsi="Arial"/>
                <w:b/>
                <w:bCs/>
                <w:sz w:val="28"/>
                <w:szCs w:val="28"/>
                <w:u w:val="single"/>
                <w:rtl/>
              </w:rPr>
              <w:t>גזר דין</w:t>
            </w:r>
          </w:p>
          <w:p w14:paraId="509D8C89" w14:textId="77777777" w:rsidR="00190051" w:rsidRPr="00F25298" w:rsidRDefault="00190051" w:rsidP="00F25298">
            <w:pPr>
              <w:jc w:val="center"/>
              <w:rPr>
                <w:rFonts w:ascii="Arial" w:hAnsi="Arial"/>
                <w:bCs/>
                <w:sz w:val="28"/>
                <w:szCs w:val="28"/>
                <w:u w:val="single"/>
                <w:rtl/>
              </w:rPr>
            </w:pPr>
          </w:p>
        </w:tc>
      </w:tr>
      <w:bookmarkEnd w:id="3"/>
    </w:tbl>
    <w:p w14:paraId="79DC054C" w14:textId="77777777" w:rsidR="00190051" w:rsidRPr="00B05847" w:rsidRDefault="00190051" w:rsidP="00190051">
      <w:pPr>
        <w:rPr>
          <w:rFonts w:ascii="Arial" w:hAnsi="Arial"/>
          <w:rtl/>
        </w:rPr>
      </w:pPr>
    </w:p>
    <w:p w14:paraId="08C43EC8" w14:textId="77777777" w:rsidR="00190051" w:rsidRDefault="00190051" w:rsidP="00190051">
      <w:pPr>
        <w:spacing w:line="360" w:lineRule="auto"/>
        <w:ind w:left="720" w:hanging="720"/>
        <w:jc w:val="both"/>
        <w:rPr>
          <w:rFonts w:ascii="Arial" w:hAnsi="Arial"/>
          <w:rtl/>
        </w:rPr>
      </w:pPr>
      <w:r>
        <w:rPr>
          <w:rFonts w:ascii="Arial" w:hAnsi="Arial" w:hint="cs"/>
          <w:rtl/>
        </w:rPr>
        <w:t>1.</w:t>
      </w:r>
      <w:r>
        <w:rPr>
          <w:rFonts w:ascii="Arial" w:hAnsi="Arial" w:hint="cs"/>
          <w:rtl/>
        </w:rPr>
        <w:tab/>
      </w:r>
      <w:bookmarkStart w:id="6" w:name="ABSTRACT_START"/>
      <w:bookmarkEnd w:id="6"/>
      <w:r>
        <w:rPr>
          <w:rFonts w:ascii="Arial" w:hAnsi="Arial" w:hint="cs"/>
          <w:rtl/>
        </w:rPr>
        <w:t>הנאשם הורשע על פי הודאתו בעבירות של החזקת סם שלא לצריכה עצמית והפרעה לשוטר במילוי תפקידו. זאת, על כך שביום 26.8.2014 נתפס בביתו כשברשותו כ-2.7 גרם קוקאין מחולקים ל-16 אריזות. מאוחר יותר באותו היום, כאשר הגיע לתחנת המשטרה, בלע הנאשם 15 מתוך 16 האריזות הנ"ל. יומיים אחר כך פלט אותן בצואתו והן נתפסו על ידי המשטרה.</w:t>
      </w:r>
    </w:p>
    <w:p w14:paraId="6BA93008" w14:textId="77777777" w:rsidR="00190051" w:rsidRDefault="00190051" w:rsidP="00190051">
      <w:pPr>
        <w:spacing w:line="360" w:lineRule="auto"/>
        <w:ind w:left="720" w:hanging="720"/>
        <w:jc w:val="both"/>
        <w:rPr>
          <w:rFonts w:ascii="Arial" w:hAnsi="Arial"/>
          <w:rtl/>
        </w:rPr>
      </w:pPr>
      <w:bookmarkStart w:id="7" w:name="ABSTRACT_END"/>
      <w:bookmarkEnd w:id="7"/>
    </w:p>
    <w:p w14:paraId="54A497A5" w14:textId="77777777" w:rsidR="00190051" w:rsidRDefault="00190051" w:rsidP="00190051">
      <w:pPr>
        <w:spacing w:line="360" w:lineRule="auto"/>
        <w:ind w:left="720" w:hanging="720"/>
        <w:jc w:val="both"/>
        <w:rPr>
          <w:rFonts w:ascii="Arial" w:hAnsi="Arial"/>
          <w:rtl/>
        </w:rPr>
      </w:pPr>
      <w:r>
        <w:rPr>
          <w:rFonts w:ascii="Arial" w:hAnsi="Arial" w:hint="cs"/>
          <w:rtl/>
        </w:rPr>
        <w:t>2.</w:t>
      </w:r>
      <w:r>
        <w:rPr>
          <w:rFonts w:ascii="Arial" w:hAnsi="Arial"/>
          <w:rtl/>
        </w:rPr>
        <w:tab/>
      </w:r>
      <w:r w:rsidRPr="00F47C81">
        <w:rPr>
          <w:rFonts w:ascii="Arial" w:hAnsi="Arial"/>
          <w:rtl/>
        </w:rPr>
        <w:t>המחוקק הישראלי, כמקובל בארצות העולם, בחר להגביל את צריכתם של חומרים פסיכואקטיביים המשפיעים על תודעתו של הצורך אותם</w:t>
      </w:r>
      <w:r>
        <w:rPr>
          <w:rFonts w:ascii="Arial" w:hAnsi="Arial" w:hint="cs"/>
          <w:rtl/>
        </w:rPr>
        <w:t xml:space="preserve"> ומתאפיינים במקרים רבים בהתמכרות פיזית ופסיכולוגית</w:t>
      </w:r>
      <w:r w:rsidRPr="00F47C81">
        <w:rPr>
          <w:rFonts w:ascii="Arial" w:hAnsi="Arial"/>
          <w:rtl/>
        </w:rPr>
        <w:t>. המחוקק קבע עוד כי החומרה שבהפצתם של הסמים היא גדולה בהרבה מאשר בעצם צריכתם, ולכן קבע איסורים חמורים על כל הפעולות הקשורות בהפצת הסמים</w:t>
      </w:r>
      <w:r>
        <w:rPr>
          <w:rFonts w:ascii="Arial" w:hAnsi="Arial" w:hint="cs"/>
          <w:rtl/>
        </w:rPr>
        <w:t>,</w:t>
      </w:r>
      <w:r w:rsidRPr="00F47C81">
        <w:rPr>
          <w:rFonts w:ascii="Arial" w:hAnsi="Arial"/>
          <w:rtl/>
        </w:rPr>
        <w:t xml:space="preserve"> לרבות על עצם ההחזקה שלא לצריכה עצמית. הקוקאין שמוכר כסם ממריץ ומעורר נמנה על רשימת החומרים האסורים שבתוספת ל</w:t>
      </w:r>
      <w:hyperlink r:id="rId8" w:history="1">
        <w:r w:rsidR="00F25298" w:rsidRPr="00F25298">
          <w:rPr>
            <w:rFonts w:ascii="Arial" w:hAnsi="Arial"/>
            <w:color w:val="0000FF"/>
            <w:u w:val="single"/>
            <w:rtl/>
          </w:rPr>
          <w:t>פקודת הסמים המסוכנים</w:t>
        </w:r>
      </w:hyperlink>
      <w:r w:rsidRPr="00F47C81">
        <w:rPr>
          <w:rFonts w:ascii="Arial" w:hAnsi="Arial"/>
          <w:rtl/>
        </w:rPr>
        <w:t>.</w:t>
      </w:r>
      <w:r>
        <w:rPr>
          <w:rFonts w:ascii="Arial" w:hAnsi="Arial" w:hint="cs"/>
          <w:rtl/>
        </w:rPr>
        <w:t xml:space="preserve"> כמו כן, קבע המחוקק שורת איסורים שעניינם הגנה על ההליך השיפוטי, בין היתר בדרך של איסור פגיעה בראיות.</w:t>
      </w:r>
    </w:p>
    <w:p w14:paraId="495A6EC8" w14:textId="77777777" w:rsidR="00190051" w:rsidRPr="00F47C81" w:rsidRDefault="00190051" w:rsidP="00190051">
      <w:pPr>
        <w:spacing w:line="360" w:lineRule="auto"/>
        <w:ind w:left="720" w:hanging="720"/>
        <w:rPr>
          <w:rFonts w:ascii="Arial" w:hAnsi="Arial"/>
          <w:rtl/>
        </w:rPr>
      </w:pPr>
    </w:p>
    <w:p w14:paraId="2D58C054" w14:textId="77777777" w:rsidR="00190051" w:rsidRPr="00F47C81" w:rsidRDefault="00190051" w:rsidP="00190051">
      <w:pPr>
        <w:spacing w:line="360" w:lineRule="auto"/>
        <w:ind w:left="624" w:hanging="624"/>
        <w:jc w:val="both"/>
        <w:rPr>
          <w:rFonts w:ascii="Arial" w:hAnsi="Arial"/>
          <w:rtl/>
        </w:rPr>
      </w:pPr>
      <w:r w:rsidRPr="00F47C81">
        <w:rPr>
          <w:rFonts w:ascii="Arial" w:hAnsi="Arial"/>
          <w:rtl/>
        </w:rPr>
        <w:lastRenderedPageBreak/>
        <w:t xml:space="preserve">3.        </w:t>
      </w:r>
      <w:r>
        <w:rPr>
          <w:rFonts w:ascii="Arial" w:hAnsi="Arial"/>
          <w:rtl/>
        </w:rPr>
        <w:tab/>
      </w:r>
      <w:r w:rsidRPr="00F47C81">
        <w:rPr>
          <w:rFonts w:ascii="Arial" w:hAnsi="Arial"/>
          <w:rtl/>
        </w:rPr>
        <w:t>התביעה טענה בפני שמתחם העונש ההולם לעביר</w:t>
      </w:r>
      <w:r>
        <w:rPr>
          <w:rFonts w:ascii="Arial" w:hAnsi="Arial" w:hint="cs"/>
          <w:rtl/>
        </w:rPr>
        <w:t xml:space="preserve">ת </w:t>
      </w:r>
      <w:r w:rsidRPr="00F47C81">
        <w:rPr>
          <w:rFonts w:ascii="Arial" w:hAnsi="Arial"/>
          <w:rtl/>
        </w:rPr>
        <w:t>ה</w:t>
      </w:r>
      <w:r>
        <w:rPr>
          <w:rFonts w:ascii="Arial" w:hAnsi="Arial" w:hint="cs"/>
          <w:rtl/>
        </w:rPr>
        <w:t>סמים</w:t>
      </w:r>
      <w:r w:rsidRPr="00F47C81">
        <w:rPr>
          <w:rFonts w:ascii="Arial" w:hAnsi="Arial"/>
          <w:rtl/>
        </w:rPr>
        <w:t xml:space="preserve"> שבה הורשע הנאשם נע בין 8 ל-18 חודשי מאסר בפועל. התביעה נסמכת על גזר דינו של השופט עידו דרויאן</w:t>
      </w:r>
      <w:r>
        <w:rPr>
          <w:rFonts w:ascii="Arial" w:hAnsi="Arial" w:hint="cs"/>
          <w:rtl/>
        </w:rPr>
        <w:t xml:space="preserve">-גמליאל </w:t>
      </w:r>
      <w:r>
        <w:rPr>
          <w:rFonts w:ascii="Arial" w:hAnsi="Arial"/>
          <w:rtl/>
        </w:rPr>
        <w:t>ב</w:t>
      </w:r>
      <w:hyperlink r:id="rId9" w:history="1">
        <w:r w:rsidR="00F25298" w:rsidRPr="00F25298">
          <w:rPr>
            <w:rFonts w:ascii="Arial" w:hAnsi="Arial"/>
            <w:color w:val="0000FF"/>
            <w:u w:val="single"/>
            <w:rtl/>
          </w:rPr>
          <w:t>ת"פ (תל אביב) 10264-04-12</w:t>
        </w:r>
      </w:hyperlink>
      <w:r w:rsidRPr="00F47C81">
        <w:rPr>
          <w:rFonts w:ascii="Arial" w:hAnsi="Arial"/>
          <w:rtl/>
        </w:rPr>
        <w:t xml:space="preserve"> </w:t>
      </w:r>
      <w:r w:rsidRPr="00F27DDC">
        <w:rPr>
          <w:rFonts w:ascii="Arial" w:hAnsi="Arial"/>
          <w:b/>
          <w:bCs/>
          <w:rtl/>
        </w:rPr>
        <w:t>מדינת ישראל נ' אלי לוי</w:t>
      </w:r>
      <w:r w:rsidRPr="00F47C81">
        <w:rPr>
          <w:rFonts w:ascii="Arial" w:hAnsi="Arial"/>
          <w:rtl/>
        </w:rPr>
        <w:t xml:space="preserve"> (2013), שבו הורשע הנאשם בהחזקת הירואין במשקל של כ-5 גרם. מעבר להחזקת ההירואין החזיק הנאשם באותו תיק גם בכמות קטנה של קוקאין. השופט דרויאן</w:t>
      </w:r>
      <w:r>
        <w:rPr>
          <w:rFonts w:ascii="Arial" w:hAnsi="Arial" w:hint="cs"/>
          <w:rtl/>
        </w:rPr>
        <w:t>-גמליאל</w:t>
      </w:r>
      <w:r w:rsidRPr="00F47C81">
        <w:rPr>
          <w:rFonts w:ascii="Arial" w:hAnsi="Arial"/>
          <w:rtl/>
        </w:rPr>
        <w:t xml:space="preserve"> קבע כי "נראה אפוא שצודקת התובעת בהמליצה על קביעת מתחם ענישה הולם, שבין 8 חודשי מאסר לבין 18 חודשי מאסר", וגזר על אותו נאשם עונש של 8 חודשי מאסר בפועל. ערעור שהוגש על גזר הדין נדחה וכך גם בקשת רשות ערעור לבית המשפט העליון.</w:t>
      </w:r>
    </w:p>
    <w:p w14:paraId="40D72FE8" w14:textId="77777777" w:rsidR="00190051" w:rsidRPr="00F47C81" w:rsidRDefault="00190051" w:rsidP="00190051">
      <w:pPr>
        <w:spacing w:line="360" w:lineRule="auto"/>
        <w:ind w:left="720" w:hanging="720"/>
        <w:jc w:val="both"/>
        <w:rPr>
          <w:rFonts w:ascii="Arial" w:hAnsi="Arial"/>
          <w:rtl/>
        </w:rPr>
      </w:pPr>
      <w:r w:rsidRPr="00F47C81">
        <w:rPr>
          <w:rFonts w:ascii="Arial" w:hAnsi="Arial"/>
          <w:rtl/>
        </w:rPr>
        <w:t xml:space="preserve">4.      </w:t>
      </w:r>
      <w:r>
        <w:rPr>
          <w:rFonts w:ascii="Arial" w:hAnsi="Arial"/>
          <w:rtl/>
        </w:rPr>
        <w:tab/>
      </w:r>
      <w:r w:rsidRPr="00F47C81">
        <w:rPr>
          <w:rFonts w:ascii="Arial" w:hAnsi="Arial"/>
          <w:rtl/>
        </w:rPr>
        <w:t xml:space="preserve">הסניגור הגיש לעיוני שורה ארוכה עד מאד של פסקי דין שבהם בגין עבירה דומה </w:t>
      </w:r>
      <w:r>
        <w:rPr>
          <w:rFonts w:ascii="Arial" w:hAnsi="Arial" w:hint="cs"/>
          <w:rtl/>
        </w:rPr>
        <w:t xml:space="preserve">לעבירת הסמים </w:t>
      </w:r>
      <w:r w:rsidRPr="00F47C81">
        <w:rPr>
          <w:rFonts w:ascii="Arial" w:hAnsi="Arial"/>
          <w:rtl/>
        </w:rPr>
        <w:t>שבה הורשע הנאשם שבפני, גזרו בתי המשפט עונשים של מאסר על תנאי, שירות לתועלת הציבור או מספר חודשים של מאסר בפועל, שלפי קביעתם רוצו בעבודות שירות ולא בכליאה. אינני מוצא מקום לפרט רשימה ארוכה זו של פסקי דין, אלא אך לציין מה</w:t>
      </w:r>
      <w:r>
        <w:rPr>
          <w:rFonts w:ascii="Arial" w:hAnsi="Arial" w:hint="cs"/>
          <w:rtl/>
        </w:rPr>
        <w:t xml:space="preserve"> ה</w:t>
      </w:r>
      <w:r w:rsidRPr="00F47C81">
        <w:rPr>
          <w:rFonts w:ascii="Arial" w:hAnsi="Arial"/>
          <w:rtl/>
        </w:rPr>
        <w:t>ם מתחמי הענישה שנקבעו בחלק מהם (חלק מגזרי הדין נקבעו כסטייה מהמתחם משיקולי שיקום</w:t>
      </w:r>
      <w:r>
        <w:rPr>
          <w:rFonts w:ascii="Arial" w:hAnsi="Arial" w:hint="cs"/>
          <w:rtl/>
        </w:rPr>
        <w:t xml:space="preserve"> ובחלק מדובר היה בהסדר טיעון עם הסכמה לעניין העונש</w:t>
      </w:r>
      <w:r w:rsidRPr="00F47C81">
        <w:rPr>
          <w:rFonts w:ascii="Arial" w:hAnsi="Arial"/>
          <w:rtl/>
        </w:rPr>
        <w:t xml:space="preserve">). </w:t>
      </w:r>
      <w:r>
        <w:rPr>
          <w:rFonts w:ascii="Arial" w:hAnsi="Arial" w:hint="cs"/>
          <w:rtl/>
        </w:rPr>
        <w:t>ב</w:t>
      </w:r>
      <w:hyperlink r:id="rId10" w:history="1">
        <w:r w:rsidR="00F25298" w:rsidRPr="00F25298">
          <w:rPr>
            <w:rFonts w:ascii="Arial" w:hAnsi="Arial"/>
            <w:color w:val="0000FF"/>
            <w:u w:val="single"/>
            <w:rtl/>
          </w:rPr>
          <w:t>ת"פ (תל אביב) 30825-02-15</w:t>
        </w:r>
      </w:hyperlink>
      <w:r>
        <w:rPr>
          <w:rFonts w:ascii="Arial" w:hAnsi="Arial" w:hint="cs"/>
          <w:rtl/>
        </w:rPr>
        <w:t xml:space="preserve"> </w:t>
      </w:r>
      <w:r>
        <w:rPr>
          <w:rFonts w:ascii="Arial" w:hAnsi="Arial" w:hint="cs"/>
          <w:b/>
          <w:bCs/>
          <w:rtl/>
        </w:rPr>
        <w:t xml:space="preserve">מדינת ישראל נ' ויקטור </w:t>
      </w:r>
      <w:r w:rsidRPr="00A267A4">
        <w:rPr>
          <w:rFonts w:ascii="Arial" w:hAnsi="Arial" w:hint="cs"/>
          <w:b/>
          <w:bCs/>
          <w:rtl/>
        </w:rPr>
        <w:t>צורי</w:t>
      </w:r>
      <w:r>
        <w:rPr>
          <w:rFonts w:ascii="Arial" w:hAnsi="Arial" w:hint="cs"/>
          <w:rtl/>
        </w:rPr>
        <w:t xml:space="preserve"> (2017) קבע השופט שמואל מלמד כי מתחם העונש ההולם למי שהחזיק 6 גרם הירואין ו-1.4 גרם קוקאין נע בין תקופת מאסר שניתן לרצות בעבודות שירות לבין 18 חודשי מאסר בפועל וגזר על הנאשם 6 חודשי מאסר בפועל לריצוי בעבודות שירות; השופט מלמד קבע מתחם זהה וגזר 5 חודשי מאסר בפועל לריצוי בעבודות שירות גם במקרה של החזקת כ-6.4 גרם קוקאין ב</w:t>
      </w:r>
      <w:hyperlink r:id="rId11" w:history="1">
        <w:r w:rsidR="00F25298" w:rsidRPr="00F25298">
          <w:rPr>
            <w:rFonts w:ascii="Arial" w:hAnsi="Arial"/>
            <w:color w:val="0000FF"/>
            <w:u w:val="single"/>
            <w:rtl/>
          </w:rPr>
          <w:t>ת"פ (תל אביב) 42763-10-15</w:t>
        </w:r>
      </w:hyperlink>
      <w:r>
        <w:rPr>
          <w:rFonts w:ascii="Arial" w:hAnsi="Arial" w:hint="cs"/>
          <w:rtl/>
        </w:rPr>
        <w:t xml:space="preserve"> </w:t>
      </w:r>
      <w:r>
        <w:rPr>
          <w:rFonts w:ascii="Arial" w:hAnsi="Arial" w:hint="cs"/>
          <w:b/>
          <w:bCs/>
          <w:rtl/>
        </w:rPr>
        <w:t xml:space="preserve">מדינת ישראל נ' מוחמד </w:t>
      </w:r>
      <w:r w:rsidRPr="00A267A4">
        <w:rPr>
          <w:rFonts w:ascii="Arial" w:hAnsi="Arial" w:hint="cs"/>
          <w:b/>
          <w:bCs/>
          <w:rtl/>
        </w:rPr>
        <w:t>טאהא</w:t>
      </w:r>
      <w:r>
        <w:rPr>
          <w:rFonts w:ascii="Arial" w:hAnsi="Arial" w:hint="cs"/>
          <w:rtl/>
        </w:rPr>
        <w:t xml:space="preserve"> (2017); ב</w:t>
      </w:r>
      <w:hyperlink r:id="rId12" w:history="1">
        <w:r w:rsidR="00F25298" w:rsidRPr="00F25298">
          <w:rPr>
            <w:rFonts w:ascii="Arial" w:hAnsi="Arial"/>
            <w:color w:val="0000FF"/>
            <w:u w:val="single"/>
            <w:rtl/>
          </w:rPr>
          <w:t>ת"פ (ירושלים) 19872-12-15</w:t>
        </w:r>
      </w:hyperlink>
      <w:r>
        <w:rPr>
          <w:rFonts w:ascii="Arial" w:hAnsi="Arial" w:hint="cs"/>
          <w:rtl/>
        </w:rPr>
        <w:t xml:space="preserve"> </w:t>
      </w:r>
      <w:r>
        <w:rPr>
          <w:rFonts w:ascii="Arial" w:hAnsi="Arial" w:hint="cs"/>
          <w:b/>
          <w:bCs/>
          <w:rtl/>
        </w:rPr>
        <w:t xml:space="preserve">מדינת ישראל נ' נסים ניסימוב </w:t>
      </w:r>
      <w:r>
        <w:rPr>
          <w:rFonts w:ascii="Arial" w:hAnsi="Arial" w:hint="cs"/>
          <w:rtl/>
        </w:rPr>
        <w:t xml:space="preserve">(2017) קבע השופט יצחק שמעוני מתחם עונש הולם שבין 6 ל-18 חודשי מאסר בפועל וגזר 6 חודשי מאסר בפועל שירוצו בעבודות שירות בגין החזקת 9.27 גרם קוקאין; </w:t>
      </w:r>
      <w:r w:rsidRPr="00A267A4">
        <w:rPr>
          <w:rFonts w:ascii="Arial" w:hAnsi="Arial" w:hint="cs"/>
          <w:rtl/>
        </w:rPr>
        <w:t>בפסק</w:t>
      </w:r>
      <w:r>
        <w:rPr>
          <w:rFonts w:ascii="Arial" w:hAnsi="Arial" w:hint="cs"/>
          <w:rtl/>
        </w:rPr>
        <w:t xml:space="preserve"> דיני ב</w:t>
      </w:r>
      <w:hyperlink r:id="rId13" w:history="1">
        <w:r w:rsidR="00F25298" w:rsidRPr="00F25298">
          <w:rPr>
            <w:rFonts w:ascii="Arial" w:hAnsi="Arial"/>
            <w:color w:val="0000FF"/>
            <w:u w:val="single"/>
            <w:rtl/>
          </w:rPr>
          <w:t>ת"פ (תל אביב) 46051-06-15</w:t>
        </w:r>
      </w:hyperlink>
      <w:r>
        <w:rPr>
          <w:rFonts w:ascii="Arial" w:hAnsi="Arial" w:hint="cs"/>
          <w:rtl/>
        </w:rPr>
        <w:t xml:space="preserve"> </w:t>
      </w:r>
      <w:r>
        <w:rPr>
          <w:rFonts w:ascii="Arial" w:hAnsi="Arial" w:hint="cs"/>
          <w:b/>
          <w:bCs/>
          <w:rtl/>
        </w:rPr>
        <w:t xml:space="preserve">מדינת ישראל נ' יוסי בג'רנו </w:t>
      </w:r>
      <w:r>
        <w:rPr>
          <w:rFonts w:ascii="Arial" w:hAnsi="Arial" w:hint="cs"/>
          <w:rtl/>
        </w:rPr>
        <w:t>(2016) קבעתי כי מתחם העונש ההולם בגין החזקת כ-5 גרם קוקאין שלא לצריכה עצמית נע בין 4 חודשי מאסר בפועל שניתן לרצות בעבודות שירות ל-18 חודשי מאסר בפועל, וגזרתי על הנאשם 5 חודשי מאסר בפועל לריצוי בעבודות שירות; ב</w:t>
      </w:r>
      <w:hyperlink r:id="rId14" w:history="1">
        <w:r w:rsidR="00F25298" w:rsidRPr="00F25298">
          <w:rPr>
            <w:rFonts w:ascii="Arial" w:hAnsi="Arial"/>
            <w:color w:val="0000FF"/>
            <w:u w:val="single"/>
            <w:rtl/>
          </w:rPr>
          <w:t>ת"פ (תל אביב) 2549-11-13</w:t>
        </w:r>
      </w:hyperlink>
      <w:r>
        <w:rPr>
          <w:rFonts w:ascii="Arial" w:hAnsi="Arial" w:hint="cs"/>
          <w:rtl/>
        </w:rPr>
        <w:t xml:space="preserve"> </w:t>
      </w:r>
      <w:r>
        <w:rPr>
          <w:rFonts w:ascii="Arial" w:hAnsi="Arial" w:hint="cs"/>
          <w:b/>
          <w:bCs/>
          <w:rtl/>
        </w:rPr>
        <w:t xml:space="preserve">מדינת ישראל נ' רועי חן </w:t>
      </w:r>
      <w:r>
        <w:rPr>
          <w:rFonts w:ascii="Arial" w:hAnsi="Arial" w:hint="cs"/>
          <w:rtl/>
        </w:rPr>
        <w:t xml:space="preserve">(2016) קבע השופט שמואל מלמד מתחם עונש הולם שבין מאסר שירוצה בעבודות שירות ל-18 חודשי מאסר בפועל, וגזר 6 חודשי מאסר בפועל לריצוי בעבודות שירות במקרה של החזקת כ-5 גרם קוקאין בצד סמים נוספים; </w:t>
      </w:r>
      <w:r w:rsidRPr="00F47C81">
        <w:rPr>
          <w:rFonts w:ascii="Arial" w:hAnsi="Arial"/>
          <w:rtl/>
        </w:rPr>
        <w:t>ב</w:t>
      </w:r>
      <w:hyperlink r:id="rId15" w:history="1">
        <w:r w:rsidR="00F25298" w:rsidRPr="00F25298">
          <w:rPr>
            <w:rFonts w:ascii="Arial" w:hAnsi="Arial"/>
            <w:color w:val="0000FF"/>
            <w:u w:val="single"/>
            <w:rtl/>
          </w:rPr>
          <w:t>ת"פ (תל אביב) 38092-06-12</w:t>
        </w:r>
      </w:hyperlink>
      <w:r w:rsidRPr="00F47C81">
        <w:rPr>
          <w:rFonts w:ascii="Arial" w:hAnsi="Arial"/>
          <w:rtl/>
        </w:rPr>
        <w:t xml:space="preserve"> </w:t>
      </w:r>
      <w:r w:rsidRPr="00846D37">
        <w:rPr>
          <w:rFonts w:ascii="Arial" w:hAnsi="Arial"/>
          <w:b/>
          <w:bCs/>
          <w:rtl/>
        </w:rPr>
        <w:t>מדינת ישראל נ' בנואה רואי רוקח</w:t>
      </w:r>
      <w:r w:rsidRPr="00F47C81">
        <w:rPr>
          <w:rFonts w:ascii="Arial" w:hAnsi="Arial"/>
          <w:rtl/>
        </w:rPr>
        <w:t xml:space="preserve"> (2014) הורשע הנאשם בהחזקת כ-5 גרם קוקאין, והשופטת הדסה נאור קבעה שמתחם העונש ההולם נע בין 4 חודשי מאסר בפועל ל-10 חודשי מאסר בפועל.</w:t>
      </w:r>
      <w:r w:rsidRPr="00AF5217">
        <w:rPr>
          <w:rFonts w:ascii="Arial" w:hAnsi="Arial"/>
          <w:rtl/>
        </w:rPr>
        <w:t xml:space="preserve"> </w:t>
      </w:r>
      <w:r>
        <w:rPr>
          <w:rFonts w:ascii="Arial" w:hAnsi="Arial" w:hint="cs"/>
          <w:rtl/>
        </w:rPr>
        <w:t xml:space="preserve">לפסקי דין אלה מצטרף גם </w:t>
      </w:r>
      <w:hyperlink r:id="rId16" w:history="1">
        <w:r w:rsidR="00F25298" w:rsidRPr="00F25298">
          <w:rPr>
            <w:rFonts w:ascii="Arial" w:hAnsi="Arial"/>
            <w:color w:val="0000FF"/>
            <w:u w:val="single"/>
            <w:rtl/>
          </w:rPr>
          <w:t>ת"פ (באר שבע) 22722-05-13</w:t>
        </w:r>
      </w:hyperlink>
      <w:r w:rsidRPr="00F47C81">
        <w:rPr>
          <w:rFonts w:ascii="Arial" w:hAnsi="Arial"/>
          <w:rtl/>
        </w:rPr>
        <w:t xml:space="preserve"> </w:t>
      </w:r>
      <w:r w:rsidRPr="00846D37">
        <w:rPr>
          <w:rFonts w:ascii="Arial" w:hAnsi="Arial"/>
          <w:b/>
          <w:bCs/>
          <w:rtl/>
        </w:rPr>
        <w:t>מדינת ישראל נ' אסמעיל אלאעסם</w:t>
      </w:r>
      <w:r w:rsidRPr="00F47C81">
        <w:rPr>
          <w:rFonts w:ascii="Arial" w:hAnsi="Arial"/>
          <w:rtl/>
        </w:rPr>
        <w:t xml:space="preserve"> (2014), שבו הורשע </w:t>
      </w:r>
      <w:r>
        <w:rPr>
          <w:rFonts w:ascii="Arial" w:hAnsi="Arial" w:hint="cs"/>
          <w:rtl/>
        </w:rPr>
        <w:t>ה</w:t>
      </w:r>
      <w:r w:rsidRPr="00F47C81">
        <w:rPr>
          <w:rFonts w:ascii="Arial" w:hAnsi="Arial"/>
          <w:rtl/>
        </w:rPr>
        <w:t xml:space="preserve">נאשם בהחזקה שלא לצריכה עצמית של קוקאין במשקל של כ-4.5 גרם, </w:t>
      </w:r>
      <w:r>
        <w:rPr>
          <w:rFonts w:ascii="Arial" w:hAnsi="Arial" w:hint="cs"/>
          <w:rtl/>
        </w:rPr>
        <w:t>ו</w:t>
      </w:r>
      <w:r w:rsidRPr="00F47C81">
        <w:rPr>
          <w:rFonts w:ascii="Arial" w:hAnsi="Arial"/>
          <w:rtl/>
        </w:rPr>
        <w:t xml:space="preserve">השופט אמיר דורון </w:t>
      </w:r>
      <w:r>
        <w:rPr>
          <w:rFonts w:ascii="Arial" w:hAnsi="Arial" w:hint="cs"/>
          <w:rtl/>
        </w:rPr>
        <w:t xml:space="preserve">קבע </w:t>
      </w:r>
      <w:r w:rsidRPr="00F47C81">
        <w:rPr>
          <w:rFonts w:ascii="Arial" w:hAnsi="Arial"/>
          <w:rtl/>
        </w:rPr>
        <w:t xml:space="preserve">שמתחם העונש ההולם הוא בין 6 חודשי מאסר בפועל שירוצה בעבודות שירות ל-10 חודשי מאסר בפועל. </w:t>
      </w:r>
    </w:p>
    <w:p w14:paraId="1A55A582" w14:textId="77777777" w:rsidR="00190051" w:rsidRPr="00F47C81" w:rsidRDefault="00190051" w:rsidP="00190051">
      <w:pPr>
        <w:spacing w:line="360" w:lineRule="auto"/>
        <w:ind w:left="720" w:hanging="720"/>
        <w:rPr>
          <w:rFonts w:ascii="Arial" w:hAnsi="Arial"/>
          <w:rtl/>
        </w:rPr>
      </w:pPr>
    </w:p>
    <w:p w14:paraId="62BB37FA" w14:textId="77777777" w:rsidR="00190051" w:rsidRPr="00F47C81" w:rsidRDefault="00190051" w:rsidP="00190051">
      <w:pPr>
        <w:spacing w:line="360" w:lineRule="auto"/>
        <w:ind w:left="680" w:hanging="680"/>
        <w:jc w:val="both"/>
        <w:rPr>
          <w:rFonts w:ascii="Arial" w:hAnsi="Arial"/>
          <w:rtl/>
        </w:rPr>
      </w:pPr>
      <w:r w:rsidRPr="00F47C81">
        <w:rPr>
          <w:rFonts w:ascii="Arial" w:hAnsi="Arial"/>
          <w:rtl/>
        </w:rPr>
        <w:t xml:space="preserve">5.       </w:t>
      </w:r>
      <w:r>
        <w:rPr>
          <w:rFonts w:ascii="Arial" w:hAnsi="Arial"/>
          <w:rtl/>
        </w:rPr>
        <w:tab/>
      </w:r>
      <w:r>
        <w:rPr>
          <w:rFonts w:ascii="Arial" w:hAnsi="Arial" w:hint="cs"/>
          <w:rtl/>
        </w:rPr>
        <w:t>מן הפסיקה שנסקרה לעיל עולה כי</w:t>
      </w:r>
      <w:r w:rsidRPr="00F47C81">
        <w:rPr>
          <w:rFonts w:ascii="Arial" w:hAnsi="Arial"/>
          <w:rtl/>
        </w:rPr>
        <w:t xml:space="preserve"> </w:t>
      </w:r>
      <w:r>
        <w:rPr>
          <w:rFonts w:ascii="Arial" w:hAnsi="Arial" w:hint="cs"/>
          <w:rtl/>
        </w:rPr>
        <w:t>מתחמי הענישה שנקבעו במקרים דומים של החזקת מספר גרמים של סם מסוג קוקאין שלא לצריכה עצמית כוללים רף תחתון של מאסר בפועל שירוצה בעבודות שירות, ו</w:t>
      </w:r>
      <w:r w:rsidRPr="00F47C81">
        <w:rPr>
          <w:rFonts w:ascii="Arial" w:hAnsi="Arial"/>
          <w:rtl/>
        </w:rPr>
        <w:t>מדיניות הענישה הנ</w:t>
      </w:r>
      <w:r>
        <w:rPr>
          <w:rFonts w:ascii="Arial" w:hAnsi="Arial" w:hint="cs"/>
          <w:rtl/>
        </w:rPr>
        <w:t>ו</w:t>
      </w:r>
      <w:r w:rsidRPr="00F47C81">
        <w:rPr>
          <w:rFonts w:ascii="Arial" w:hAnsi="Arial"/>
          <w:rtl/>
        </w:rPr>
        <w:t>הג</w:t>
      </w:r>
      <w:r>
        <w:rPr>
          <w:rFonts w:ascii="Arial" w:hAnsi="Arial" w:hint="cs"/>
          <w:rtl/>
        </w:rPr>
        <w:t>ת</w:t>
      </w:r>
      <w:r w:rsidRPr="00F47C81">
        <w:rPr>
          <w:rFonts w:ascii="Arial" w:hAnsi="Arial"/>
          <w:rtl/>
        </w:rPr>
        <w:t xml:space="preserve"> כוללת הטלת </w:t>
      </w:r>
      <w:r>
        <w:rPr>
          <w:rFonts w:ascii="Arial" w:hAnsi="Arial"/>
          <w:rtl/>
        </w:rPr>
        <w:t>עונשים של מאסר בפועל קצר שירוצה</w:t>
      </w:r>
      <w:r>
        <w:rPr>
          <w:rFonts w:ascii="Arial" w:hAnsi="Arial" w:hint="cs"/>
          <w:rtl/>
        </w:rPr>
        <w:t xml:space="preserve"> </w:t>
      </w:r>
      <w:r w:rsidRPr="00F47C81">
        <w:rPr>
          <w:rFonts w:ascii="Arial" w:hAnsi="Arial"/>
          <w:rtl/>
        </w:rPr>
        <w:t>בעבודות שירות גם כאשר לא מתקיימים שיקולי שיקום המצדיקים סטייה ממתחם הענישה.</w:t>
      </w:r>
    </w:p>
    <w:p w14:paraId="435F6429" w14:textId="77777777" w:rsidR="00190051" w:rsidRDefault="00190051" w:rsidP="00190051">
      <w:pPr>
        <w:spacing w:line="360" w:lineRule="auto"/>
        <w:ind w:left="720" w:hanging="720"/>
        <w:rPr>
          <w:rFonts w:ascii="Arial" w:hAnsi="Arial"/>
          <w:rtl/>
        </w:rPr>
      </w:pPr>
    </w:p>
    <w:p w14:paraId="3D9259C7" w14:textId="77777777" w:rsidR="00190051" w:rsidRPr="00F47C81" w:rsidRDefault="00190051" w:rsidP="00190051">
      <w:pPr>
        <w:spacing w:line="360" w:lineRule="auto"/>
        <w:ind w:left="720" w:hanging="720"/>
        <w:rPr>
          <w:rFonts w:ascii="Arial" w:hAnsi="Arial"/>
          <w:rtl/>
        </w:rPr>
      </w:pPr>
    </w:p>
    <w:p w14:paraId="328AFBD0" w14:textId="77777777" w:rsidR="00190051" w:rsidRDefault="00190051" w:rsidP="00190051">
      <w:pPr>
        <w:spacing w:line="360" w:lineRule="auto"/>
        <w:ind w:left="624" w:hanging="624"/>
        <w:jc w:val="both"/>
        <w:rPr>
          <w:rFonts w:ascii="Arial" w:hAnsi="Arial"/>
          <w:rtl/>
        </w:rPr>
      </w:pPr>
      <w:r w:rsidRPr="00F47C81">
        <w:rPr>
          <w:rFonts w:ascii="Arial" w:hAnsi="Arial"/>
          <w:rtl/>
        </w:rPr>
        <w:t xml:space="preserve">6.        </w:t>
      </w:r>
      <w:r>
        <w:rPr>
          <w:rFonts w:ascii="Arial" w:hAnsi="Arial" w:hint="cs"/>
          <w:rtl/>
        </w:rPr>
        <w:t>כפי שציינתי ב</w:t>
      </w:r>
      <w:r w:rsidRPr="00FF12C5">
        <w:rPr>
          <w:rFonts w:ascii="Arial" w:hAnsi="Arial" w:hint="cs"/>
          <w:b/>
          <w:bCs/>
          <w:rtl/>
        </w:rPr>
        <w:t xml:space="preserve">פסק הדין בעניין בג'רנו </w:t>
      </w:r>
      <w:r>
        <w:rPr>
          <w:rFonts w:ascii="Arial" w:hAnsi="Arial" w:hint="cs"/>
          <w:rtl/>
        </w:rPr>
        <w:t xml:space="preserve">הנזכר לעיל, </w:t>
      </w:r>
      <w:r w:rsidRPr="00F47C81">
        <w:rPr>
          <w:rFonts w:ascii="Arial" w:hAnsi="Arial"/>
          <w:rtl/>
        </w:rPr>
        <w:t>אני מוצא כבעייתית עד מאד את עתירתה של התביעה לקבוע מתחם ענישה שקצהו התחתון ב-8 חודשי מאסר בפועל ולא ב-6 חודשי מאסר בפועל. זאת, כיוון שמבחינה כמותית ההבדל בין עונש מאסר בפועל של 6 חודשים לבין עונש מאסר בפועל של 8 חודשים אינו מהותי, ולכן בהיבט של ההרחקה מן הציבור לשם הגנה מפני ביצועה של עבירה נוספת אין הבדל מהותי בתועלתם. לעומת זאת, המצב החוקי שבו ניתן לקבוע שעונש מאסר בפועל שאורכו עד 6 חודשים ירוצה בעבודות שירות ולא בכליאה, ואילו מאסר בפועל של 8 חודשים חובה לרצות</w:t>
      </w:r>
      <w:r>
        <w:rPr>
          <w:rFonts w:ascii="Arial" w:hAnsi="Arial" w:hint="cs"/>
          <w:rtl/>
        </w:rPr>
        <w:t xml:space="preserve"> </w:t>
      </w:r>
      <w:r w:rsidRPr="00F47C81">
        <w:rPr>
          <w:rFonts w:ascii="Arial" w:hAnsi="Arial"/>
          <w:rtl/>
        </w:rPr>
        <w:t xml:space="preserve">בכליאה, יוצר הבדל איכותי מהותי בין עונש מאסר בפועל של 6 חודשים ועונש מאסר בפועל של 8 חודשים. </w:t>
      </w:r>
    </w:p>
    <w:p w14:paraId="18EB3035" w14:textId="77777777" w:rsidR="00190051" w:rsidRDefault="00190051" w:rsidP="00190051">
      <w:pPr>
        <w:spacing w:line="360" w:lineRule="auto"/>
        <w:ind w:left="720" w:hanging="720"/>
        <w:jc w:val="both"/>
        <w:rPr>
          <w:rFonts w:ascii="Arial" w:hAnsi="Arial"/>
          <w:rtl/>
        </w:rPr>
      </w:pPr>
    </w:p>
    <w:p w14:paraId="11A52C56" w14:textId="77777777" w:rsidR="00190051" w:rsidRPr="00F47C81" w:rsidRDefault="00190051" w:rsidP="00190051">
      <w:pPr>
        <w:spacing w:line="360" w:lineRule="auto"/>
        <w:ind w:left="720" w:hanging="720"/>
        <w:jc w:val="both"/>
        <w:rPr>
          <w:rFonts w:ascii="Arial" w:hAnsi="Arial"/>
          <w:rtl/>
        </w:rPr>
      </w:pPr>
      <w:r>
        <w:rPr>
          <w:rFonts w:ascii="Arial" w:hAnsi="Arial" w:hint="cs"/>
          <w:rtl/>
        </w:rPr>
        <w:t>7.</w:t>
      </w:r>
      <w:r>
        <w:rPr>
          <w:rFonts w:ascii="Arial" w:hAnsi="Arial" w:hint="cs"/>
          <w:rtl/>
        </w:rPr>
        <w:tab/>
        <w:t xml:space="preserve">אני מוצא מקום לשוב ולהזכיר כי בדו"ח </w:t>
      </w:r>
      <w:r w:rsidRPr="00F47C81">
        <w:rPr>
          <w:rFonts w:ascii="Arial" w:hAnsi="Arial"/>
          <w:rtl/>
        </w:rPr>
        <w:t xml:space="preserve">הועדה הציבורית לבחינת מדיניות הענישה והטיפול בעבריינים בראשות שופטת בית המשפט העליון בדימוס דליה דורנר </w:t>
      </w:r>
      <w:r>
        <w:rPr>
          <w:rFonts w:ascii="Arial" w:hAnsi="Arial" w:hint="cs"/>
          <w:rtl/>
        </w:rPr>
        <w:t xml:space="preserve">שפורסם בחודש נובמבר 2015 </w:t>
      </w:r>
      <w:r w:rsidRPr="00F47C81">
        <w:rPr>
          <w:rFonts w:ascii="Arial" w:hAnsi="Arial"/>
          <w:rtl/>
        </w:rPr>
        <w:t xml:space="preserve">מוצגים, בין היתר, החסרונות הגדולים שיש בכליאה, שאינה תורמת לשיקום העבריין, אלא דווקא גורמת להקניית ערכים עברייניים. זאת, בניגוד לעונשים כעבודות שירות המבוצעים בקהילה </w:t>
      </w:r>
      <w:r>
        <w:rPr>
          <w:rFonts w:ascii="Arial" w:hAnsi="Arial" w:hint="cs"/>
          <w:rtl/>
        </w:rPr>
        <w:t xml:space="preserve">אשר </w:t>
      </w:r>
      <w:r w:rsidRPr="00F47C81">
        <w:rPr>
          <w:rFonts w:ascii="Arial" w:hAnsi="Arial"/>
          <w:rtl/>
        </w:rPr>
        <w:t xml:space="preserve">יש להם ערך שיקומי. </w:t>
      </w:r>
      <w:r>
        <w:rPr>
          <w:rFonts w:ascii="Arial" w:hAnsi="Arial" w:hint="cs"/>
          <w:rtl/>
        </w:rPr>
        <w:t>מן הראוי להזכיר גם את</w:t>
      </w:r>
      <w:r w:rsidRPr="00F47C81">
        <w:rPr>
          <w:rFonts w:ascii="Arial" w:hAnsi="Arial"/>
          <w:rtl/>
        </w:rPr>
        <w:t xml:space="preserve"> ממצאיהם של מחקרים קרימינולוגים </w:t>
      </w:r>
      <w:r>
        <w:rPr>
          <w:rFonts w:ascii="Arial" w:hAnsi="Arial" w:hint="cs"/>
          <w:rtl/>
        </w:rPr>
        <w:t>המובאים בדו"ח ו</w:t>
      </w:r>
      <w:r w:rsidRPr="00F47C81">
        <w:rPr>
          <w:rFonts w:ascii="Arial" w:hAnsi="Arial"/>
          <w:rtl/>
        </w:rPr>
        <w:t>מצביעים על כך שלאורך תקופת המאסר הצפויה לנאשם אם י</w:t>
      </w:r>
      <w:r>
        <w:rPr>
          <w:rFonts w:ascii="Arial" w:hAnsi="Arial" w:hint="cs"/>
          <w:rtl/>
        </w:rPr>
        <w:t>י</w:t>
      </w:r>
      <w:r w:rsidRPr="00F47C81">
        <w:rPr>
          <w:rFonts w:ascii="Arial" w:hAnsi="Arial"/>
          <w:rtl/>
        </w:rPr>
        <w:t>תפס אין השפעה הרתעתית משמעותית (הסיכויים להיתפס הם שמשפיעים על ההרתעה).</w:t>
      </w:r>
    </w:p>
    <w:p w14:paraId="08A292DF" w14:textId="77777777" w:rsidR="00190051" w:rsidRPr="00F47C81" w:rsidRDefault="00190051" w:rsidP="00190051">
      <w:pPr>
        <w:spacing w:line="360" w:lineRule="auto"/>
        <w:ind w:left="720" w:hanging="720"/>
        <w:rPr>
          <w:rFonts w:ascii="Arial" w:hAnsi="Arial"/>
          <w:rtl/>
        </w:rPr>
      </w:pPr>
    </w:p>
    <w:p w14:paraId="5FE92E41" w14:textId="77777777" w:rsidR="00190051" w:rsidRDefault="00190051" w:rsidP="00190051">
      <w:pPr>
        <w:spacing w:line="360" w:lineRule="auto"/>
        <w:ind w:left="624" w:hanging="624"/>
        <w:jc w:val="both"/>
        <w:rPr>
          <w:rFonts w:ascii="Arial" w:hAnsi="Arial"/>
          <w:rtl/>
        </w:rPr>
      </w:pPr>
      <w:r>
        <w:rPr>
          <w:rFonts w:ascii="Arial" w:hAnsi="Arial" w:hint="cs"/>
          <w:rtl/>
        </w:rPr>
        <w:t>8</w:t>
      </w:r>
      <w:r w:rsidRPr="00F47C81">
        <w:rPr>
          <w:rFonts w:ascii="Arial" w:hAnsi="Arial"/>
          <w:rtl/>
        </w:rPr>
        <w:t xml:space="preserve">.      לנוכח האמור לעיל, אני </w:t>
      </w:r>
      <w:r>
        <w:rPr>
          <w:rFonts w:ascii="Arial" w:hAnsi="Arial" w:hint="cs"/>
          <w:rtl/>
        </w:rPr>
        <w:t>שב ו</w:t>
      </w:r>
      <w:r w:rsidRPr="00F47C81">
        <w:rPr>
          <w:rFonts w:ascii="Arial" w:hAnsi="Arial"/>
          <w:rtl/>
        </w:rPr>
        <w:t>מוצא כי בקביעת רף ענישה תחתון של 8 חודשי מאסר בפועל כעת</w:t>
      </w:r>
      <w:r>
        <w:rPr>
          <w:rFonts w:ascii="Arial" w:hAnsi="Arial"/>
          <w:rtl/>
        </w:rPr>
        <w:t>ירת התביעה יש משום כבילה לא רצו</w:t>
      </w:r>
      <w:r w:rsidRPr="00F47C81">
        <w:rPr>
          <w:rFonts w:ascii="Arial" w:hAnsi="Arial"/>
          <w:rtl/>
        </w:rPr>
        <w:t xml:space="preserve">יה ולא מוצדקת של שיקול הדעת של בית המשפט בגזירת עונשו של הנאשם, בכך שהיא מונעת את האפשרות של בית המשפט לקבוע שהעונש ירוצה בעבודות שירות. </w:t>
      </w:r>
      <w:r>
        <w:rPr>
          <w:rFonts w:ascii="Arial" w:hAnsi="Arial" w:hint="cs"/>
          <w:rtl/>
        </w:rPr>
        <w:t xml:space="preserve">גם מבחינת יציבות השיטה והגברת האחידות בפסיקה מוטב במקרה מעין זה לקבוע מראש מתחם ענישה שמאפשר הטלת עונש שמשתלב עם צרכים שיקומיים מאשר לקבוע מתחם מחמיר יותר ולסטות ממנו מדי פעם בשל צרכי שיקום.  </w:t>
      </w:r>
    </w:p>
    <w:p w14:paraId="0FA06B21" w14:textId="77777777" w:rsidR="00190051" w:rsidRDefault="00190051" w:rsidP="00190051">
      <w:pPr>
        <w:spacing w:line="360" w:lineRule="auto"/>
        <w:ind w:left="624" w:hanging="624"/>
        <w:jc w:val="both"/>
        <w:rPr>
          <w:rFonts w:ascii="Arial" w:hAnsi="Arial"/>
          <w:rtl/>
        </w:rPr>
      </w:pPr>
    </w:p>
    <w:p w14:paraId="183A799A" w14:textId="77777777" w:rsidR="00190051" w:rsidRPr="00F47C81" w:rsidRDefault="00190051" w:rsidP="00190051">
      <w:pPr>
        <w:spacing w:line="360" w:lineRule="auto"/>
        <w:ind w:left="624" w:hanging="624"/>
        <w:jc w:val="both"/>
        <w:rPr>
          <w:rFonts w:ascii="Arial" w:hAnsi="Arial"/>
          <w:rtl/>
        </w:rPr>
      </w:pPr>
      <w:r>
        <w:rPr>
          <w:rFonts w:ascii="Arial" w:hAnsi="Arial" w:hint="cs"/>
          <w:rtl/>
        </w:rPr>
        <w:t>9.</w:t>
      </w:r>
      <w:r>
        <w:rPr>
          <w:rFonts w:ascii="Arial" w:hAnsi="Arial"/>
          <w:rtl/>
        </w:rPr>
        <w:tab/>
      </w:r>
      <w:r w:rsidRPr="00F47C81">
        <w:rPr>
          <w:rFonts w:ascii="Arial" w:hAnsi="Arial"/>
          <w:rtl/>
        </w:rPr>
        <w:t>בהסתמך על רמת הענישה הנוהגת כפי שהצגתיה לעיל</w:t>
      </w:r>
      <w:r>
        <w:rPr>
          <w:rFonts w:ascii="Arial" w:hAnsi="Arial" w:hint="cs"/>
          <w:rtl/>
        </w:rPr>
        <w:t xml:space="preserve"> ובהתחשב בדברים האמורים לעיל בעניין עונש של כליאה לעומת עונש של עבודות שירות</w:t>
      </w:r>
      <w:r w:rsidRPr="00F47C81">
        <w:rPr>
          <w:rFonts w:ascii="Arial" w:hAnsi="Arial"/>
          <w:rtl/>
        </w:rPr>
        <w:t>, אני קובע שמתחם העונש ההולם לעביר</w:t>
      </w:r>
      <w:r>
        <w:rPr>
          <w:rFonts w:ascii="Arial" w:hAnsi="Arial" w:hint="cs"/>
          <w:rtl/>
        </w:rPr>
        <w:t>ת הסמים</w:t>
      </w:r>
      <w:r w:rsidRPr="00F47C81">
        <w:rPr>
          <w:rFonts w:ascii="Arial" w:hAnsi="Arial"/>
          <w:rtl/>
        </w:rPr>
        <w:t xml:space="preserve"> שביצע הנאשם בנסיבותיה נע בין 4 חודשי מאסר בפועל, שבית המשפט יכול להורות שירוצו בעבודות שירות, ל-18 חודשי מאסר בפועל.</w:t>
      </w:r>
    </w:p>
    <w:p w14:paraId="1657CDA8" w14:textId="77777777" w:rsidR="00190051" w:rsidRPr="00F47C81" w:rsidRDefault="00190051" w:rsidP="00190051">
      <w:pPr>
        <w:spacing w:line="360" w:lineRule="auto"/>
        <w:ind w:left="720" w:hanging="720"/>
        <w:rPr>
          <w:rFonts w:ascii="Arial" w:hAnsi="Arial"/>
          <w:rtl/>
        </w:rPr>
      </w:pPr>
    </w:p>
    <w:p w14:paraId="41796F29" w14:textId="77777777" w:rsidR="00190051" w:rsidRDefault="00190051" w:rsidP="00190051">
      <w:pPr>
        <w:spacing w:line="360" w:lineRule="auto"/>
        <w:ind w:left="624" w:hanging="624"/>
        <w:rPr>
          <w:rFonts w:ascii="Arial" w:hAnsi="Arial"/>
          <w:rtl/>
        </w:rPr>
      </w:pPr>
      <w:r>
        <w:rPr>
          <w:rFonts w:ascii="Arial" w:hAnsi="Arial" w:hint="cs"/>
          <w:rtl/>
        </w:rPr>
        <w:t>10</w:t>
      </w:r>
      <w:r w:rsidRPr="00F47C81">
        <w:rPr>
          <w:rFonts w:ascii="Arial" w:hAnsi="Arial"/>
          <w:rtl/>
        </w:rPr>
        <w:t xml:space="preserve">.       </w:t>
      </w:r>
      <w:r>
        <w:rPr>
          <w:rFonts w:ascii="Arial" w:hAnsi="Arial" w:hint="cs"/>
          <w:rtl/>
        </w:rPr>
        <w:t>מתחם העונש ההולם לעבירה הנוספת שביצע הנאשם ואשר אליה כלל לא התייחסו הצדדים בטיעוניהם נע בין קנס לתקופת מאסר קצרה.</w:t>
      </w:r>
      <w:r w:rsidRPr="00F47C81">
        <w:rPr>
          <w:rFonts w:ascii="Arial" w:hAnsi="Arial"/>
          <w:rtl/>
        </w:rPr>
        <w:t xml:space="preserve"> </w:t>
      </w:r>
    </w:p>
    <w:p w14:paraId="6AAA5C85" w14:textId="77777777" w:rsidR="00190051" w:rsidRDefault="00190051" w:rsidP="00190051">
      <w:pPr>
        <w:spacing w:line="360" w:lineRule="auto"/>
        <w:ind w:left="624" w:hanging="624"/>
        <w:rPr>
          <w:rFonts w:ascii="Arial" w:hAnsi="Arial"/>
          <w:rtl/>
        </w:rPr>
      </w:pPr>
    </w:p>
    <w:p w14:paraId="24AC5859" w14:textId="77777777" w:rsidR="00190051" w:rsidRDefault="00190051" w:rsidP="00190051">
      <w:pPr>
        <w:spacing w:line="360" w:lineRule="auto"/>
        <w:ind w:left="624" w:hanging="624"/>
        <w:jc w:val="both"/>
        <w:rPr>
          <w:rFonts w:ascii="Arial" w:hAnsi="Arial"/>
          <w:rtl/>
        </w:rPr>
      </w:pPr>
      <w:r>
        <w:rPr>
          <w:rFonts w:ascii="Arial" w:hAnsi="Arial" w:hint="cs"/>
          <w:rtl/>
        </w:rPr>
        <w:t>11.</w:t>
      </w:r>
      <w:r>
        <w:rPr>
          <w:rFonts w:ascii="Arial" w:hAnsi="Arial" w:hint="cs"/>
          <w:rtl/>
        </w:rPr>
        <w:tab/>
        <w:t>הנאשם שהוא בן 31, נישא ממש לאחרונה, לאחר שזמן קצר קודם לכן נפגע בתאונת דרכים. נסיבותיו המשפחתיות קשות ביותר. לחובתו של הנאשם עבר פלילי בעבירות רכוש שבגינו אף ישב פעמיים במאסר. מסתבר שהמקרה נושא כתב האישום בתיק שבפניי אירע לפני תקופת המאסר האחרונה, אך התביעה בחרה להשהות את הגשת כתב האישום, כך שתיקו זה של הנאשם נדון בפניי רק לאחר שסיים לרצות את תקופת המאסר שנגזרה עליו בתיק האחר. מחוות דעת הרשות לשיקום האסיר (נ/1) עולה כי במהלך השחרור על תנאי מהמאסר השתתף הנאשם בהצלחה בתכנית טיפולית. לאחר בחינת עניינו של הנאשם, שירות המבחן המליץ להעביר את עניינו לבית המשפט הקהילתי ואולם התביעה הטילה על כך וטו. הואיל וכך המליץ שירות המבחן שאם יוטל על הנאשם עונש מאסר בפועל, הוא ירוצה בעבודות שירות. הנאשם בדברו האחרון פירט את נסיבותיו הכלכליות הקשות.</w:t>
      </w:r>
    </w:p>
    <w:p w14:paraId="02C615BE" w14:textId="77777777" w:rsidR="00190051" w:rsidRDefault="00190051" w:rsidP="00190051">
      <w:pPr>
        <w:spacing w:line="360" w:lineRule="auto"/>
        <w:ind w:left="720" w:hanging="720"/>
        <w:rPr>
          <w:rFonts w:ascii="Arial" w:hAnsi="Arial"/>
          <w:rtl/>
        </w:rPr>
      </w:pPr>
    </w:p>
    <w:p w14:paraId="043CD179" w14:textId="77777777" w:rsidR="00190051" w:rsidRPr="00F47C81" w:rsidRDefault="00190051" w:rsidP="00190051">
      <w:pPr>
        <w:spacing w:line="360" w:lineRule="auto"/>
        <w:ind w:left="624" w:hanging="624"/>
        <w:jc w:val="both"/>
        <w:rPr>
          <w:rFonts w:ascii="Arial" w:hAnsi="Arial"/>
          <w:rtl/>
        </w:rPr>
      </w:pPr>
      <w:r>
        <w:rPr>
          <w:rFonts w:ascii="Arial" w:hAnsi="Arial" w:hint="cs"/>
          <w:rtl/>
        </w:rPr>
        <w:t>12.</w:t>
      </w:r>
      <w:r>
        <w:rPr>
          <w:rFonts w:ascii="Arial" w:hAnsi="Arial" w:hint="cs"/>
          <w:rtl/>
        </w:rPr>
        <w:tab/>
        <w:t>אף על פי שלא מדובר בהרשעות בעבירות סמים, לנוכח עברו הפלילי של הנאשם אין מקום לגזור על הנאשם עונש הנמצא ברף התחתון של מתחם העונש ההולם. עם זאת, לנוכח הטיפול שעבר מן הראוי לגזור עליו עונש שלא יפגע בשיקומו. לכן אני גוזר על הנאשם את העונשים הבאים:</w:t>
      </w:r>
    </w:p>
    <w:p w14:paraId="2C3CD252" w14:textId="77777777" w:rsidR="00190051" w:rsidRDefault="00190051" w:rsidP="00190051">
      <w:pPr>
        <w:spacing w:line="360" w:lineRule="auto"/>
        <w:rPr>
          <w:rFonts w:ascii="Arial" w:hAnsi="Arial"/>
          <w:rtl/>
        </w:rPr>
      </w:pPr>
    </w:p>
    <w:p w14:paraId="345D6993" w14:textId="77777777" w:rsidR="00190051" w:rsidRDefault="00190051" w:rsidP="00190051">
      <w:pPr>
        <w:spacing w:line="360" w:lineRule="auto"/>
        <w:ind w:left="1275" w:hanging="651"/>
        <w:jc w:val="both"/>
        <w:rPr>
          <w:rFonts w:ascii="Arial" w:hAnsi="Arial"/>
          <w:rtl/>
        </w:rPr>
      </w:pPr>
      <w:r w:rsidRPr="00F47C81">
        <w:rPr>
          <w:rFonts w:ascii="Arial" w:hAnsi="Arial"/>
          <w:rtl/>
        </w:rPr>
        <w:t xml:space="preserve">א.       </w:t>
      </w:r>
      <w:r>
        <w:rPr>
          <w:rFonts w:ascii="Arial" w:hAnsi="Arial"/>
          <w:rtl/>
        </w:rPr>
        <w:tab/>
      </w:r>
      <w:r>
        <w:rPr>
          <w:rFonts w:ascii="Arial" w:hAnsi="Arial" w:hint="cs"/>
          <w:rtl/>
        </w:rPr>
        <w:t xml:space="preserve">6 </w:t>
      </w:r>
      <w:r w:rsidRPr="00F47C81">
        <w:rPr>
          <w:rFonts w:ascii="Arial" w:hAnsi="Arial"/>
          <w:rtl/>
        </w:rPr>
        <w:t>חודשים מאסר בפועל שירוצ</w:t>
      </w:r>
      <w:r>
        <w:rPr>
          <w:rFonts w:ascii="Arial" w:hAnsi="Arial" w:hint="cs"/>
          <w:rtl/>
        </w:rPr>
        <w:t>ו</w:t>
      </w:r>
      <w:r w:rsidRPr="00F47C81">
        <w:rPr>
          <w:rFonts w:ascii="Arial" w:hAnsi="Arial"/>
          <w:rtl/>
        </w:rPr>
        <w:t xml:space="preserve"> בדרך של עבודות שירות במקום ובתנאים שקבע הממונה על עבודות שירות בחוות דעתו מיום </w:t>
      </w:r>
      <w:r>
        <w:rPr>
          <w:rFonts w:ascii="Arial" w:hAnsi="Arial" w:hint="cs"/>
          <w:rtl/>
        </w:rPr>
        <w:t>29.11.2017.</w:t>
      </w:r>
      <w:r w:rsidRPr="00F47C81">
        <w:rPr>
          <w:rFonts w:ascii="Arial" w:hAnsi="Arial"/>
          <w:rtl/>
        </w:rPr>
        <w:t xml:space="preserve"> תחילת ריצוי עבודות השירות ביום </w:t>
      </w:r>
      <w:r>
        <w:rPr>
          <w:rFonts w:ascii="Arial" w:hAnsi="Arial" w:hint="cs"/>
          <w:rtl/>
        </w:rPr>
        <w:t>14.2.2018.</w:t>
      </w:r>
      <w:r w:rsidRPr="00F47C81">
        <w:rPr>
          <w:rFonts w:ascii="Arial" w:hAnsi="Arial"/>
          <w:rtl/>
        </w:rPr>
        <w:t xml:space="preserve"> הנאשם יתייצב באותו מועד בשעה 8:00 בבוקר במשרדי הממונה על עבודות שירות ברמלה.</w:t>
      </w:r>
    </w:p>
    <w:p w14:paraId="7EA7F62A" w14:textId="77777777" w:rsidR="00190051" w:rsidRDefault="00190051" w:rsidP="00190051">
      <w:pPr>
        <w:spacing w:line="360" w:lineRule="auto"/>
        <w:ind w:left="1275" w:hanging="651"/>
        <w:jc w:val="both"/>
        <w:rPr>
          <w:rFonts w:ascii="Arial" w:hAnsi="Arial"/>
          <w:rtl/>
        </w:rPr>
      </w:pPr>
    </w:p>
    <w:p w14:paraId="0C9BB5F0" w14:textId="77777777" w:rsidR="00190051" w:rsidRDefault="00190051" w:rsidP="00190051">
      <w:pPr>
        <w:spacing w:line="360" w:lineRule="auto"/>
        <w:ind w:left="1275" w:hanging="651"/>
        <w:jc w:val="both"/>
        <w:rPr>
          <w:rFonts w:ascii="Arial" w:hAnsi="Arial"/>
          <w:rtl/>
        </w:rPr>
      </w:pPr>
      <w:r>
        <w:rPr>
          <w:rFonts w:ascii="Arial" w:hAnsi="Arial" w:hint="cs"/>
          <w:rtl/>
        </w:rPr>
        <w:t>ב.</w:t>
      </w:r>
      <w:r>
        <w:rPr>
          <w:rFonts w:ascii="Arial" w:hAnsi="Arial" w:hint="cs"/>
          <w:rtl/>
        </w:rPr>
        <w:tab/>
        <w:t xml:space="preserve">6 חודשי מאסר על תנאי למשך 3 שנים, והתנאי הוא שלא יעבור עבירה לפי </w:t>
      </w:r>
      <w:hyperlink r:id="rId17" w:history="1">
        <w:r w:rsidR="00F25298" w:rsidRPr="00F25298">
          <w:rPr>
            <w:rFonts w:ascii="Arial" w:hAnsi="Arial"/>
            <w:color w:val="0000FF"/>
            <w:u w:val="single"/>
            <w:rtl/>
          </w:rPr>
          <w:t>פקודת הסמים המסוכנים</w:t>
        </w:r>
      </w:hyperlink>
      <w:r>
        <w:rPr>
          <w:rFonts w:ascii="Arial" w:hAnsi="Arial" w:hint="cs"/>
          <w:rtl/>
        </w:rPr>
        <w:t xml:space="preserve"> למעט עבירות של שימוש והחזקת סם לצריכה עצמית לפי </w:t>
      </w:r>
      <w:hyperlink r:id="rId18" w:history="1">
        <w:r w:rsidR="00A455CF" w:rsidRPr="00A455CF">
          <w:rPr>
            <w:rFonts w:ascii="Arial" w:hAnsi="Arial"/>
            <w:color w:val="0000FF"/>
            <w:u w:val="single"/>
            <w:rtl/>
          </w:rPr>
          <w:t>סעיף 7(א+ג</w:t>
        </w:r>
      </w:hyperlink>
      <w:r>
        <w:rPr>
          <w:rFonts w:ascii="Arial" w:hAnsi="Arial" w:hint="cs"/>
          <w:rtl/>
        </w:rPr>
        <w:t xml:space="preserve"> סיפא) לפקודה.</w:t>
      </w:r>
    </w:p>
    <w:p w14:paraId="4C9F800B" w14:textId="77777777" w:rsidR="00190051" w:rsidRDefault="00190051" w:rsidP="00190051">
      <w:pPr>
        <w:spacing w:line="360" w:lineRule="auto"/>
        <w:jc w:val="both"/>
        <w:rPr>
          <w:rFonts w:ascii="Arial" w:hAnsi="Arial"/>
          <w:rtl/>
        </w:rPr>
      </w:pPr>
    </w:p>
    <w:p w14:paraId="1E000741" w14:textId="77777777" w:rsidR="00190051" w:rsidRDefault="00190051" w:rsidP="00190051">
      <w:pPr>
        <w:spacing w:line="360" w:lineRule="auto"/>
        <w:ind w:left="624" w:hanging="624"/>
        <w:jc w:val="both"/>
        <w:rPr>
          <w:rFonts w:ascii="Arial" w:hAnsi="Arial"/>
          <w:rtl/>
        </w:rPr>
      </w:pPr>
      <w:r>
        <w:rPr>
          <w:rFonts w:ascii="Arial" w:hAnsi="Arial" w:hint="cs"/>
          <w:rtl/>
        </w:rPr>
        <w:t>13.</w:t>
      </w:r>
      <w:r>
        <w:rPr>
          <w:rFonts w:ascii="Arial" w:hAnsi="Arial" w:hint="cs"/>
          <w:rtl/>
        </w:rPr>
        <w:tab/>
        <w:t>לנוכח מצבו הכלכלי הקשה של הנאשם והעובדה שריצוי עבודות השירות יקשה עליו להתפרנס אינני מוצא מקום לגזור עליו קנס. עם זאת, לנוכח הסכמת הצדדים, אני מורה על חילוט סכום של 670 ₪ שנתפס אצל הנאשם.</w:t>
      </w:r>
    </w:p>
    <w:p w14:paraId="0223199D" w14:textId="77777777" w:rsidR="00190051" w:rsidRDefault="00190051" w:rsidP="00190051">
      <w:pPr>
        <w:spacing w:line="360" w:lineRule="auto"/>
        <w:ind w:left="624" w:hanging="624"/>
        <w:jc w:val="both"/>
        <w:rPr>
          <w:rFonts w:ascii="Arial" w:hAnsi="Arial"/>
          <w:rtl/>
        </w:rPr>
      </w:pPr>
    </w:p>
    <w:p w14:paraId="179A5D13" w14:textId="77777777" w:rsidR="00190051" w:rsidRDefault="00190051" w:rsidP="00190051">
      <w:pPr>
        <w:spacing w:line="360" w:lineRule="auto"/>
        <w:ind w:left="624" w:hanging="624"/>
        <w:jc w:val="both"/>
        <w:rPr>
          <w:rFonts w:ascii="Arial" w:hAnsi="Arial"/>
          <w:rtl/>
        </w:rPr>
      </w:pPr>
      <w:r>
        <w:rPr>
          <w:rFonts w:ascii="Arial" w:hAnsi="Arial" w:hint="cs"/>
          <w:rtl/>
        </w:rPr>
        <w:t>14.</w:t>
      </w:r>
      <w:r>
        <w:rPr>
          <w:rFonts w:ascii="Arial" w:hAnsi="Arial"/>
          <w:rtl/>
        </w:rPr>
        <w:tab/>
      </w:r>
      <w:r>
        <w:rPr>
          <w:rFonts w:ascii="Arial" w:hAnsi="Arial" w:hint="cs"/>
          <w:rtl/>
        </w:rPr>
        <w:t xml:space="preserve">אני סבור כי העונש של 6 חודשים עבודות שירות פוגע בחירותו של הנאשם וביכולתו להתפרנס במידה כזו שאין צורך בצירוף עונש של פסילת רשיון נהיגה כעתירת התביעה. אין מקום להטלת עונש כזה גם לנוכח נסיבות העבירה שבה הורשע הנאשם. </w:t>
      </w:r>
    </w:p>
    <w:p w14:paraId="17F16EDC" w14:textId="77777777" w:rsidR="00190051" w:rsidRPr="00F47C81" w:rsidRDefault="00190051" w:rsidP="00190051">
      <w:pPr>
        <w:spacing w:line="360" w:lineRule="auto"/>
        <w:ind w:left="1275" w:hanging="651"/>
        <w:jc w:val="both"/>
        <w:rPr>
          <w:rFonts w:ascii="Arial" w:hAnsi="Arial"/>
          <w:rtl/>
        </w:rPr>
      </w:pPr>
    </w:p>
    <w:p w14:paraId="2436A6F2" w14:textId="77777777" w:rsidR="00190051" w:rsidRPr="00F47C81" w:rsidRDefault="00190051" w:rsidP="00190051">
      <w:pPr>
        <w:spacing w:line="360" w:lineRule="auto"/>
        <w:ind w:left="720" w:hanging="720"/>
        <w:rPr>
          <w:rFonts w:ascii="Arial" w:hAnsi="Arial"/>
          <w:rtl/>
        </w:rPr>
      </w:pPr>
      <w:r>
        <w:rPr>
          <w:rFonts w:ascii="Arial" w:hAnsi="Arial" w:hint="cs"/>
          <w:rtl/>
        </w:rPr>
        <w:t>15</w:t>
      </w:r>
      <w:r w:rsidRPr="00F47C81">
        <w:rPr>
          <w:rFonts w:ascii="Arial" w:hAnsi="Arial"/>
          <w:rtl/>
        </w:rPr>
        <w:t xml:space="preserve">.        אני מורה להשמיד את הסמים שנתפסו.        </w:t>
      </w:r>
    </w:p>
    <w:p w14:paraId="5FAF4E28" w14:textId="77777777" w:rsidR="00190051" w:rsidRDefault="00190051" w:rsidP="00190051">
      <w:pPr>
        <w:spacing w:line="360" w:lineRule="auto"/>
        <w:ind w:left="720" w:hanging="720"/>
        <w:jc w:val="both"/>
        <w:rPr>
          <w:rFonts w:ascii="Arial" w:hAnsi="Arial"/>
          <w:rtl/>
        </w:rPr>
      </w:pPr>
    </w:p>
    <w:p w14:paraId="63562FDE" w14:textId="77777777" w:rsidR="00190051" w:rsidRDefault="00190051" w:rsidP="00190051">
      <w:pPr>
        <w:spacing w:line="360" w:lineRule="auto"/>
        <w:ind w:left="720" w:hanging="720"/>
        <w:jc w:val="both"/>
        <w:rPr>
          <w:rFonts w:ascii="Arial" w:hAnsi="Arial"/>
          <w:rtl/>
        </w:rPr>
      </w:pPr>
    </w:p>
    <w:p w14:paraId="7C774198" w14:textId="77777777" w:rsidR="00190051" w:rsidRDefault="00190051" w:rsidP="00190051">
      <w:pPr>
        <w:spacing w:line="360" w:lineRule="auto"/>
        <w:ind w:left="720" w:hanging="720"/>
        <w:jc w:val="both"/>
        <w:rPr>
          <w:rFonts w:ascii="Arial" w:hAnsi="Arial"/>
          <w:rtl/>
        </w:rPr>
      </w:pPr>
    </w:p>
    <w:p w14:paraId="061C5E48" w14:textId="77777777" w:rsidR="00190051" w:rsidRPr="00B05847" w:rsidRDefault="00190051" w:rsidP="00190051">
      <w:pPr>
        <w:spacing w:line="360" w:lineRule="auto"/>
        <w:ind w:left="720" w:hanging="720"/>
        <w:jc w:val="both"/>
        <w:rPr>
          <w:rFonts w:ascii="Arial" w:hAnsi="Arial"/>
          <w:rtl/>
        </w:rPr>
      </w:pPr>
      <w:r w:rsidRPr="00F47C81">
        <w:rPr>
          <w:rFonts w:ascii="Arial" w:hAnsi="Arial"/>
          <w:rtl/>
        </w:rPr>
        <w:t>זכות ערעור לבית המשפט המחוזי בתוך 45 יום מהיום.</w:t>
      </w:r>
      <w:r>
        <w:rPr>
          <w:rFonts w:ascii="Arial" w:hAnsi="Arial" w:hint="cs"/>
          <w:rtl/>
        </w:rPr>
        <w:t xml:space="preserve"> </w:t>
      </w:r>
    </w:p>
    <w:p w14:paraId="09599F97" w14:textId="77777777" w:rsidR="00190051" w:rsidRPr="00B05847" w:rsidRDefault="00190051" w:rsidP="00190051">
      <w:pPr>
        <w:rPr>
          <w:rtl/>
        </w:rPr>
      </w:pPr>
    </w:p>
    <w:p w14:paraId="4E4C1682" w14:textId="77777777" w:rsidR="00190051" w:rsidRPr="00F25298" w:rsidRDefault="00F25298" w:rsidP="00190051">
      <w:pPr>
        <w:rPr>
          <w:color w:val="FFFFFF"/>
          <w:sz w:val="2"/>
          <w:szCs w:val="2"/>
          <w:rtl/>
        </w:rPr>
      </w:pPr>
      <w:r w:rsidRPr="00F25298">
        <w:rPr>
          <w:color w:val="FFFFFF"/>
          <w:sz w:val="2"/>
          <w:szCs w:val="2"/>
          <w:rtl/>
        </w:rPr>
        <w:t>5129371</w:t>
      </w:r>
    </w:p>
    <w:p w14:paraId="58084AF9" w14:textId="77777777" w:rsidR="00190051" w:rsidRPr="00250B83" w:rsidRDefault="00F25298" w:rsidP="00190051">
      <w:pPr>
        <w:rPr>
          <w:rtl/>
        </w:rPr>
      </w:pPr>
      <w:r w:rsidRPr="00F25298">
        <w:rPr>
          <w:rFonts w:ascii="Arial" w:hAnsi="Arial"/>
          <w:color w:val="FFFFFF"/>
          <w:sz w:val="2"/>
          <w:szCs w:val="2"/>
          <w:rtl/>
        </w:rPr>
        <w:t>54678313</w:t>
      </w:r>
      <w:r>
        <w:rPr>
          <w:rFonts w:ascii="Arial" w:hAnsi="Arial"/>
          <w:rtl/>
        </w:rPr>
        <w:t xml:space="preserve">ניתן היום,  5 בדצמבר 2017, בנוכחות הצדדים. </w:t>
      </w:r>
    </w:p>
    <w:p w14:paraId="513112D0" w14:textId="77777777" w:rsidR="00190051" w:rsidRPr="00250B83" w:rsidRDefault="00190051" w:rsidP="00190051">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62ABA607" w14:textId="77777777" w:rsidR="00190051" w:rsidRPr="00250B83" w:rsidRDefault="00190051" w:rsidP="00190051">
      <w:pPr>
        <w:jc w:val="center"/>
        <w:rPr>
          <w:rFonts w:ascii="Arial" w:hAnsi="Arial"/>
          <w:rtl/>
        </w:rPr>
      </w:pPr>
    </w:p>
    <w:p w14:paraId="6E0D4D08" w14:textId="77777777" w:rsidR="00190051" w:rsidRPr="00250B83" w:rsidRDefault="00190051" w:rsidP="00190051">
      <w:pPr>
        <w:rPr>
          <w:rtl/>
        </w:rPr>
      </w:pPr>
    </w:p>
    <w:p w14:paraId="0F511ABA" w14:textId="77777777" w:rsidR="00190051" w:rsidRPr="00A455CF" w:rsidRDefault="00A455CF" w:rsidP="00190051">
      <w:pPr>
        <w:pStyle w:val="a3"/>
        <w:jc w:val="center"/>
        <w:rPr>
          <w:color w:val="FFFFFF"/>
          <w:sz w:val="2"/>
          <w:szCs w:val="2"/>
          <w:rtl/>
        </w:rPr>
      </w:pPr>
      <w:r w:rsidRPr="00A455CF">
        <w:rPr>
          <w:color w:val="FFFFFF"/>
          <w:sz w:val="2"/>
          <w:szCs w:val="2"/>
          <w:rtl/>
        </w:rPr>
        <w:t>5129371</w:t>
      </w:r>
    </w:p>
    <w:p w14:paraId="357B1DEC" w14:textId="77777777" w:rsidR="002D7B2F" w:rsidRPr="00A455CF" w:rsidRDefault="00A455CF" w:rsidP="00F25298">
      <w:pPr>
        <w:keepNext/>
        <w:rPr>
          <w:rFonts w:ascii="David" w:hAnsi="David"/>
          <w:color w:val="FFFFFF"/>
          <w:sz w:val="2"/>
          <w:szCs w:val="2"/>
          <w:rtl/>
        </w:rPr>
      </w:pPr>
      <w:r w:rsidRPr="00A455CF">
        <w:rPr>
          <w:rFonts w:ascii="David" w:hAnsi="David"/>
          <w:color w:val="FFFFFF"/>
          <w:sz w:val="2"/>
          <w:szCs w:val="2"/>
          <w:rtl/>
        </w:rPr>
        <w:t>54678313</w:t>
      </w:r>
    </w:p>
    <w:p w14:paraId="4F37C418" w14:textId="77777777" w:rsidR="00F25298" w:rsidRPr="00F25298" w:rsidRDefault="00F25298" w:rsidP="00F25298">
      <w:pPr>
        <w:keepNext/>
        <w:rPr>
          <w:rFonts w:ascii="David" w:hAnsi="David"/>
          <w:color w:val="000000"/>
          <w:sz w:val="22"/>
          <w:szCs w:val="22"/>
          <w:rtl/>
        </w:rPr>
      </w:pPr>
      <w:r w:rsidRPr="00F25298">
        <w:rPr>
          <w:rFonts w:ascii="David" w:hAnsi="David"/>
          <w:color w:val="000000"/>
          <w:sz w:val="22"/>
          <w:szCs w:val="22"/>
          <w:rtl/>
        </w:rPr>
        <w:t>איתי הרמלין 54678313</w:t>
      </w:r>
    </w:p>
    <w:p w14:paraId="296AB2FF" w14:textId="77777777" w:rsidR="00F25298" w:rsidRDefault="00F25298" w:rsidP="00F25298">
      <w:r w:rsidRPr="00F25298">
        <w:rPr>
          <w:color w:val="000000"/>
          <w:rtl/>
        </w:rPr>
        <w:t>נוסח מסמך זה כפוף לשינויי ניסוח ועריכה</w:t>
      </w:r>
    </w:p>
    <w:p w14:paraId="7D61B826" w14:textId="77777777" w:rsidR="00F25298" w:rsidRDefault="00F25298" w:rsidP="00F25298">
      <w:pPr>
        <w:rPr>
          <w:rtl/>
        </w:rPr>
      </w:pPr>
    </w:p>
    <w:p w14:paraId="28E29001" w14:textId="77777777" w:rsidR="00F25298" w:rsidRDefault="00F25298" w:rsidP="00F25298">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r w:rsidR="00653EB0">
        <w:rPr>
          <w:rFonts w:hint="cs"/>
          <w:color w:val="0000FF"/>
          <w:u w:val="single"/>
          <w:rtl/>
        </w:rPr>
        <w:t xml:space="preserve"> </w:t>
      </w:r>
    </w:p>
    <w:p w14:paraId="16BB3621" w14:textId="77777777" w:rsidR="00A455CF" w:rsidRPr="00A455CF" w:rsidRDefault="00A455CF" w:rsidP="00A455CF">
      <w:pPr>
        <w:keepNext/>
        <w:rPr>
          <w:rFonts w:ascii="David" w:hAnsi="David"/>
          <w:color w:val="000000"/>
          <w:sz w:val="22"/>
          <w:szCs w:val="22"/>
          <w:rtl/>
        </w:rPr>
      </w:pPr>
    </w:p>
    <w:sectPr w:rsidR="00A455CF" w:rsidRPr="00A455CF" w:rsidSect="00A455CF">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16E792" w14:textId="77777777" w:rsidR="00AB3B53" w:rsidRDefault="00AB3B53" w:rsidP="00CB2F78">
      <w:r>
        <w:separator/>
      </w:r>
    </w:p>
  </w:endnote>
  <w:endnote w:type="continuationSeparator" w:id="0">
    <w:p w14:paraId="554FB37B" w14:textId="77777777" w:rsidR="00AB3B53" w:rsidRDefault="00AB3B53" w:rsidP="00CB2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543D0" w14:textId="77777777" w:rsidR="00F90BD2" w:rsidRDefault="00F90BD2" w:rsidP="00A455C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44747A5" w14:textId="77777777" w:rsidR="00F90BD2" w:rsidRPr="00A455CF" w:rsidRDefault="00F90BD2" w:rsidP="00A455CF">
    <w:pPr>
      <w:pStyle w:val="a5"/>
      <w:pBdr>
        <w:top w:val="single" w:sz="4" w:space="1" w:color="auto"/>
        <w:between w:val="single" w:sz="4" w:space="0" w:color="auto"/>
      </w:pBdr>
      <w:spacing w:after="60"/>
      <w:jc w:val="center"/>
      <w:rPr>
        <w:rFonts w:ascii="FrankRuehl" w:hAnsi="FrankRuehl" w:cs="FrankRuehl"/>
        <w:color w:val="000000"/>
      </w:rPr>
    </w:pPr>
    <w:r w:rsidRPr="00A455C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C9108" w14:textId="77777777" w:rsidR="00F90BD2" w:rsidRDefault="00F90BD2" w:rsidP="00A455C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D04D3">
      <w:rPr>
        <w:rFonts w:ascii="FrankRuehl" w:hAnsi="FrankRuehl" w:cs="FrankRuehl"/>
        <w:noProof/>
        <w:rtl/>
      </w:rPr>
      <w:t>1</w:t>
    </w:r>
    <w:r>
      <w:rPr>
        <w:rFonts w:ascii="FrankRuehl" w:hAnsi="FrankRuehl" w:cs="FrankRuehl"/>
        <w:rtl/>
      </w:rPr>
      <w:fldChar w:fldCharType="end"/>
    </w:r>
  </w:p>
  <w:p w14:paraId="7714B971" w14:textId="77777777" w:rsidR="00F90BD2" w:rsidRPr="00A455CF" w:rsidRDefault="00F90BD2" w:rsidP="00A455CF">
    <w:pPr>
      <w:pStyle w:val="a5"/>
      <w:pBdr>
        <w:top w:val="single" w:sz="4" w:space="1" w:color="auto"/>
        <w:between w:val="single" w:sz="4" w:space="0" w:color="auto"/>
      </w:pBdr>
      <w:spacing w:after="60"/>
      <w:jc w:val="center"/>
      <w:rPr>
        <w:rFonts w:ascii="FrankRuehl" w:hAnsi="FrankRuehl" w:cs="FrankRuehl"/>
        <w:color w:val="000000"/>
      </w:rPr>
    </w:pPr>
    <w:r w:rsidRPr="00A455CF">
      <w:rPr>
        <w:rFonts w:ascii="FrankRuehl" w:hAnsi="FrankRuehl" w:cs="FrankRuehl"/>
        <w:color w:val="000000"/>
      </w:rPr>
      <w:pict w14:anchorId="59F39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30F7C0" w14:textId="77777777" w:rsidR="00AB3B53" w:rsidRDefault="00AB3B53" w:rsidP="00CB2F78">
      <w:r>
        <w:separator/>
      </w:r>
    </w:p>
  </w:footnote>
  <w:footnote w:type="continuationSeparator" w:id="0">
    <w:p w14:paraId="0A60F0BE" w14:textId="77777777" w:rsidR="00AB3B53" w:rsidRDefault="00AB3B53" w:rsidP="00CB2F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B8E06" w14:textId="77777777" w:rsidR="00F90BD2" w:rsidRPr="00A455CF" w:rsidRDefault="00F90BD2" w:rsidP="00A455C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12819-08-15</w:t>
    </w:r>
    <w:r>
      <w:rPr>
        <w:rFonts w:ascii="David" w:hAnsi="David"/>
        <w:color w:val="000000"/>
        <w:sz w:val="22"/>
        <w:szCs w:val="22"/>
        <w:rtl/>
      </w:rPr>
      <w:tab/>
      <w:t xml:space="preserve"> מדינת ישראל נ' מחמד סאפי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A4D17" w14:textId="77777777" w:rsidR="00F90BD2" w:rsidRPr="00A455CF" w:rsidRDefault="00F90BD2" w:rsidP="00A455C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12819-08-15</w:t>
    </w:r>
    <w:r>
      <w:rPr>
        <w:rFonts w:ascii="David" w:hAnsi="David"/>
        <w:color w:val="000000"/>
        <w:sz w:val="22"/>
        <w:szCs w:val="22"/>
        <w:rtl/>
      </w:rPr>
      <w:tab/>
      <w:t xml:space="preserve"> מדינת ישראל נ' מחמד סאפי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90051"/>
    <w:rsid w:val="00124463"/>
    <w:rsid w:val="00132F58"/>
    <w:rsid w:val="00190051"/>
    <w:rsid w:val="002C3B50"/>
    <w:rsid w:val="002D7B2F"/>
    <w:rsid w:val="00557015"/>
    <w:rsid w:val="00653EB0"/>
    <w:rsid w:val="00A455CF"/>
    <w:rsid w:val="00AB3B53"/>
    <w:rsid w:val="00B57D18"/>
    <w:rsid w:val="00BA16A0"/>
    <w:rsid w:val="00CB2F78"/>
    <w:rsid w:val="00F25298"/>
    <w:rsid w:val="00F90BD2"/>
    <w:rsid w:val="00FD04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60C2D7F"/>
  <w15:chartTrackingRefBased/>
  <w15:docId w15:val="{AF32115C-213B-437A-951A-A42343600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9005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90051"/>
    <w:pPr>
      <w:tabs>
        <w:tab w:val="center" w:pos="4153"/>
        <w:tab w:val="right" w:pos="8306"/>
      </w:tabs>
    </w:pPr>
  </w:style>
  <w:style w:type="character" w:customStyle="1" w:styleId="a4">
    <w:name w:val="כותרת עליונה תו"/>
    <w:link w:val="a3"/>
    <w:rsid w:val="00190051"/>
    <w:rPr>
      <w:rFonts w:ascii="Times New Roman" w:eastAsia="Times New Roman" w:hAnsi="Times New Roman" w:cs="David"/>
      <w:sz w:val="24"/>
      <w:szCs w:val="24"/>
    </w:rPr>
  </w:style>
  <w:style w:type="paragraph" w:styleId="a5">
    <w:name w:val="footer"/>
    <w:basedOn w:val="a"/>
    <w:link w:val="a6"/>
    <w:rsid w:val="00190051"/>
    <w:pPr>
      <w:tabs>
        <w:tab w:val="center" w:pos="4153"/>
        <w:tab w:val="right" w:pos="8306"/>
      </w:tabs>
    </w:pPr>
  </w:style>
  <w:style w:type="character" w:customStyle="1" w:styleId="a6">
    <w:name w:val="כותרת תחתונה תו"/>
    <w:link w:val="a5"/>
    <w:rsid w:val="00190051"/>
    <w:rPr>
      <w:rFonts w:ascii="Times New Roman" w:eastAsia="Times New Roman" w:hAnsi="Times New Roman" w:cs="David"/>
      <w:sz w:val="24"/>
      <w:szCs w:val="24"/>
    </w:rPr>
  </w:style>
  <w:style w:type="table" w:styleId="a7">
    <w:name w:val="Table Grid"/>
    <w:basedOn w:val="a1"/>
    <w:rsid w:val="0019005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90051"/>
  </w:style>
  <w:style w:type="character" w:styleId="Hyperlink">
    <w:name w:val="Hyperlink"/>
    <w:rsid w:val="00F25298"/>
    <w:rPr>
      <w:color w:val="0563C1"/>
      <w:u w:val="single"/>
    </w:rPr>
  </w:style>
  <w:style w:type="character" w:styleId="a9">
    <w:name w:val="Unresolved Mention"/>
    <w:rsid w:val="00F2529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case/20374629" TargetMode="External"/><Relationship Id="rId18" Type="http://schemas.openxmlformats.org/officeDocument/2006/relationships/hyperlink" Target="http://www.nevo.co.il/law/4216/7.a.+7.c"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4216/7.a.+7.c" TargetMode="External"/><Relationship Id="rId12" Type="http://schemas.openxmlformats.org/officeDocument/2006/relationships/hyperlink" Target="http://www.nevo.co.il/case/20783809" TargetMode="External"/><Relationship Id="rId17" Type="http://schemas.openxmlformats.org/officeDocument/2006/relationships/hyperlink" Target="http://www.nevo.co.il/law/4216"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7836882"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20649200"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3505984" TargetMode="External"/><Relationship Id="rId23" Type="http://schemas.openxmlformats.org/officeDocument/2006/relationships/footer" Target="footer2.xml"/><Relationship Id="rId10" Type="http://schemas.openxmlformats.org/officeDocument/2006/relationships/hyperlink" Target="http://www.nevo.co.il/case/20027942"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case/4316440" TargetMode="External"/><Relationship Id="rId14" Type="http://schemas.openxmlformats.org/officeDocument/2006/relationships/hyperlink" Target="http://www.nevo.co.il/case/8480829"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1501</Words>
  <Characters>7507</Characters>
  <Application>Microsoft Office Word</Application>
  <DocSecurity>0</DocSecurity>
  <Lines>62</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8991</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2949245</vt:i4>
      </vt:variant>
      <vt:variant>
        <vt:i4>36</vt:i4>
      </vt:variant>
      <vt:variant>
        <vt:i4>0</vt:i4>
      </vt:variant>
      <vt:variant>
        <vt:i4>5</vt:i4>
      </vt:variant>
      <vt:variant>
        <vt:lpwstr>http://www.nevo.co.il/law/4216/7.a.+7.c</vt:lpwstr>
      </vt:variant>
      <vt:variant>
        <vt:lpwstr/>
      </vt:variant>
      <vt:variant>
        <vt:i4>8257637</vt:i4>
      </vt:variant>
      <vt:variant>
        <vt:i4>33</vt:i4>
      </vt:variant>
      <vt:variant>
        <vt:i4>0</vt:i4>
      </vt:variant>
      <vt:variant>
        <vt:i4>5</vt:i4>
      </vt:variant>
      <vt:variant>
        <vt:lpwstr>http://www.nevo.co.il/law/4216</vt:lpwstr>
      </vt:variant>
      <vt:variant>
        <vt:lpwstr/>
      </vt:variant>
      <vt:variant>
        <vt:i4>4063346</vt:i4>
      </vt:variant>
      <vt:variant>
        <vt:i4>30</vt:i4>
      </vt:variant>
      <vt:variant>
        <vt:i4>0</vt:i4>
      </vt:variant>
      <vt:variant>
        <vt:i4>5</vt:i4>
      </vt:variant>
      <vt:variant>
        <vt:lpwstr>http://www.nevo.co.il/case/7836882</vt:lpwstr>
      </vt:variant>
      <vt:variant>
        <vt:lpwstr/>
      </vt:variant>
      <vt:variant>
        <vt:i4>4063356</vt:i4>
      </vt:variant>
      <vt:variant>
        <vt:i4>27</vt:i4>
      </vt:variant>
      <vt:variant>
        <vt:i4>0</vt:i4>
      </vt:variant>
      <vt:variant>
        <vt:i4>5</vt:i4>
      </vt:variant>
      <vt:variant>
        <vt:lpwstr>http://www.nevo.co.il/case/3505984</vt:lpwstr>
      </vt:variant>
      <vt:variant>
        <vt:lpwstr/>
      </vt:variant>
      <vt:variant>
        <vt:i4>3211378</vt:i4>
      </vt:variant>
      <vt:variant>
        <vt:i4>24</vt:i4>
      </vt:variant>
      <vt:variant>
        <vt:i4>0</vt:i4>
      </vt:variant>
      <vt:variant>
        <vt:i4>5</vt:i4>
      </vt:variant>
      <vt:variant>
        <vt:lpwstr>http://www.nevo.co.il/case/8480829</vt:lpwstr>
      </vt:variant>
      <vt:variant>
        <vt:lpwstr/>
      </vt:variant>
      <vt:variant>
        <vt:i4>3604597</vt:i4>
      </vt:variant>
      <vt:variant>
        <vt:i4>21</vt:i4>
      </vt:variant>
      <vt:variant>
        <vt:i4>0</vt:i4>
      </vt:variant>
      <vt:variant>
        <vt:i4>5</vt:i4>
      </vt:variant>
      <vt:variant>
        <vt:lpwstr>http://www.nevo.co.il/case/20374629</vt:lpwstr>
      </vt:variant>
      <vt:variant>
        <vt:lpwstr/>
      </vt:variant>
      <vt:variant>
        <vt:i4>3539060</vt:i4>
      </vt:variant>
      <vt:variant>
        <vt:i4>18</vt:i4>
      </vt:variant>
      <vt:variant>
        <vt:i4>0</vt:i4>
      </vt:variant>
      <vt:variant>
        <vt:i4>5</vt:i4>
      </vt:variant>
      <vt:variant>
        <vt:lpwstr>http://www.nevo.co.il/case/20783809</vt:lpwstr>
      </vt:variant>
      <vt:variant>
        <vt:lpwstr/>
      </vt:variant>
      <vt:variant>
        <vt:i4>3997810</vt:i4>
      </vt:variant>
      <vt:variant>
        <vt:i4>15</vt:i4>
      </vt:variant>
      <vt:variant>
        <vt:i4>0</vt:i4>
      </vt:variant>
      <vt:variant>
        <vt:i4>5</vt:i4>
      </vt:variant>
      <vt:variant>
        <vt:lpwstr>http://www.nevo.co.il/case/20649200</vt:lpwstr>
      </vt:variant>
      <vt:variant>
        <vt:lpwstr/>
      </vt:variant>
      <vt:variant>
        <vt:i4>3211391</vt:i4>
      </vt:variant>
      <vt:variant>
        <vt:i4>12</vt:i4>
      </vt:variant>
      <vt:variant>
        <vt:i4>0</vt:i4>
      </vt:variant>
      <vt:variant>
        <vt:i4>5</vt:i4>
      </vt:variant>
      <vt:variant>
        <vt:lpwstr>http://www.nevo.co.il/case/20027942</vt:lpwstr>
      </vt:variant>
      <vt:variant>
        <vt:lpwstr/>
      </vt:variant>
      <vt:variant>
        <vt:i4>3211381</vt:i4>
      </vt:variant>
      <vt:variant>
        <vt:i4>9</vt:i4>
      </vt:variant>
      <vt:variant>
        <vt:i4>0</vt:i4>
      </vt:variant>
      <vt:variant>
        <vt:i4>5</vt:i4>
      </vt:variant>
      <vt:variant>
        <vt:lpwstr>http://www.nevo.co.il/case/4316440</vt:lpwstr>
      </vt:variant>
      <vt:variant>
        <vt:lpwstr/>
      </vt:variant>
      <vt:variant>
        <vt:i4>8257637</vt:i4>
      </vt:variant>
      <vt:variant>
        <vt:i4>6</vt:i4>
      </vt:variant>
      <vt:variant>
        <vt:i4>0</vt:i4>
      </vt:variant>
      <vt:variant>
        <vt:i4>5</vt:i4>
      </vt:variant>
      <vt:variant>
        <vt:lpwstr>http://www.nevo.co.il/law/4216</vt:lpwstr>
      </vt:variant>
      <vt:variant>
        <vt:lpwstr/>
      </vt:variant>
      <vt:variant>
        <vt:i4>2949245</vt:i4>
      </vt:variant>
      <vt:variant>
        <vt:i4>3</vt:i4>
      </vt:variant>
      <vt:variant>
        <vt:i4>0</vt:i4>
      </vt:variant>
      <vt:variant>
        <vt:i4>5</vt:i4>
      </vt:variant>
      <vt:variant>
        <vt:lpwstr>http://www.nevo.co.il/law/4216/7.a.+7.c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2025-04-22T22:48:00Z</dcterms:created>
  <dcterms:modified xsi:type="dcterms:W3CDTF">2025-04-22T22:48:00Z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12819</vt:lpwstr>
  </property>
  <property fmtid="{D5CDD505-2E9C-101B-9397-08002B2CF9AE}" pid="6" name="NEWPARTB">
    <vt:lpwstr>08</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מחמד סאפי</vt:lpwstr>
  </property>
  <property fmtid="{D5CDD505-2E9C-101B-9397-08002B2CF9AE}" pid="10" name="LAWYER">
    <vt:lpwstr>סיון אטיה;מחמוד נעאמנה</vt:lpwstr>
  </property>
  <property fmtid="{D5CDD505-2E9C-101B-9397-08002B2CF9AE}" pid="11" name="JUDGE">
    <vt:lpwstr>איתי הרמלין</vt:lpwstr>
  </property>
  <property fmtid="{D5CDD505-2E9C-101B-9397-08002B2CF9AE}" pid="12" name="CITY">
    <vt:lpwstr>ת"א</vt:lpwstr>
  </property>
  <property fmtid="{D5CDD505-2E9C-101B-9397-08002B2CF9AE}" pid="13" name="DATE">
    <vt:lpwstr>20171205</vt:lpwstr>
  </property>
  <property fmtid="{D5CDD505-2E9C-101B-9397-08002B2CF9AE}" pid="14" name="TYPE_N_DATE">
    <vt:lpwstr>38020171205</vt:lpwstr>
  </property>
  <property fmtid="{D5CDD505-2E9C-101B-9397-08002B2CF9AE}" pid="15" name="CASESLISTTMP1">
    <vt:lpwstr>4316440;20027942;20649200;20783809;20374629;8480829;3505984;7836882</vt:lpwstr>
  </property>
  <property fmtid="{D5CDD505-2E9C-101B-9397-08002B2CF9AE}" pid="16" name="CASENOTES1">
    <vt:lpwstr>ProcID=184&amp;PartA=2017); בת"פ (ירושלים) 19872&amp;PartB=12&amp;PartC=15</vt:lpwstr>
  </property>
  <property fmtid="{D5CDD505-2E9C-101B-9397-08002B2CF9AE}" pid="17" name="WORDNUMPAGES">
    <vt:lpwstr>5</vt:lpwstr>
  </property>
  <property fmtid="{D5CDD505-2E9C-101B-9397-08002B2CF9AE}" pid="18" name="TYPE_ABS_DATE">
    <vt:lpwstr>380020171205</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4216/007.a.+7.c</vt:lpwstr>
  </property>
</Properties>
</file>