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6B1745" w:rsidRPr="00320DB0" w14:paraId="1C895AB3" w14:textId="77777777">
        <w:trPr>
          <w:trHeight w:hRule="exact" w:val="418"/>
          <w:jc w:val="center"/>
        </w:trPr>
        <w:tc>
          <w:tcPr>
            <w:tcW w:w="8721" w:type="dxa"/>
            <w:gridSpan w:val="2"/>
          </w:tcPr>
          <w:p w14:paraId="4D1E3FFB" w14:textId="77777777" w:rsidR="006B1745" w:rsidRPr="00320DB0" w:rsidRDefault="00320DB0">
            <w:pPr>
              <w:pStyle w:val="a3"/>
              <w:jc w:val="center"/>
              <w:rPr>
                <w:rFonts w:ascii="Tahoma" w:hAnsi="Tahoma" w:cs="Tahoma"/>
                <w:color w:val="000080"/>
                <w:rtl/>
              </w:rPr>
            </w:pPr>
            <w:r w:rsidRPr="00320DB0">
              <w:rPr>
                <w:rFonts w:ascii="Tahoma" w:hAnsi="Tahoma" w:cs="Tahoma"/>
                <w:b/>
                <w:bCs/>
                <w:color w:val="000080"/>
                <w:rtl/>
              </w:rPr>
              <w:t>בית משפט השלום בירושלים</w:t>
            </w:r>
          </w:p>
        </w:tc>
      </w:tr>
      <w:tr w:rsidR="006B1745" w:rsidRPr="00320DB0" w14:paraId="684D0EB7" w14:textId="77777777">
        <w:trPr>
          <w:trHeight w:val="337"/>
          <w:jc w:val="center"/>
        </w:trPr>
        <w:tc>
          <w:tcPr>
            <w:tcW w:w="5051" w:type="dxa"/>
          </w:tcPr>
          <w:p w14:paraId="5C6948B0" w14:textId="77777777" w:rsidR="006B1745" w:rsidRPr="00320DB0" w:rsidRDefault="00320DB0" w:rsidP="00CB2338">
            <w:pPr>
              <w:rPr>
                <w:rFonts w:cs="FrankRuehl" w:hint="cs"/>
                <w:sz w:val="28"/>
                <w:szCs w:val="28"/>
                <w:rtl/>
              </w:rPr>
            </w:pPr>
            <w:r w:rsidRPr="00320DB0">
              <w:rPr>
                <w:rFonts w:cs="FrankRuehl"/>
                <w:sz w:val="28"/>
                <w:szCs w:val="28"/>
                <w:rtl/>
              </w:rPr>
              <w:t>ת"פ</w:t>
            </w:r>
            <w:r w:rsidRPr="00320DB0">
              <w:rPr>
                <w:rFonts w:cs="FrankRuehl" w:hint="cs"/>
                <w:sz w:val="28"/>
                <w:szCs w:val="28"/>
                <w:rtl/>
              </w:rPr>
              <w:t xml:space="preserve"> </w:t>
            </w:r>
            <w:r w:rsidRPr="00320DB0">
              <w:rPr>
                <w:rFonts w:cs="FrankRuehl"/>
                <w:sz w:val="28"/>
                <w:szCs w:val="28"/>
                <w:rtl/>
              </w:rPr>
              <w:t>2232-08-15</w:t>
            </w:r>
            <w:r w:rsidRPr="00320DB0">
              <w:rPr>
                <w:rFonts w:cs="FrankRuehl" w:hint="cs"/>
                <w:sz w:val="28"/>
                <w:szCs w:val="28"/>
                <w:rtl/>
              </w:rPr>
              <w:t xml:space="preserve"> </w:t>
            </w:r>
            <w:r w:rsidR="00CB2338">
              <w:rPr>
                <w:rFonts w:cs="FrankRuehl"/>
                <w:sz w:val="28"/>
                <w:szCs w:val="28"/>
                <w:rtl/>
              </w:rPr>
              <w:t>מדינת ישראל נ' סנד</w:t>
            </w:r>
          </w:p>
          <w:p w14:paraId="4E16629A" w14:textId="77777777" w:rsidR="006B1745" w:rsidRPr="00320DB0" w:rsidRDefault="006B1745">
            <w:pPr>
              <w:pStyle w:val="a3"/>
              <w:rPr>
                <w:rFonts w:cs="FrankRuehl"/>
                <w:sz w:val="28"/>
                <w:szCs w:val="28"/>
                <w:rtl/>
              </w:rPr>
            </w:pPr>
          </w:p>
          <w:p w14:paraId="4BD17F8B" w14:textId="77777777" w:rsidR="006B1745" w:rsidRPr="00320DB0" w:rsidRDefault="006B1745">
            <w:pPr>
              <w:pStyle w:val="a3"/>
              <w:rPr>
                <w:rFonts w:cs="FrankRuehl"/>
                <w:sz w:val="28"/>
                <w:szCs w:val="28"/>
                <w:rtl/>
              </w:rPr>
            </w:pPr>
          </w:p>
        </w:tc>
        <w:tc>
          <w:tcPr>
            <w:tcW w:w="3670" w:type="dxa"/>
          </w:tcPr>
          <w:p w14:paraId="3F16C9EB" w14:textId="77777777" w:rsidR="006B1745" w:rsidRPr="00320DB0" w:rsidRDefault="00320DB0">
            <w:pPr>
              <w:pStyle w:val="a3"/>
              <w:jc w:val="right"/>
              <w:rPr>
                <w:rFonts w:cs="FrankRuehl"/>
                <w:sz w:val="28"/>
                <w:szCs w:val="28"/>
                <w:rtl/>
              </w:rPr>
            </w:pPr>
            <w:r w:rsidRPr="00320DB0">
              <w:rPr>
                <w:rFonts w:cs="FrankRuehl"/>
                <w:sz w:val="28"/>
                <w:szCs w:val="28"/>
                <w:rtl/>
              </w:rPr>
              <w:t>03 מאי 2016</w:t>
            </w:r>
          </w:p>
        </w:tc>
      </w:tr>
    </w:tbl>
    <w:p w14:paraId="6F3A7438" w14:textId="77777777" w:rsidR="006B1745" w:rsidRPr="00320DB0" w:rsidRDefault="00320DB0">
      <w:pPr>
        <w:pStyle w:val="a3"/>
      </w:pPr>
      <w:r w:rsidRPr="00320DB0">
        <w:rPr>
          <w:rFonts w:cs="Times New Roman" w:hint="cs"/>
          <w:b/>
          <w:bCs/>
          <w:sz w:val="26"/>
          <w:szCs w:val="28"/>
          <w:rtl/>
        </w:rPr>
        <w:t xml:space="preserve"> </w:t>
      </w:r>
    </w:p>
    <w:p w14:paraId="30897E35" w14:textId="77777777" w:rsidR="006B1745" w:rsidRPr="00320DB0" w:rsidRDefault="006B1745"/>
    <w:tbl>
      <w:tblPr>
        <w:bidiVisual/>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097"/>
        <w:gridCol w:w="3747"/>
      </w:tblGrid>
      <w:tr w:rsidR="006B1745" w:rsidRPr="00320DB0" w14:paraId="7E11743D" w14:textId="77777777">
        <w:trPr>
          <w:trHeight w:val="295"/>
          <w:jc w:val="center"/>
        </w:trPr>
        <w:tc>
          <w:tcPr>
            <w:tcW w:w="892" w:type="dxa"/>
            <w:tcBorders>
              <w:top w:val="nil"/>
              <w:left w:val="nil"/>
              <w:bottom w:val="nil"/>
              <w:right w:val="nil"/>
            </w:tcBorders>
            <w:shd w:val="clear" w:color="auto" w:fill="auto"/>
          </w:tcPr>
          <w:p w14:paraId="25BB8674" w14:textId="77777777" w:rsidR="006B1745" w:rsidRPr="00320DB0" w:rsidRDefault="00320DB0">
            <w:pPr>
              <w:jc w:val="both"/>
              <w:rPr>
                <w:rFonts w:ascii="Arial" w:hAnsi="Arial"/>
                <w:sz w:val="28"/>
                <w:szCs w:val="28"/>
              </w:rPr>
            </w:pPr>
            <w:r w:rsidRPr="00320DB0">
              <w:rPr>
                <w:rFonts w:ascii="Arial" w:hAnsi="Arial" w:hint="cs"/>
                <w:sz w:val="28"/>
                <w:szCs w:val="28"/>
                <w:rtl/>
              </w:rPr>
              <w:t>ב</w:t>
            </w:r>
            <w:r w:rsidRPr="00320DB0">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2621E9C2" w14:textId="77777777" w:rsidR="006B1745" w:rsidRPr="00320DB0" w:rsidRDefault="00320DB0">
            <w:pPr>
              <w:rPr>
                <w:rFonts w:ascii="Arial" w:hAnsi="Arial"/>
                <w:b/>
                <w:bCs/>
              </w:rPr>
            </w:pPr>
            <w:r w:rsidRPr="00320DB0">
              <w:rPr>
                <w:rFonts w:ascii="Arial" w:hAnsi="Arial" w:hint="cs"/>
                <w:b/>
                <w:bCs/>
                <w:rtl/>
              </w:rPr>
              <w:t>כב' השופטת חגית מאק-קלמנוביץ, ס. נשיא</w:t>
            </w:r>
          </w:p>
        </w:tc>
      </w:tr>
      <w:tr w:rsidR="006B1745" w:rsidRPr="00320DB0" w14:paraId="2F9FFA06" w14:textId="77777777">
        <w:trPr>
          <w:trHeight w:val="355"/>
          <w:jc w:val="center"/>
        </w:trPr>
        <w:tc>
          <w:tcPr>
            <w:tcW w:w="892" w:type="dxa"/>
            <w:tcBorders>
              <w:top w:val="nil"/>
              <w:left w:val="nil"/>
              <w:bottom w:val="nil"/>
              <w:right w:val="nil"/>
            </w:tcBorders>
            <w:shd w:val="clear" w:color="auto" w:fill="auto"/>
          </w:tcPr>
          <w:p w14:paraId="7EA55446" w14:textId="77777777" w:rsidR="006B1745" w:rsidRPr="00320DB0" w:rsidRDefault="006B1745">
            <w:pPr>
              <w:jc w:val="both"/>
              <w:rPr>
                <w:rFonts w:ascii="Arial" w:hAnsi="Arial"/>
                <w:b/>
                <w:bCs/>
                <w:sz w:val="28"/>
                <w:szCs w:val="28"/>
                <w:rtl/>
              </w:rPr>
            </w:pPr>
            <w:bookmarkStart w:id="0" w:name="FirstAppellant"/>
            <w:bookmarkStart w:id="1" w:name="LastJudge"/>
            <w:bookmarkEnd w:id="1"/>
          </w:p>
          <w:p w14:paraId="279EF50C" w14:textId="77777777" w:rsidR="006B1745" w:rsidRPr="00320DB0" w:rsidRDefault="00320DB0">
            <w:pPr>
              <w:jc w:val="both"/>
              <w:rPr>
                <w:rFonts w:ascii="Arial" w:hAnsi="Arial"/>
                <w:b/>
                <w:bCs/>
                <w:sz w:val="28"/>
                <w:szCs w:val="28"/>
              </w:rPr>
            </w:pPr>
            <w:r w:rsidRPr="00320DB0">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82B8B54" w14:textId="77777777" w:rsidR="006B1745" w:rsidRPr="00320DB0" w:rsidRDefault="006B1745">
            <w:pPr>
              <w:jc w:val="both"/>
              <w:rPr>
                <w:rFonts w:ascii="Arial" w:hAnsi="Arial"/>
                <w:b/>
                <w:bCs/>
                <w:sz w:val="28"/>
                <w:szCs w:val="28"/>
                <w:rtl/>
              </w:rPr>
            </w:pPr>
          </w:p>
          <w:p w14:paraId="598CD14F" w14:textId="77777777" w:rsidR="006B1745" w:rsidRPr="00320DB0" w:rsidRDefault="00320DB0">
            <w:pPr>
              <w:rPr>
                <w:b/>
                <w:bCs/>
              </w:rPr>
            </w:pPr>
            <w:r w:rsidRPr="00320DB0">
              <w:rPr>
                <w:rFonts w:hint="cs"/>
                <w:b/>
                <w:bCs/>
                <w:rtl/>
              </w:rPr>
              <w:t>מדינת ישראל</w:t>
            </w:r>
          </w:p>
          <w:p w14:paraId="0A469B98" w14:textId="77777777" w:rsidR="006B1745" w:rsidRPr="00320DB0" w:rsidRDefault="00320DB0">
            <w:pPr>
              <w:jc w:val="both"/>
              <w:rPr>
                <w:rFonts w:ascii="Arial" w:hAnsi="Arial"/>
                <w:b/>
                <w:bCs/>
                <w:sz w:val="28"/>
                <w:szCs w:val="28"/>
                <w:rtl/>
              </w:rPr>
            </w:pPr>
            <w:r w:rsidRPr="00320DB0">
              <w:rPr>
                <w:rFonts w:ascii="Arial" w:hAnsi="Arial" w:hint="cs"/>
                <w:b/>
                <w:bCs/>
                <w:sz w:val="28"/>
                <w:szCs w:val="28"/>
                <w:rtl/>
              </w:rPr>
              <w:t xml:space="preserve">ע"י משטרת ישראל, </w:t>
            </w:r>
          </w:p>
          <w:p w14:paraId="51CBCC2B" w14:textId="77777777" w:rsidR="006B1745" w:rsidRPr="00320DB0" w:rsidRDefault="00320DB0">
            <w:pPr>
              <w:jc w:val="both"/>
              <w:rPr>
                <w:rFonts w:ascii="Arial" w:hAnsi="Arial"/>
                <w:b/>
                <w:bCs/>
                <w:sz w:val="28"/>
                <w:szCs w:val="28"/>
              </w:rPr>
            </w:pPr>
            <w:r w:rsidRPr="00320DB0">
              <w:rPr>
                <w:rFonts w:ascii="Arial" w:hAnsi="Arial" w:hint="cs"/>
                <w:b/>
                <w:bCs/>
                <w:sz w:val="28"/>
                <w:szCs w:val="28"/>
                <w:rtl/>
              </w:rPr>
              <w:t>ענף תביעות מחוז ירושלים</w:t>
            </w:r>
          </w:p>
        </w:tc>
        <w:tc>
          <w:tcPr>
            <w:tcW w:w="3771" w:type="dxa"/>
            <w:tcBorders>
              <w:top w:val="nil"/>
              <w:left w:val="nil"/>
              <w:bottom w:val="nil"/>
              <w:right w:val="nil"/>
            </w:tcBorders>
            <w:shd w:val="clear" w:color="auto" w:fill="auto"/>
          </w:tcPr>
          <w:p w14:paraId="12645F12" w14:textId="77777777" w:rsidR="006B1745" w:rsidRPr="00320DB0" w:rsidRDefault="006B1745">
            <w:pPr>
              <w:jc w:val="both"/>
              <w:rPr>
                <w:rFonts w:ascii="Arial" w:hAnsi="Arial"/>
                <w:b/>
                <w:bCs/>
                <w:sz w:val="28"/>
                <w:szCs w:val="28"/>
              </w:rPr>
            </w:pPr>
          </w:p>
        </w:tc>
      </w:tr>
      <w:bookmarkEnd w:id="0"/>
      <w:tr w:rsidR="006B1745" w:rsidRPr="00320DB0" w14:paraId="3BC11FCD" w14:textId="77777777">
        <w:trPr>
          <w:trHeight w:val="355"/>
          <w:jc w:val="center"/>
        </w:trPr>
        <w:tc>
          <w:tcPr>
            <w:tcW w:w="892" w:type="dxa"/>
            <w:tcBorders>
              <w:top w:val="nil"/>
              <w:left w:val="nil"/>
              <w:bottom w:val="nil"/>
              <w:right w:val="nil"/>
            </w:tcBorders>
            <w:shd w:val="clear" w:color="auto" w:fill="auto"/>
          </w:tcPr>
          <w:p w14:paraId="274792C5" w14:textId="77777777" w:rsidR="006B1745" w:rsidRPr="00320DB0" w:rsidRDefault="006B1745">
            <w:pPr>
              <w:jc w:val="both"/>
              <w:rPr>
                <w:rFonts w:ascii="Arial" w:hAnsi="Arial"/>
                <w:b/>
                <w:bCs/>
                <w:sz w:val="28"/>
                <w:szCs w:val="28"/>
                <w:rtl/>
              </w:rPr>
            </w:pPr>
          </w:p>
        </w:tc>
        <w:tc>
          <w:tcPr>
            <w:tcW w:w="4126" w:type="dxa"/>
            <w:tcBorders>
              <w:top w:val="nil"/>
              <w:left w:val="nil"/>
              <w:bottom w:val="nil"/>
              <w:right w:val="nil"/>
            </w:tcBorders>
            <w:shd w:val="clear" w:color="auto" w:fill="auto"/>
          </w:tcPr>
          <w:p w14:paraId="7FD65A31" w14:textId="77777777" w:rsidR="006B1745" w:rsidRPr="00320DB0" w:rsidRDefault="006B1745">
            <w:pPr>
              <w:jc w:val="both"/>
              <w:rPr>
                <w:b/>
                <w:bCs/>
                <w:rtl/>
              </w:rPr>
            </w:pPr>
          </w:p>
        </w:tc>
        <w:tc>
          <w:tcPr>
            <w:tcW w:w="3771" w:type="dxa"/>
            <w:tcBorders>
              <w:top w:val="nil"/>
              <w:left w:val="nil"/>
              <w:bottom w:val="nil"/>
              <w:right w:val="nil"/>
            </w:tcBorders>
            <w:shd w:val="clear" w:color="auto" w:fill="auto"/>
          </w:tcPr>
          <w:p w14:paraId="5D4F06B4" w14:textId="77777777" w:rsidR="006B1745" w:rsidRPr="00320DB0" w:rsidRDefault="00320DB0">
            <w:pPr>
              <w:jc w:val="right"/>
              <w:rPr>
                <w:rFonts w:ascii="Arial" w:hAnsi="Arial"/>
                <w:b/>
                <w:bCs/>
                <w:sz w:val="28"/>
                <w:szCs w:val="28"/>
                <w:rtl/>
              </w:rPr>
            </w:pPr>
            <w:r w:rsidRPr="00320DB0">
              <w:rPr>
                <w:rFonts w:ascii="Arial" w:hAnsi="Arial" w:hint="cs"/>
                <w:b/>
                <w:bCs/>
                <w:sz w:val="28"/>
                <w:szCs w:val="28"/>
                <w:rtl/>
              </w:rPr>
              <w:t>ה</w:t>
            </w:r>
            <w:r w:rsidRPr="00320DB0">
              <w:rPr>
                <w:rFonts w:hint="cs"/>
                <w:b/>
                <w:bCs/>
                <w:rtl/>
              </w:rPr>
              <w:t>מאשימה</w:t>
            </w:r>
          </w:p>
        </w:tc>
      </w:tr>
      <w:tr w:rsidR="006B1745" w:rsidRPr="00320DB0" w14:paraId="0E4C7859" w14:textId="77777777">
        <w:trPr>
          <w:trHeight w:val="355"/>
          <w:jc w:val="center"/>
        </w:trPr>
        <w:tc>
          <w:tcPr>
            <w:tcW w:w="892" w:type="dxa"/>
            <w:tcBorders>
              <w:top w:val="nil"/>
              <w:left w:val="nil"/>
              <w:bottom w:val="nil"/>
              <w:right w:val="nil"/>
            </w:tcBorders>
            <w:shd w:val="clear" w:color="auto" w:fill="auto"/>
          </w:tcPr>
          <w:p w14:paraId="7AEDD156" w14:textId="77777777" w:rsidR="006B1745" w:rsidRPr="00320DB0" w:rsidRDefault="006B1745">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1084D698" w14:textId="77777777" w:rsidR="006B1745" w:rsidRPr="00320DB0" w:rsidRDefault="006B1745">
            <w:pPr>
              <w:jc w:val="center"/>
              <w:rPr>
                <w:rFonts w:ascii="Arial" w:hAnsi="Arial"/>
                <w:b/>
                <w:bCs/>
                <w:sz w:val="28"/>
                <w:szCs w:val="28"/>
                <w:rtl/>
              </w:rPr>
            </w:pPr>
          </w:p>
          <w:p w14:paraId="53292C8E" w14:textId="77777777" w:rsidR="006B1745" w:rsidRPr="00320DB0" w:rsidRDefault="00320DB0">
            <w:pPr>
              <w:jc w:val="center"/>
              <w:rPr>
                <w:rFonts w:ascii="Arial" w:hAnsi="Arial"/>
                <w:b/>
                <w:bCs/>
                <w:sz w:val="28"/>
                <w:szCs w:val="28"/>
                <w:rtl/>
              </w:rPr>
            </w:pPr>
            <w:r w:rsidRPr="00320DB0">
              <w:rPr>
                <w:rFonts w:ascii="Arial" w:hAnsi="Arial"/>
                <w:b/>
                <w:bCs/>
                <w:sz w:val="28"/>
                <w:szCs w:val="28"/>
                <w:rtl/>
              </w:rPr>
              <w:t>נגד</w:t>
            </w:r>
          </w:p>
          <w:p w14:paraId="6D9F2B49" w14:textId="77777777" w:rsidR="006B1745" w:rsidRPr="00320DB0" w:rsidRDefault="006B1745">
            <w:pPr>
              <w:jc w:val="both"/>
              <w:rPr>
                <w:rFonts w:ascii="Arial" w:hAnsi="Arial"/>
                <w:b/>
                <w:bCs/>
                <w:sz w:val="28"/>
                <w:szCs w:val="28"/>
              </w:rPr>
            </w:pPr>
          </w:p>
        </w:tc>
      </w:tr>
      <w:tr w:rsidR="006B1745" w:rsidRPr="00320DB0" w14:paraId="358EE8CF" w14:textId="77777777">
        <w:trPr>
          <w:trHeight w:val="355"/>
          <w:jc w:val="center"/>
        </w:trPr>
        <w:tc>
          <w:tcPr>
            <w:tcW w:w="892" w:type="dxa"/>
            <w:tcBorders>
              <w:top w:val="nil"/>
              <w:left w:val="nil"/>
              <w:bottom w:val="nil"/>
              <w:right w:val="nil"/>
            </w:tcBorders>
            <w:shd w:val="clear" w:color="auto" w:fill="auto"/>
          </w:tcPr>
          <w:p w14:paraId="26B1A64E" w14:textId="77777777" w:rsidR="006B1745" w:rsidRPr="00320DB0" w:rsidRDefault="006B1745">
            <w:pPr>
              <w:jc w:val="both"/>
              <w:rPr>
                <w:rFonts w:ascii="Arial" w:hAnsi="Arial"/>
                <w:b/>
                <w:bCs/>
                <w:sz w:val="28"/>
                <w:szCs w:val="28"/>
                <w:rtl/>
              </w:rPr>
            </w:pPr>
          </w:p>
        </w:tc>
        <w:tc>
          <w:tcPr>
            <w:tcW w:w="4126" w:type="dxa"/>
            <w:tcBorders>
              <w:top w:val="nil"/>
              <w:left w:val="nil"/>
              <w:bottom w:val="nil"/>
              <w:right w:val="nil"/>
            </w:tcBorders>
            <w:shd w:val="clear" w:color="auto" w:fill="auto"/>
          </w:tcPr>
          <w:p w14:paraId="0845CC1D" w14:textId="77777777" w:rsidR="006B1745" w:rsidRPr="00320DB0" w:rsidRDefault="00320DB0">
            <w:pPr>
              <w:jc w:val="both"/>
              <w:rPr>
                <w:b/>
                <w:bCs/>
                <w:rtl/>
              </w:rPr>
            </w:pPr>
            <w:r w:rsidRPr="00320DB0">
              <w:rPr>
                <w:rFonts w:hint="cs"/>
                <w:b/>
                <w:bCs/>
                <w:rtl/>
              </w:rPr>
              <w:t xml:space="preserve">חוסין סנד </w:t>
            </w:r>
          </w:p>
        </w:tc>
        <w:tc>
          <w:tcPr>
            <w:tcW w:w="3771" w:type="dxa"/>
            <w:tcBorders>
              <w:top w:val="nil"/>
              <w:left w:val="nil"/>
              <w:bottom w:val="nil"/>
              <w:right w:val="nil"/>
            </w:tcBorders>
            <w:shd w:val="clear" w:color="auto" w:fill="auto"/>
          </w:tcPr>
          <w:p w14:paraId="78B43CD6" w14:textId="77777777" w:rsidR="006B1745" w:rsidRPr="00320DB0" w:rsidRDefault="006B1745">
            <w:pPr>
              <w:jc w:val="right"/>
              <w:rPr>
                <w:rFonts w:ascii="Arial" w:hAnsi="Arial"/>
                <w:b/>
                <w:bCs/>
                <w:sz w:val="28"/>
                <w:szCs w:val="28"/>
              </w:rPr>
            </w:pPr>
          </w:p>
        </w:tc>
      </w:tr>
      <w:tr w:rsidR="006B1745" w:rsidRPr="00320DB0" w14:paraId="7D9DDBC5" w14:textId="77777777">
        <w:trPr>
          <w:trHeight w:val="355"/>
          <w:jc w:val="center"/>
        </w:trPr>
        <w:tc>
          <w:tcPr>
            <w:tcW w:w="892" w:type="dxa"/>
            <w:tcBorders>
              <w:top w:val="nil"/>
              <w:left w:val="nil"/>
              <w:bottom w:val="nil"/>
              <w:right w:val="nil"/>
            </w:tcBorders>
            <w:shd w:val="clear" w:color="auto" w:fill="auto"/>
          </w:tcPr>
          <w:p w14:paraId="46862BD5" w14:textId="77777777" w:rsidR="006B1745" w:rsidRPr="00320DB0" w:rsidRDefault="006B1745">
            <w:pPr>
              <w:jc w:val="both"/>
              <w:rPr>
                <w:rFonts w:ascii="Arial" w:hAnsi="Arial"/>
                <w:b/>
                <w:bCs/>
                <w:sz w:val="28"/>
                <w:szCs w:val="28"/>
                <w:rtl/>
              </w:rPr>
            </w:pPr>
            <w:bookmarkStart w:id="2" w:name="FirstLawyer"/>
          </w:p>
        </w:tc>
        <w:tc>
          <w:tcPr>
            <w:tcW w:w="4126" w:type="dxa"/>
            <w:tcBorders>
              <w:top w:val="nil"/>
              <w:left w:val="nil"/>
              <w:bottom w:val="nil"/>
              <w:right w:val="nil"/>
            </w:tcBorders>
            <w:shd w:val="clear" w:color="auto" w:fill="auto"/>
          </w:tcPr>
          <w:p w14:paraId="244C7408" w14:textId="77777777" w:rsidR="006B1745" w:rsidRPr="00320DB0" w:rsidRDefault="00320DB0">
            <w:pPr>
              <w:jc w:val="both"/>
              <w:rPr>
                <w:b/>
                <w:bCs/>
                <w:rtl/>
              </w:rPr>
            </w:pPr>
            <w:r w:rsidRPr="00320DB0">
              <w:rPr>
                <w:rFonts w:hint="cs"/>
                <w:b/>
                <w:bCs/>
                <w:sz w:val="28"/>
                <w:szCs w:val="28"/>
                <w:rtl/>
              </w:rPr>
              <w:t>ע"י ב"כ עו"ד אשרף חסן</w:t>
            </w:r>
          </w:p>
        </w:tc>
        <w:tc>
          <w:tcPr>
            <w:tcW w:w="3771" w:type="dxa"/>
            <w:tcBorders>
              <w:top w:val="nil"/>
              <w:left w:val="nil"/>
              <w:bottom w:val="nil"/>
              <w:right w:val="nil"/>
            </w:tcBorders>
            <w:shd w:val="clear" w:color="auto" w:fill="auto"/>
          </w:tcPr>
          <w:p w14:paraId="240C0EBB" w14:textId="77777777" w:rsidR="006B1745" w:rsidRPr="00320DB0" w:rsidRDefault="00320DB0">
            <w:pPr>
              <w:jc w:val="right"/>
              <w:rPr>
                <w:rFonts w:ascii="Arial" w:hAnsi="Arial"/>
                <w:b/>
                <w:bCs/>
                <w:sz w:val="28"/>
                <w:szCs w:val="28"/>
              </w:rPr>
            </w:pPr>
            <w:r w:rsidRPr="00320DB0">
              <w:rPr>
                <w:rFonts w:ascii="Arial" w:hAnsi="Arial" w:hint="cs"/>
                <w:b/>
                <w:bCs/>
                <w:sz w:val="28"/>
                <w:szCs w:val="28"/>
                <w:rtl/>
              </w:rPr>
              <w:t>ה</w:t>
            </w:r>
            <w:r w:rsidRPr="00320DB0">
              <w:rPr>
                <w:rFonts w:hint="cs"/>
                <w:b/>
                <w:bCs/>
                <w:rtl/>
              </w:rPr>
              <w:t>נאשם</w:t>
            </w:r>
          </w:p>
        </w:tc>
      </w:tr>
    </w:tbl>
    <w:p w14:paraId="2C050B7B" w14:textId="77777777" w:rsidR="00CB2338" w:rsidRDefault="00CB2338">
      <w:pPr>
        <w:rPr>
          <w:rtl/>
        </w:rPr>
      </w:pPr>
      <w:bookmarkStart w:id="3" w:name="LawTable"/>
      <w:bookmarkEnd w:id="2"/>
      <w:bookmarkEnd w:id="3"/>
    </w:p>
    <w:p w14:paraId="58962B59" w14:textId="77777777" w:rsidR="00CB2338" w:rsidRPr="00CB2338" w:rsidRDefault="00CB2338" w:rsidP="00CB2338">
      <w:pPr>
        <w:spacing w:after="120" w:line="240" w:lineRule="exact"/>
        <w:ind w:left="283" w:hanging="283"/>
        <w:jc w:val="both"/>
        <w:rPr>
          <w:rFonts w:ascii="FrankRuehl" w:hAnsi="FrankRuehl" w:cs="FrankRuehl"/>
          <w:rtl/>
        </w:rPr>
      </w:pPr>
    </w:p>
    <w:p w14:paraId="1409E1FB" w14:textId="77777777" w:rsidR="00CB2338" w:rsidRPr="00CB2338" w:rsidRDefault="00CB2338" w:rsidP="00CB2338">
      <w:pPr>
        <w:spacing w:after="120" w:line="240" w:lineRule="exact"/>
        <w:ind w:left="283" w:hanging="283"/>
        <w:jc w:val="both"/>
        <w:rPr>
          <w:rFonts w:ascii="FrankRuehl" w:hAnsi="FrankRuehl" w:cs="FrankRuehl"/>
          <w:rtl/>
        </w:rPr>
      </w:pPr>
      <w:r w:rsidRPr="00CB2338">
        <w:rPr>
          <w:rFonts w:ascii="FrankRuehl" w:hAnsi="FrankRuehl" w:cs="FrankRuehl"/>
          <w:rtl/>
        </w:rPr>
        <w:t xml:space="preserve">חקיקה שאוזכרה: </w:t>
      </w:r>
    </w:p>
    <w:p w14:paraId="5A2F1C32" w14:textId="77777777" w:rsidR="00CB2338" w:rsidRPr="00CB2338" w:rsidRDefault="00CB2338" w:rsidP="00CB2338">
      <w:pPr>
        <w:spacing w:after="120" w:line="240" w:lineRule="exact"/>
        <w:ind w:left="283" w:hanging="283"/>
        <w:jc w:val="both"/>
        <w:rPr>
          <w:rFonts w:ascii="FrankRuehl" w:hAnsi="FrankRuehl" w:cs="FrankRuehl"/>
          <w:color w:val="0000FF"/>
          <w:u w:val="single"/>
          <w:rtl/>
        </w:rPr>
      </w:pPr>
      <w:hyperlink r:id="rId6" w:history="1">
        <w:r w:rsidRPr="00CB2338">
          <w:rPr>
            <w:rStyle w:val="Hyperlink"/>
            <w:rFonts w:ascii="FrankRuehl" w:hAnsi="FrankRuehl" w:cs="FrankRuehl"/>
            <w:rtl/>
          </w:rPr>
          <w:t>פקודת הסמים המסוכנים [נוסח חדש], תשל"ג-1973</w:t>
        </w:r>
      </w:hyperlink>
      <w:r w:rsidRPr="00CB2338">
        <w:rPr>
          <w:rFonts w:ascii="FrankRuehl" w:hAnsi="FrankRuehl" w:cs="FrankRuehl"/>
          <w:color w:val="0000FF"/>
          <w:u w:val="single"/>
          <w:rtl/>
        </w:rPr>
        <w:t xml:space="preserve">: סע'  </w:t>
      </w:r>
      <w:hyperlink r:id="rId7" w:history="1">
        <w:r w:rsidRPr="00CB2338">
          <w:rPr>
            <w:rStyle w:val="Hyperlink"/>
            <w:rFonts w:ascii="FrankRuehl" w:hAnsi="FrankRuehl" w:cs="FrankRuehl"/>
          </w:rPr>
          <w:t>+ (</w:t>
        </w:r>
        <w:r w:rsidRPr="00CB2338">
          <w:rPr>
            <w:rStyle w:val="Hyperlink"/>
            <w:rFonts w:ascii="FrankRuehl" w:hAnsi="FrankRuehl" w:cs="FrankRuehl"/>
            <w:rtl/>
          </w:rPr>
          <w:t>ג</w:t>
        </w:r>
        <w:r w:rsidRPr="00CB2338">
          <w:rPr>
            <w:rStyle w:val="Hyperlink"/>
            <w:rFonts w:ascii="FrankRuehl" w:hAnsi="FrankRuehl" w:cs="FrankRuehl"/>
          </w:rPr>
          <w:t>)</w:t>
        </w:r>
      </w:hyperlink>
      <w:r w:rsidRPr="00CB2338">
        <w:rPr>
          <w:rFonts w:ascii="FrankRuehl" w:hAnsi="FrankRuehl" w:cs="FrankRuehl"/>
          <w:color w:val="0000FF"/>
          <w:u w:val="single"/>
          <w:rtl/>
        </w:rPr>
        <w:t xml:space="preserve">, </w:t>
      </w:r>
      <w:hyperlink r:id="rId8" w:history="1">
        <w:r w:rsidRPr="00CB2338">
          <w:rPr>
            <w:rStyle w:val="Hyperlink"/>
            <w:rFonts w:ascii="FrankRuehl" w:hAnsi="FrankRuehl" w:cs="FrankRuehl"/>
          </w:rPr>
          <w:t>7(</w:t>
        </w:r>
        <w:r w:rsidRPr="00CB2338">
          <w:rPr>
            <w:rStyle w:val="Hyperlink"/>
            <w:rFonts w:ascii="FrankRuehl" w:hAnsi="FrankRuehl" w:cs="FrankRuehl"/>
            <w:rtl/>
          </w:rPr>
          <w:t>א</w:t>
        </w:r>
        <w:r w:rsidRPr="00CB2338">
          <w:rPr>
            <w:rStyle w:val="Hyperlink"/>
            <w:rFonts w:ascii="FrankRuehl" w:hAnsi="FrankRuehl" w:cs="FrankRuehl"/>
          </w:rPr>
          <w:t>)</w:t>
        </w:r>
      </w:hyperlink>
      <w:r w:rsidRPr="00CB2338">
        <w:rPr>
          <w:rFonts w:ascii="FrankRuehl" w:hAnsi="FrankRuehl" w:cs="FrankRuehl"/>
          <w:color w:val="0000FF"/>
          <w:u w:val="single"/>
          <w:rtl/>
        </w:rPr>
        <w:t xml:space="preserve">, </w:t>
      </w:r>
      <w:hyperlink r:id="rId9" w:history="1">
        <w:r w:rsidRPr="00CB2338">
          <w:rPr>
            <w:rStyle w:val="Hyperlink"/>
            <w:rFonts w:ascii="FrankRuehl" w:hAnsi="FrankRuehl" w:cs="FrankRuehl"/>
          </w:rPr>
          <w:t>(</w:t>
        </w:r>
        <w:r w:rsidRPr="00CB2338">
          <w:rPr>
            <w:rStyle w:val="Hyperlink"/>
            <w:rFonts w:ascii="FrankRuehl" w:hAnsi="FrankRuehl" w:cs="FrankRuehl"/>
            <w:rtl/>
          </w:rPr>
          <w:t>ג</w:t>
        </w:r>
        <w:r w:rsidRPr="00CB2338">
          <w:rPr>
            <w:rStyle w:val="Hyperlink"/>
            <w:rFonts w:ascii="FrankRuehl" w:hAnsi="FrankRuehl" w:cs="FrankRuehl"/>
          </w:rPr>
          <w:t>)</w:t>
        </w:r>
      </w:hyperlink>
      <w:r w:rsidRPr="00CB2338">
        <w:rPr>
          <w:rFonts w:ascii="FrankRuehl" w:hAnsi="FrankRuehl" w:cs="FrankRuehl"/>
          <w:color w:val="0000FF"/>
          <w:u w:val="single"/>
          <w:rtl/>
        </w:rPr>
        <w:t xml:space="preserve">, </w:t>
      </w:r>
      <w:hyperlink r:id="rId10" w:history="1">
        <w:r w:rsidRPr="00CB2338">
          <w:rPr>
            <w:rStyle w:val="Hyperlink"/>
            <w:rFonts w:ascii="FrankRuehl" w:hAnsi="FrankRuehl" w:cs="FrankRuehl"/>
          </w:rPr>
          <w:t>13</w:t>
        </w:r>
      </w:hyperlink>
      <w:r w:rsidRPr="00CB2338">
        <w:rPr>
          <w:rFonts w:ascii="FrankRuehl" w:hAnsi="FrankRuehl" w:cs="FrankRuehl"/>
          <w:color w:val="0000FF"/>
          <w:u w:val="single"/>
          <w:rtl/>
        </w:rPr>
        <w:t xml:space="preserve">, </w:t>
      </w:r>
      <w:hyperlink r:id="rId11" w:history="1">
        <w:r w:rsidRPr="00CB2338">
          <w:rPr>
            <w:rStyle w:val="Hyperlink"/>
            <w:rFonts w:ascii="FrankRuehl" w:hAnsi="FrankRuehl" w:cs="FrankRuehl"/>
          </w:rPr>
          <w:t>14</w:t>
        </w:r>
      </w:hyperlink>
    </w:p>
    <w:p w14:paraId="5C5984FA" w14:textId="77777777" w:rsidR="00CB2338" w:rsidRPr="00CB2338" w:rsidRDefault="00CB2338" w:rsidP="00CB2338">
      <w:pPr>
        <w:spacing w:after="120" w:line="240" w:lineRule="exact"/>
        <w:ind w:left="283" w:hanging="283"/>
        <w:jc w:val="both"/>
        <w:rPr>
          <w:rFonts w:ascii="FrankRuehl" w:hAnsi="FrankRuehl" w:cs="FrankRuehl"/>
          <w:color w:val="0000FF"/>
          <w:u w:val="single"/>
          <w:rtl/>
        </w:rPr>
      </w:pPr>
      <w:hyperlink r:id="rId12" w:history="1">
        <w:r w:rsidRPr="00CB2338">
          <w:rPr>
            <w:rStyle w:val="Hyperlink"/>
            <w:rFonts w:ascii="FrankRuehl" w:hAnsi="FrankRuehl" w:cs="FrankRuehl"/>
            <w:rtl/>
          </w:rPr>
          <w:t>חוק העונשין, תשל"ז-1977</w:t>
        </w:r>
      </w:hyperlink>
      <w:r w:rsidRPr="00CB2338">
        <w:rPr>
          <w:rFonts w:ascii="FrankRuehl" w:hAnsi="FrankRuehl" w:cs="FrankRuehl"/>
          <w:color w:val="0000FF"/>
          <w:u w:val="single"/>
          <w:rtl/>
        </w:rPr>
        <w:t xml:space="preserve">: סע'  </w:t>
      </w:r>
      <w:hyperlink r:id="rId13" w:history="1">
        <w:r w:rsidRPr="00CB2338">
          <w:rPr>
            <w:rStyle w:val="Hyperlink"/>
            <w:rFonts w:ascii="FrankRuehl" w:hAnsi="FrankRuehl" w:cs="FrankRuehl"/>
          </w:rPr>
          <w:t>275</w:t>
        </w:r>
      </w:hyperlink>
    </w:p>
    <w:p w14:paraId="714F4A5A" w14:textId="77777777" w:rsidR="00CB2338" w:rsidRPr="00CB2338" w:rsidRDefault="00CB2338" w:rsidP="00CB2338">
      <w:pPr>
        <w:spacing w:after="120" w:line="240" w:lineRule="exact"/>
        <w:ind w:left="283" w:hanging="283"/>
        <w:jc w:val="both"/>
        <w:rPr>
          <w:rFonts w:ascii="FrankRuehl" w:hAnsi="FrankRuehl" w:cs="FrankRuehl"/>
          <w:rtl/>
        </w:rPr>
      </w:pPr>
    </w:p>
    <w:p w14:paraId="09E44F3E" w14:textId="77777777" w:rsidR="00CB2338" w:rsidRPr="00CB2338" w:rsidRDefault="00CB2338">
      <w:pPr>
        <w:rPr>
          <w:rtl/>
        </w:rPr>
      </w:pPr>
      <w:bookmarkStart w:id="4" w:name="LawTable_End"/>
      <w:bookmarkEnd w:id="4"/>
    </w:p>
    <w:p w14:paraId="16C0AA69" w14:textId="77777777" w:rsidR="006B1745" w:rsidRPr="00320DB0" w:rsidRDefault="006B174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1745" w14:paraId="1C981F7F" w14:textId="77777777">
        <w:trPr>
          <w:trHeight w:val="355"/>
          <w:jc w:val="center"/>
        </w:trPr>
        <w:tc>
          <w:tcPr>
            <w:tcW w:w="8820" w:type="dxa"/>
            <w:tcBorders>
              <w:top w:val="nil"/>
              <w:left w:val="nil"/>
              <w:bottom w:val="nil"/>
              <w:right w:val="nil"/>
            </w:tcBorders>
            <w:shd w:val="clear" w:color="auto" w:fill="auto"/>
          </w:tcPr>
          <w:p w14:paraId="78562A0D" w14:textId="77777777" w:rsidR="006B1745" w:rsidRPr="00CB2338" w:rsidRDefault="00320DB0" w:rsidP="00CB2338">
            <w:pPr>
              <w:jc w:val="center"/>
              <w:rPr>
                <w:rFonts w:ascii="Arial" w:hAnsi="Arial" w:hint="cs"/>
                <w:b/>
                <w:bCs/>
                <w:sz w:val="32"/>
                <w:szCs w:val="32"/>
                <w:u w:val="single"/>
                <w:rtl/>
              </w:rPr>
            </w:pPr>
            <w:bookmarkStart w:id="5" w:name="PsakDin" w:colFirst="0" w:colLast="0"/>
            <w:r w:rsidRPr="00320DB0">
              <w:rPr>
                <w:rFonts w:ascii="Arial" w:hAnsi="Arial"/>
                <w:b/>
                <w:bCs/>
                <w:sz w:val="32"/>
                <w:szCs w:val="32"/>
                <w:u w:val="single"/>
                <w:rtl/>
              </w:rPr>
              <w:t>גזר דין</w:t>
            </w:r>
          </w:p>
        </w:tc>
      </w:tr>
      <w:bookmarkEnd w:id="5"/>
    </w:tbl>
    <w:p w14:paraId="12FD1ED6" w14:textId="77777777" w:rsidR="006B1745" w:rsidRDefault="006B1745">
      <w:pPr>
        <w:rPr>
          <w:rFonts w:ascii="Arial" w:hAnsi="Arial"/>
          <w:b/>
          <w:bCs/>
          <w:sz w:val="28"/>
          <w:szCs w:val="28"/>
          <w:u w:val="single"/>
          <w:rtl/>
        </w:rPr>
      </w:pPr>
    </w:p>
    <w:p w14:paraId="1394A71A" w14:textId="77777777" w:rsidR="006B1745" w:rsidRDefault="006B1745">
      <w:pPr>
        <w:rPr>
          <w:rFonts w:cs="FrankRuehl"/>
          <w:sz w:val="28"/>
          <w:szCs w:val="28"/>
          <w:rtl/>
        </w:rPr>
      </w:pPr>
    </w:p>
    <w:p w14:paraId="48DB3C21" w14:textId="77777777" w:rsidR="006B1745" w:rsidRDefault="00320DB0">
      <w:pPr>
        <w:spacing w:after="240" w:line="360" w:lineRule="auto"/>
        <w:jc w:val="both"/>
        <w:rPr>
          <w:b/>
          <w:bCs/>
          <w:sz w:val="26"/>
          <w:szCs w:val="26"/>
          <w:u w:val="single"/>
          <w:rtl/>
        </w:rPr>
      </w:pPr>
      <w:r>
        <w:rPr>
          <w:rFonts w:hint="cs"/>
          <w:b/>
          <w:bCs/>
          <w:sz w:val="26"/>
          <w:szCs w:val="26"/>
          <w:u w:val="single"/>
          <w:rtl/>
        </w:rPr>
        <w:t>התיקים ועיקרי העובדות</w:t>
      </w:r>
    </w:p>
    <w:p w14:paraId="1D9E93DC" w14:textId="77777777" w:rsidR="006B1745" w:rsidRDefault="00320DB0">
      <w:pPr>
        <w:spacing w:after="240" w:line="360" w:lineRule="auto"/>
        <w:jc w:val="both"/>
        <w:rPr>
          <w:sz w:val="26"/>
          <w:szCs w:val="26"/>
          <w:rtl/>
        </w:rPr>
      </w:pPr>
      <w:r>
        <w:rPr>
          <w:rFonts w:hint="cs"/>
          <w:sz w:val="26"/>
          <w:szCs w:val="26"/>
          <w:rtl/>
        </w:rPr>
        <w:t>1.</w:t>
      </w:r>
      <w:r>
        <w:rPr>
          <w:rFonts w:hint="cs"/>
          <w:sz w:val="26"/>
          <w:szCs w:val="26"/>
          <w:rtl/>
        </w:rPr>
        <w:tab/>
        <w:t xml:space="preserve">הנאשם הודה והורשע בכתב אישום מתוקן במסגרת הסדר טיעון שכלל תיקון כתב האישום בתיק הנוכחי וכן צירף כתבי אישום מתוקנים משני תיקים נוספים, ללא הסכמה בעניין העונש. </w:t>
      </w:r>
    </w:p>
    <w:p w14:paraId="679B188A" w14:textId="77777777" w:rsidR="006B1745" w:rsidRDefault="00320DB0">
      <w:pPr>
        <w:spacing w:after="240" w:line="360" w:lineRule="auto"/>
        <w:jc w:val="both"/>
        <w:rPr>
          <w:sz w:val="26"/>
          <w:szCs w:val="26"/>
          <w:rtl/>
        </w:rPr>
      </w:pPr>
      <w:r>
        <w:rPr>
          <w:rFonts w:hint="cs"/>
          <w:sz w:val="26"/>
          <w:szCs w:val="26"/>
          <w:rtl/>
        </w:rPr>
        <w:t>2.</w:t>
      </w:r>
      <w:r>
        <w:rPr>
          <w:rFonts w:hint="cs"/>
          <w:sz w:val="26"/>
          <w:szCs w:val="26"/>
          <w:rtl/>
        </w:rPr>
        <w:tab/>
      </w:r>
      <w:bookmarkStart w:id="6" w:name="ABSTRACT_START"/>
      <w:bookmarkEnd w:id="6"/>
      <w:r>
        <w:rPr>
          <w:rFonts w:hint="cs"/>
          <w:sz w:val="26"/>
          <w:szCs w:val="26"/>
          <w:rtl/>
        </w:rPr>
        <w:t xml:space="preserve">כתב האישום המתוקן בתיק הנוכחי כולל שני אישומים של סחר בסם מסוכן לפי </w:t>
      </w:r>
      <w:hyperlink r:id="rId14" w:history="1">
        <w:r w:rsidR="00CB2338" w:rsidRPr="00CB2338">
          <w:rPr>
            <w:rStyle w:val="Hyperlink"/>
            <w:rFonts w:hint="eastAsia"/>
            <w:sz w:val="26"/>
            <w:szCs w:val="26"/>
            <w:rtl/>
          </w:rPr>
          <w:t>סעיף</w:t>
        </w:r>
        <w:r w:rsidR="00CB2338" w:rsidRPr="00CB2338">
          <w:rPr>
            <w:rStyle w:val="Hyperlink"/>
            <w:sz w:val="26"/>
            <w:szCs w:val="26"/>
            <w:rtl/>
          </w:rPr>
          <w:t xml:space="preserve"> 13</w:t>
        </w:r>
      </w:hyperlink>
      <w:r>
        <w:rPr>
          <w:rFonts w:hint="cs"/>
          <w:sz w:val="26"/>
          <w:szCs w:val="26"/>
          <w:rtl/>
        </w:rPr>
        <w:t xml:space="preserve"> ל</w:t>
      </w:r>
      <w:hyperlink r:id="rId15" w:history="1">
        <w:r w:rsidRPr="00320DB0">
          <w:rPr>
            <w:color w:val="0000FF"/>
            <w:sz w:val="26"/>
            <w:szCs w:val="26"/>
            <w:u w:val="single"/>
            <w:rtl/>
          </w:rPr>
          <w:t>פקודת הסמים המסוכנים</w:t>
        </w:r>
      </w:hyperlink>
      <w:r>
        <w:rPr>
          <w:rFonts w:hint="cs"/>
          <w:sz w:val="26"/>
          <w:szCs w:val="26"/>
          <w:rtl/>
        </w:rPr>
        <w:t xml:space="preserve"> [נוסח חדש] התשל"ג-1973 (להלן: הפקודה; פקודת הסמים), אישום אחד של תיווך בסם מסוכן לפי </w:t>
      </w:r>
      <w:hyperlink r:id="rId16" w:history="1">
        <w:r w:rsidR="00CB2338" w:rsidRPr="00CB2338">
          <w:rPr>
            <w:rStyle w:val="Hyperlink"/>
            <w:rFonts w:hint="eastAsia"/>
            <w:sz w:val="26"/>
            <w:szCs w:val="26"/>
            <w:rtl/>
          </w:rPr>
          <w:t>סעיף</w:t>
        </w:r>
        <w:r w:rsidR="00CB2338" w:rsidRPr="00CB2338">
          <w:rPr>
            <w:rStyle w:val="Hyperlink"/>
            <w:sz w:val="26"/>
            <w:szCs w:val="26"/>
            <w:rtl/>
          </w:rPr>
          <w:t xml:space="preserve"> 14</w:t>
        </w:r>
      </w:hyperlink>
      <w:r>
        <w:rPr>
          <w:rFonts w:hint="cs"/>
          <w:sz w:val="26"/>
          <w:szCs w:val="26"/>
          <w:rtl/>
        </w:rPr>
        <w:t xml:space="preserve"> לפקודה ואישום נוסף של החזקת סם מסוכן שלא לצריכה עצמית לפי </w:t>
      </w:r>
      <w:hyperlink r:id="rId17" w:history="1">
        <w:r w:rsidR="00CB2338" w:rsidRPr="00CB2338">
          <w:rPr>
            <w:rStyle w:val="Hyperlink"/>
            <w:rFonts w:hint="eastAsia"/>
            <w:sz w:val="26"/>
            <w:szCs w:val="26"/>
            <w:rtl/>
          </w:rPr>
          <w:t>סעיף</w:t>
        </w:r>
        <w:r w:rsidR="00CB2338" w:rsidRPr="00CB2338">
          <w:rPr>
            <w:rStyle w:val="Hyperlink"/>
            <w:sz w:val="26"/>
            <w:szCs w:val="26"/>
            <w:rtl/>
          </w:rPr>
          <w:t xml:space="preserve"> 7(א)</w:t>
        </w:r>
      </w:hyperlink>
      <w:r>
        <w:rPr>
          <w:rFonts w:hint="cs"/>
          <w:sz w:val="26"/>
          <w:szCs w:val="26"/>
          <w:rtl/>
        </w:rPr>
        <w:t xml:space="preserve"> </w:t>
      </w:r>
      <w:hyperlink r:id="rId18" w:history="1">
        <w:r w:rsidR="00CB2338" w:rsidRPr="00CB2338">
          <w:rPr>
            <w:rStyle w:val="Hyperlink"/>
            <w:sz w:val="26"/>
            <w:szCs w:val="26"/>
            <w:rtl/>
          </w:rPr>
          <w:t>+ (ג)</w:t>
        </w:r>
      </w:hyperlink>
      <w:r>
        <w:rPr>
          <w:rFonts w:hint="cs"/>
          <w:sz w:val="26"/>
          <w:szCs w:val="26"/>
          <w:rtl/>
        </w:rPr>
        <w:t xml:space="preserve"> רישא לפקודת הסמים. שלושת האישומים הראשונים בכתב אישום זה מתארים עיסקאות שבוצעו במועדים שונים בחודש ינואר 2015 בשכונת מוסררה בירושלים בין הנאשם לבין סוכן משטרתי סמוי. בכולם נמכרו לסוכן סמים מסוכנים מסוג הירואין במשקלים של פחות מגרם אחד תמורת סכום של 120 ₪. </w:t>
      </w:r>
      <w:bookmarkStart w:id="7" w:name="ABSTRACT_END"/>
      <w:bookmarkEnd w:id="7"/>
      <w:r>
        <w:rPr>
          <w:rFonts w:hint="cs"/>
          <w:sz w:val="26"/>
          <w:szCs w:val="26"/>
          <w:rtl/>
        </w:rPr>
        <w:t xml:space="preserve">באישום השלישי מעורב אדם נוסף והנאשם הואשם, כאמור, בעבירה של תיווך בלבד. </w:t>
      </w:r>
      <w:r>
        <w:rPr>
          <w:rFonts w:hint="cs"/>
          <w:sz w:val="26"/>
          <w:szCs w:val="26"/>
          <w:rtl/>
        </w:rPr>
        <w:lastRenderedPageBreak/>
        <w:t xml:space="preserve">באישום נוסף הורשע הנאשם בהחזקת סם מסוכן מסוג הירואין במשקל 10.4736 גרם נטו ביום 29.7.15 בביתו שבעיר העתיקה בירושלים. </w:t>
      </w:r>
    </w:p>
    <w:p w14:paraId="44095A1F" w14:textId="77777777" w:rsidR="006B1745" w:rsidRDefault="00320DB0">
      <w:pPr>
        <w:spacing w:after="240" w:line="360" w:lineRule="auto"/>
        <w:jc w:val="both"/>
        <w:rPr>
          <w:sz w:val="26"/>
          <w:szCs w:val="26"/>
          <w:rtl/>
        </w:rPr>
      </w:pPr>
      <w:r>
        <w:rPr>
          <w:rFonts w:hint="cs"/>
          <w:sz w:val="26"/>
          <w:szCs w:val="26"/>
          <w:rtl/>
        </w:rPr>
        <w:t>3.</w:t>
      </w:r>
      <w:r>
        <w:rPr>
          <w:rFonts w:hint="cs"/>
          <w:sz w:val="26"/>
          <w:szCs w:val="26"/>
          <w:rtl/>
        </w:rPr>
        <w:tab/>
        <w:t>הנאשם צירף לתיק זה גם כתב אישום מתוקן ב</w:t>
      </w:r>
      <w:hyperlink r:id="rId19" w:history="1">
        <w:r w:rsidRPr="00320DB0">
          <w:rPr>
            <w:color w:val="0000FF"/>
            <w:sz w:val="26"/>
            <w:szCs w:val="26"/>
            <w:u w:val="single"/>
            <w:rtl/>
          </w:rPr>
          <w:t>ת"פ 42872-08-15</w:t>
        </w:r>
      </w:hyperlink>
      <w:r>
        <w:rPr>
          <w:rFonts w:hint="cs"/>
          <w:sz w:val="26"/>
          <w:szCs w:val="26"/>
          <w:rtl/>
        </w:rPr>
        <w:t xml:space="preserve"> בו הורשע בהחזקת סם לצריכה עצמית, עבירה לפי </w:t>
      </w:r>
      <w:hyperlink r:id="rId20" w:history="1">
        <w:r w:rsidR="00CB2338" w:rsidRPr="00CB2338">
          <w:rPr>
            <w:rStyle w:val="Hyperlink"/>
            <w:rFonts w:hint="eastAsia"/>
            <w:sz w:val="26"/>
            <w:szCs w:val="26"/>
            <w:rtl/>
          </w:rPr>
          <w:t>סעיף</w:t>
        </w:r>
        <w:r w:rsidR="00CB2338" w:rsidRPr="00CB2338">
          <w:rPr>
            <w:rStyle w:val="Hyperlink"/>
            <w:sz w:val="26"/>
            <w:szCs w:val="26"/>
            <w:rtl/>
          </w:rPr>
          <w:t xml:space="preserve"> 7(א)</w:t>
        </w:r>
      </w:hyperlink>
      <w:r>
        <w:rPr>
          <w:rFonts w:hint="cs"/>
          <w:sz w:val="26"/>
          <w:szCs w:val="26"/>
          <w:rtl/>
        </w:rPr>
        <w:t xml:space="preserve"> + </w:t>
      </w:r>
      <w:hyperlink r:id="rId21" w:history="1">
        <w:r w:rsidR="00CB2338" w:rsidRPr="00CB2338">
          <w:rPr>
            <w:rStyle w:val="Hyperlink"/>
            <w:sz w:val="26"/>
            <w:szCs w:val="26"/>
            <w:rtl/>
          </w:rPr>
          <w:t>(ג)</w:t>
        </w:r>
      </w:hyperlink>
      <w:r>
        <w:rPr>
          <w:rFonts w:hint="cs"/>
          <w:sz w:val="26"/>
          <w:szCs w:val="26"/>
          <w:rtl/>
        </w:rPr>
        <w:t xml:space="preserve"> לפקודת הסמים, בכך שהחזיק בסם מסוג הירואין במשקל 0.58 גרם. בכתב אישום מתוקן נוסף שצורף, ב</w:t>
      </w:r>
      <w:hyperlink r:id="rId22" w:history="1">
        <w:r w:rsidRPr="00320DB0">
          <w:rPr>
            <w:color w:val="0000FF"/>
            <w:sz w:val="26"/>
            <w:szCs w:val="26"/>
            <w:u w:val="single"/>
            <w:rtl/>
          </w:rPr>
          <w:t>ת"פ 57082-02-15</w:t>
        </w:r>
      </w:hyperlink>
      <w:r>
        <w:rPr>
          <w:rFonts w:hint="cs"/>
          <w:sz w:val="26"/>
          <w:szCs w:val="26"/>
          <w:rtl/>
        </w:rPr>
        <w:t xml:space="preserve">, הורשע הנאשם בהחזקת סם שלא לשימוש עצמי לפי </w:t>
      </w:r>
      <w:hyperlink r:id="rId23" w:history="1">
        <w:r w:rsidR="00CB2338" w:rsidRPr="00CB2338">
          <w:rPr>
            <w:rStyle w:val="Hyperlink"/>
            <w:rFonts w:hint="eastAsia"/>
            <w:sz w:val="26"/>
            <w:szCs w:val="26"/>
            <w:rtl/>
          </w:rPr>
          <w:t>סעיף</w:t>
        </w:r>
        <w:r w:rsidR="00CB2338" w:rsidRPr="00CB2338">
          <w:rPr>
            <w:rStyle w:val="Hyperlink"/>
            <w:sz w:val="26"/>
            <w:szCs w:val="26"/>
            <w:rtl/>
          </w:rPr>
          <w:t xml:space="preserve"> 7(א)</w:t>
        </w:r>
      </w:hyperlink>
      <w:r>
        <w:rPr>
          <w:rFonts w:hint="cs"/>
          <w:sz w:val="26"/>
          <w:szCs w:val="26"/>
          <w:rtl/>
        </w:rPr>
        <w:t xml:space="preserve"> </w:t>
      </w:r>
      <w:hyperlink r:id="rId24" w:history="1">
        <w:r w:rsidR="00CB2338" w:rsidRPr="00CB2338">
          <w:rPr>
            <w:rStyle w:val="Hyperlink"/>
            <w:sz w:val="26"/>
            <w:szCs w:val="26"/>
            <w:rtl/>
          </w:rPr>
          <w:t>+ (ג)</w:t>
        </w:r>
      </w:hyperlink>
      <w:r>
        <w:rPr>
          <w:rFonts w:hint="cs"/>
          <w:sz w:val="26"/>
          <w:szCs w:val="26"/>
          <w:rtl/>
        </w:rPr>
        <w:t xml:space="preserve"> לפקודת הסמים ובהפרעה לשוטר במילוי תפקידו לפי </w:t>
      </w:r>
      <w:hyperlink r:id="rId25" w:history="1">
        <w:r w:rsidR="00CB2338" w:rsidRPr="00CB2338">
          <w:rPr>
            <w:rStyle w:val="Hyperlink"/>
            <w:rFonts w:hint="eastAsia"/>
            <w:sz w:val="26"/>
            <w:szCs w:val="26"/>
            <w:rtl/>
          </w:rPr>
          <w:t>סעיף</w:t>
        </w:r>
        <w:r w:rsidR="00CB2338" w:rsidRPr="00CB2338">
          <w:rPr>
            <w:rStyle w:val="Hyperlink"/>
            <w:sz w:val="26"/>
            <w:szCs w:val="26"/>
            <w:rtl/>
          </w:rPr>
          <w:t xml:space="preserve"> 275</w:t>
        </w:r>
      </w:hyperlink>
      <w:r>
        <w:rPr>
          <w:rFonts w:hint="cs"/>
          <w:sz w:val="26"/>
          <w:szCs w:val="26"/>
          <w:rtl/>
        </w:rPr>
        <w:t xml:space="preserve"> ל</w:t>
      </w:r>
      <w:hyperlink r:id="rId26" w:history="1">
        <w:r w:rsidRPr="00320DB0">
          <w:rPr>
            <w:color w:val="0000FF"/>
            <w:sz w:val="26"/>
            <w:szCs w:val="26"/>
            <w:u w:val="single"/>
            <w:rtl/>
          </w:rPr>
          <w:t>חוק העונשין</w:t>
        </w:r>
      </w:hyperlink>
      <w:r>
        <w:rPr>
          <w:rFonts w:hint="cs"/>
          <w:sz w:val="26"/>
          <w:szCs w:val="26"/>
          <w:rtl/>
        </w:rPr>
        <w:t xml:space="preserve"> התשל"ז-1977. על פי כתב אישום זה החזיק הנאשם בתאריך 2.10.14 סם מסוג הירואין במשקל 1.5865 גרם וכשהתבקש על ידי שוטר להזדהות ניסה לבלוע את הסם, וכן החזיק סם מסוג חשיש במשקל 0.21 גרם בביתו. </w:t>
      </w:r>
    </w:p>
    <w:p w14:paraId="35D337FF" w14:textId="77777777" w:rsidR="006B1745" w:rsidRDefault="006B1745">
      <w:pPr>
        <w:spacing w:after="240" w:line="360" w:lineRule="auto"/>
        <w:jc w:val="both"/>
        <w:rPr>
          <w:sz w:val="14"/>
          <w:szCs w:val="14"/>
          <w:rtl/>
        </w:rPr>
      </w:pPr>
    </w:p>
    <w:p w14:paraId="0317F839" w14:textId="77777777" w:rsidR="006B1745" w:rsidRDefault="00320DB0">
      <w:pPr>
        <w:spacing w:after="240" w:line="360" w:lineRule="auto"/>
        <w:jc w:val="both"/>
        <w:rPr>
          <w:b/>
          <w:bCs/>
          <w:sz w:val="26"/>
          <w:szCs w:val="26"/>
          <w:u w:val="single"/>
          <w:rtl/>
        </w:rPr>
      </w:pPr>
      <w:r>
        <w:rPr>
          <w:rFonts w:hint="cs"/>
          <w:b/>
          <w:bCs/>
          <w:sz w:val="26"/>
          <w:szCs w:val="26"/>
          <w:u w:val="single"/>
          <w:rtl/>
        </w:rPr>
        <w:t>טיעוני הצדדים</w:t>
      </w:r>
    </w:p>
    <w:p w14:paraId="499A5A3B" w14:textId="77777777" w:rsidR="006B1745" w:rsidRDefault="00320DB0">
      <w:pPr>
        <w:spacing w:after="240" w:line="360" w:lineRule="auto"/>
        <w:jc w:val="both"/>
        <w:rPr>
          <w:sz w:val="26"/>
          <w:szCs w:val="26"/>
          <w:rtl/>
        </w:rPr>
      </w:pPr>
      <w:r>
        <w:rPr>
          <w:rFonts w:hint="cs"/>
          <w:sz w:val="26"/>
          <w:szCs w:val="26"/>
          <w:rtl/>
        </w:rPr>
        <w:t>4.</w:t>
      </w:r>
      <w:r>
        <w:rPr>
          <w:rFonts w:hint="cs"/>
          <w:sz w:val="26"/>
          <w:szCs w:val="26"/>
          <w:rtl/>
        </w:rPr>
        <w:tab/>
        <w:t xml:space="preserve">ב"כ המאשימה ציין לזכותו של הנאשם את הודאתו שחסכה זמן, ומנגד את עברו הפלילי הכולל גם מאסר על תנאי חב הפעלה. הוא טען כי נסיבות ביצוע העבירות חמורות, מדובר על סם מסוג הירואין ועל מספר עבירות סחר ותיווך שבוצעו תוך מספר שבועות. </w:t>
      </w:r>
    </w:p>
    <w:p w14:paraId="418453C4" w14:textId="77777777" w:rsidR="006B1745" w:rsidRDefault="00320DB0">
      <w:pPr>
        <w:spacing w:after="240" w:line="360" w:lineRule="auto"/>
        <w:ind w:firstLine="720"/>
        <w:jc w:val="both"/>
        <w:rPr>
          <w:sz w:val="26"/>
          <w:szCs w:val="26"/>
          <w:rtl/>
        </w:rPr>
      </w:pPr>
      <w:r>
        <w:rPr>
          <w:rFonts w:hint="cs"/>
          <w:sz w:val="26"/>
          <w:szCs w:val="26"/>
          <w:rtl/>
        </w:rPr>
        <w:t xml:space="preserve">בנוגע למתחם הענישה פירט ב"כ המאשימה את הערכים המוגנים בעבירות הסחר והתיווך </w:t>
      </w:r>
      <w:r>
        <w:rPr>
          <w:sz w:val="26"/>
          <w:szCs w:val="26"/>
          <w:rtl/>
        </w:rPr>
        <w:t>–</w:t>
      </w:r>
      <w:r>
        <w:rPr>
          <w:rFonts w:hint="cs"/>
          <w:sz w:val="26"/>
          <w:szCs w:val="26"/>
          <w:rtl/>
        </w:rPr>
        <w:t xml:space="preserve"> החשש להיגררות לעבירות רכוש ולהתנהגות אנטי חברתית. הוא הפנה למספר פסקי דין וטען כי מתחם הענישה לאישומים 1 ו-2, אישומי הסחר, נע בין 9 לבין 18 חודשי מאסר, המתחם לאישום התיווך נע בין 6 לבין 15 חודשים, המתחם לעבירת ההחזקה שלא לשימוש עצמי נע בין 12 לבין 24 חודשי מאסר, לנוכח הכמות הגדולה שהוחזקה, ובתיקים שצורפו המתחם נע בין מאסר על תנאי לבין מספר חודשי מאסר בפועל. </w:t>
      </w:r>
    </w:p>
    <w:p w14:paraId="0C8E57E1" w14:textId="77777777" w:rsidR="006B1745" w:rsidRDefault="00320DB0">
      <w:pPr>
        <w:spacing w:after="240" w:line="360" w:lineRule="auto"/>
        <w:ind w:firstLine="720"/>
        <w:jc w:val="both"/>
        <w:rPr>
          <w:sz w:val="26"/>
          <w:szCs w:val="26"/>
          <w:rtl/>
        </w:rPr>
      </w:pPr>
      <w:r>
        <w:rPr>
          <w:rFonts w:hint="cs"/>
          <w:sz w:val="26"/>
          <w:szCs w:val="26"/>
          <w:rtl/>
        </w:rPr>
        <w:t xml:space="preserve">התובע טען כי לאור עברו של הנאשם יש לגזור עליו עונש ברף העליון של כל אחד מהמתחמים, ובסך הכל להשית עליו מאסר לתקופה שלא תפחת משש שנים, וכן פסילה ופסילה על תנאי. </w:t>
      </w:r>
    </w:p>
    <w:p w14:paraId="4BCE05C4" w14:textId="77777777" w:rsidR="006B1745" w:rsidRDefault="00320DB0">
      <w:pPr>
        <w:spacing w:after="240" w:line="360" w:lineRule="auto"/>
        <w:jc w:val="both"/>
        <w:rPr>
          <w:sz w:val="26"/>
          <w:szCs w:val="26"/>
          <w:rtl/>
        </w:rPr>
      </w:pPr>
      <w:r>
        <w:rPr>
          <w:rFonts w:hint="cs"/>
          <w:sz w:val="26"/>
          <w:szCs w:val="26"/>
          <w:rtl/>
        </w:rPr>
        <w:t>5.</w:t>
      </w:r>
      <w:r>
        <w:rPr>
          <w:rFonts w:hint="cs"/>
          <w:sz w:val="26"/>
          <w:szCs w:val="26"/>
          <w:rtl/>
        </w:rPr>
        <w:tab/>
        <w:t xml:space="preserve">ב"כ הנאשם הדגיש את הודאתו של הנאשם אשר חסכה זמן שיפוטי רב, וכן חסכה את הגעתו ושמיעת עדותו של סוכן משטרתי, על כל הכרוך בכך. הוא ציין את הכמויות הקטנות שבהן סחר הנאשם ואת הסכומים הקטנים שקיבל בתמורה. לדבריו הדבר מצביע על כך שהנאשם לא פעל לשם בצע כסף אלא למימון צריכתו העצמית. עוד טען הסניגור כי התנהגותו של הסוכן גבלה בשידול או בהדחה, שכן הנאשם לא פנה אל הסוכן, והסוכן הוא שחשד שהנאשם סוחר בסמים. </w:t>
      </w:r>
    </w:p>
    <w:p w14:paraId="39BFFE6E" w14:textId="77777777" w:rsidR="006B1745" w:rsidRDefault="00320DB0">
      <w:pPr>
        <w:spacing w:after="240" w:line="360" w:lineRule="auto"/>
        <w:jc w:val="both"/>
        <w:rPr>
          <w:sz w:val="26"/>
          <w:szCs w:val="26"/>
          <w:rtl/>
        </w:rPr>
      </w:pPr>
      <w:r>
        <w:rPr>
          <w:sz w:val="26"/>
          <w:szCs w:val="26"/>
          <w:rtl/>
        </w:rPr>
        <w:tab/>
      </w:r>
      <w:r>
        <w:rPr>
          <w:rFonts w:hint="cs"/>
          <w:sz w:val="26"/>
          <w:szCs w:val="26"/>
          <w:rtl/>
        </w:rPr>
        <w:t xml:space="preserve">הסניגור פירט את נסיבותיו האישיות של הנאשם, אשר אביו נפטר לפני שנולד והוא הידרדר לפלילים. עובר למעצרו הנאשם תמך באמו ולא הקים משפחה בעצמו. </w:t>
      </w:r>
    </w:p>
    <w:p w14:paraId="15908DB7" w14:textId="77777777" w:rsidR="006B1745" w:rsidRDefault="00320DB0">
      <w:pPr>
        <w:spacing w:after="240" w:line="360" w:lineRule="auto"/>
        <w:jc w:val="both"/>
        <w:rPr>
          <w:sz w:val="26"/>
          <w:szCs w:val="26"/>
          <w:rtl/>
        </w:rPr>
      </w:pPr>
      <w:r>
        <w:rPr>
          <w:sz w:val="26"/>
          <w:szCs w:val="26"/>
        </w:rPr>
        <w:lastRenderedPageBreak/>
        <w:tab/>
      </w:r>
      <w:r>
        <w:rPr>
          <w:rFonts w:hint="cs"/>
          <w:sz w:val="26"/>
          <w:szCs w:val="26"/>
          <w:rtl/>
        </w:rPr>
        <w:t xml:space="preserve">בנוגע למתחם טען ב"כ הנאשם כי בשל סמיכות הזמנים והמכירה של סם מסוג אחד לסוכן אחד יש לקבוע מתחם עונש אחד. הוא הפנה לפסיקה וטען כי מתחם העונש ההולם לכל כתב אישום נע בין מאסר לשישה חודשים אשר אפשר שירוצו בעבודות שירות לבין 18 חודשים. הסניגור ביקש להסתפק בתקופת מעצרו הממושך של הנאשם, ולחלופין להטיל עליו עונש שלא יעלה על שנת מאסר אחת. </w:t>
      </w:r>
    </w:p>
    <w:p w14:paraId="65997175" w14:textId="77777777" w:rsidR="006B1745" w:rsidRDefault="00320DB0">
      <w:pPr>
        <w:spacing w:after="240" w:line="360" w:lineRule="auto"/>
        <w:jc w:val="both"/>
        <w:rPr>
          <w:b/>
          <w:bCs/>
          <w:sz w:val="26"/>
          <w:szCs w:val="26"/>
          <w:u w:val="single"/>
          <w:rtl/>
        </w:rPr>
      </w:pPr>
      <w:r>
        <w:rPr>
          <w:rFonts w:hint="cs"/>
          <w:b/>
          <w:bCs/>
          <w:sz w:val="26"/>
          <w:szCs w:val="26"/>
          <w:u w:val="single"/>
          <w:rtl/>
        </w:rPr>
        <w:t>מתחמי הענישה</w:t>
      </w:r>
    </w:p>
    <w:p w14:paraId="4AA27663" w14:textId="77777777" w:rsidR="006B1745" w:rsidRDefault="00320DB0">
      <w:pPr>
        <w:spacing w:after="240" w:line="360" w:lineRule="auto"/>
        <w:jc w:val="both"/>
        <w:rPr>
          <w:sz w:val="26"/>
          <w:szCs w:val="26"/>
          <w:rtl/>
        </w:rPr>
      </w:pPr>
      <w:r>
        <w:rPr>
          <w:rFonts w:hint="cs"/>
          <w:sz w:val="26"/>
          <w:szCs w:val="26"/>
          <w:rtl/>
        </w:rPr>
        <w:t>6.</w:t>
      </w:r>
      <w:r>
        <w:rPr>
          <w:rFonts w:hint="cs"/>
          <w:sz w:val="26"/>
          <w:szCs w:val="26"/>
          <w:rtl/>
        </w:rPr>
        <w:tab/>
        <w:t xml:space="preserve">האיסור שבעבירות הסמים נועד להגן על הציבור מפני השפעתם הרעה של הסמים המסוכנים. הדברים אמורים ביתר שאית כשמדובר ב"סמים קשים", שהשפעתם מזיקה במיוחד וההתמכרות אליהם קשה. נוסף על הנזק שבעצם השימוש בסמים, עבירות אלו מתאפיינות בזיקה לעבירות נוספות, עבירות רכוש המבוצעות לצורך מימון צריכת הסמים, וכן ביצירת מעגלים רחבים של פשיעה. בעבירות הסחר וההפצה נוסף הצורך למנוע כניסתם של משתמשים נוספים למעגל הסמים. </w:t>
      </w:r>
    </w:p>
    <w:p w14:paraId="55A4887C" w14:textId="77777777" w:rsidR="006B1745" w:rsidRDefault="00320DB0">
      <w:pPr>
        <w:spacing w:after="240" w:line="360" w:lineRule="auto"/>
        <w:jc w:val="both"/>
        <w:rPr>
          <w:sz w:val="26"/>
          <w:szCs w:val="26"/>
          <w:u w:val="single"/>
          <w:rtl/>
        </w:rPr>
      </w:pPr>
      <w:r>
        <w:rPr>
          <w:rFonts w:hint="cs"/>
          <w:sz w:val="26"/>
          <w:szCs w:val="26"/>
          <w:u w:val="single"/>
          <w:rtl/>
        </w:rPr>
        <w:t>מתחם אחד או מספר מתחמים</w:t>
      </w:r>
    </w:p>
    <w:p w14:paraId="2414D2B1" w14:textId="77777777" w:rsidR="006B1745" w:rsidRDefault="00320DB0">
      <w:pPr>
        <w:spacing w:after="240" w:line="360" w:lineRule="auto"/>
        <w:jc w:val="both"/>
        <w:rPr>
          <w:sz w:val="26"/>
          <w:szCs w:val="26"/>
          <w:rtl/>
        </w:rPr>
      </w:pPr>
      <w:r>
        <w:rPr>
          <w:rFonts w:hint="cs"/>
          <w:sz w:val="26"/>
          <w:szCs w:val="26"/>
          <w:rtl/>
        </w:rPr>
        <w:t>7.</w:t>
      </w:r>
      <w:r>
        <w:rPr>
          <w:rFonts w:hint="cs"/>
          <w:sz w:val="26"/>
          <w:szCs w:val="26"/>
          <w:rtl/>
        </w:rPr>
        <w:tab/>
        <w:t xml:space="preserve">ב"כ המאשימה טען למתחמים שונים לכל אחת מהעבירות בהן הורשע הנאשם, וב"כ הנאשם ביקש לקבוע מתחם אחד לכל העבירות נשוא כתב האישום המקורי בתיק. </w:t>
      </w:r>
    </w:p>
    <w:p w14:paraId="4DE39B61" w14:textId="77777777" w:rsidR="006B1745" w:rsidRDefault="00320DB0">
      <w:pPr>
        <w:spacing w:after="240" w:line="360" w:lineRule="auto"/>
        <w:jc w:val="both"/>
        <w:rPr>
          <w:sz w:val="26"/>
          <w:szCs w:val="26"/>
          <w:rtl/>
        </w:rPr>
      </w:pPr>
      <w:r>
        <w:rPr>
          <w:sz w:val="26"/>
          <w:szCs w:val="26"/>
          <w:rtl/>
        </w:rPr>
        <w:tab/>
      </w:r>
      <w:r>
        <w:rPr>
          <w:rFonts w:hint="cs"/>
          <w:sz w:val="26"/>
          <w:szCs w:val="26"/>
          <w:rtl/>
        </w:rPr>
        <w:t xml:space="preserve">אני סבורה שיש לקבוע מתחם אחד לשלושת האישומים הראשונים בכתב האישום בתיק שבפני, שכן מדובר בעסקאות בסמים מסוג דומה, בכמויות דומות, לקונה אחד (הסוכן) ותוך תקופה קצרה של פחות מחודש ימים, המהווים אירוע אחד בהתאם למבחנים שנקבעו בפסק הדין </w:t>
      </w:r>
      <w:r>
        <w:rPr>
          <w:sz w:val="26"/>
          <w:szCs w:val="26"/>
          <w:rtl/>
        </w:rPr>
        <w:t>ב</w:t>
      </w:r>
      <w:hyperlink r:id="rId27" w:history="1">
        <w:r w:rsidRPr="00320DB0">
          <w:rPr>
            <w:color w:val="0000FF"/>
            <w:sz w:val="26"/>
            <w:szCs w:val="26"/>
            <w:u w:val="single"/>
            <w:rtl/>
          </w:rPr>
          <w:t>ע"פ 4910/13</w:t>
        </w:r>
      </w:hyperlink>
      <w:r>
        <w:rPr>
          <w:sz w:val="26"/>
          <w:szCs w:val="26"/>
          <w:rtl/>
        </w:rPr>
        <w:t>,</w:t>
      </w:r>
      <w:r>
        <w:rPr>
          <w:rFonts w:hint="cs"/>
          <w:b/>
          <w:bCs/>
          <w:sz w:val="26"/>
          <w:szCs w:val="26"/>
          <w:u w:val="single"/>
          <w:rtl/>
        </w:rPr>
        <w:t xml:space="preserve"> </w:t>
      </w:r>
      <w:r>
        <w:rPr>
          <w:b/>
          <w:bCs/>
          <w:sz w:val="26"/>
          <w:szCs w:val="26"/>
          <w:u w:val="single"/>
          <w:rtl/>
        </w:rPr>
        <w:t>אחמד בני ג'אבר נ' מדינת ישראל</w:t>
      </w:r>
      <w:r>
        <w:rPr>
          <w:sz w:val="26"/>
          <w:szCs w:val="26"/>
          <w:rtl/>
        </w:rPr>
        <w:t xml:space="preserve">. </w:t>
      </w:r>
      <w:r>
        <w:rPr>
          <w:rFonts w:hint="cs"/>
          <w:sz w:val="26"/>
          <w:szCs w:val="26"/>
          <w:rtl/>
        </w:rPr>
        <w:t xml:space="preserve">יתר האישומים כוללים אירועים שכל אחד מהם עומד בפני עצמו. </w:t>
      </w:r>
    </w:p>
    <w:p w14:paraId="2FCCB23A" w14:textId="77777777" w:rsidR="006B1745" w:rsidRDefault="00320DB0">
      <w:pPr>
        <w:spacing w:after="240" w:line="360" w:lineRule="auto"/>
        <w:jc w:val="both"/>
        <w:rPr>
          <w:sz w:val="26"/>
          <w:szCs w:val="26"/>
          <w:rtl/>
        </w:rPr>
      </w:pPr>
      <w:r>
        <w:rPr>
          <w:rFonts w:hint="cs"/>
          <w:sz w:val="26"/>
          <w:szCs w:val="26"/>
          <w:rtl/>
        </w:rPr>
        <w:t>8.</w:t>
      </w:r>
      <w:r>
        <w:rPr>
          <w:rFonts w:hint="cs"/>
          <w:sz w:val="26"/>
          <w:szCs w:val="26"/>
          <w:rtl/>
        </w:rPr>
        <w:tab/>
        <w:t xml:space="preserve">אני מביאה בחשבון את עמדת הפסיקה הרצויה והנוהגת העולה מפסקי הדין המפורטים להלן: </w:t>
      </w:r>
    </w:p>
    <w:p w14:paraId="5ADE3AAD" w14:textId="77777777" w:rsidR="006B1745" w:rsidRDefault="00320DB0">
      <w:pPr>
        <w:spacing w:after="240" w:line="360" w:lineRule="auto"/>
        <w:jc w:val="both"/>
        <w:rPr>
          <w:sz w:val="26"/>
          <w:szCs w:val="26"/>
          <w:u w:val="single"/>
          <w:rtl/>
        </w:rPr>
      </w:pPr>
      <w:r>
        <w:rPr>
          <w:rFonts w:hint="cs"/>
          <w:sz w:val="26"/>
          <w:szCs w:val="26"/>
          <w:u w:val="single"/>
          <w:rtl/>
        </w:rPr>
        <w:t>פסיקה לעבירות הסחר והתיווך:</w:t>
      </w:r>
    </w:p>
    <w:p w14:paraId="1A7DF65C" w14:textId="77777777" w:rsidR="006B1745" w:rsidRDefault="00320DB0">
      <w:pPr>
        <w:spacing w:after="240" w:line="360" w:lineRule="auto"/>
        <w:ind w:firstLine="720"/>
        <w:jc w:val="both"/>
        <w:rPr>
          <w:sz w:val="26"/>
          <w:szCs w:val="26"/>
          <w:rtl/>
        </w:rPr>
      </w:pPr>
      <w:hyperlink r:id="rId28" w:history="1">
        <w:r w:rsidRPr="00320DB0">
          <w:rPr>
            <w:color w:val="0000FF"/>
            <w:sz w:val="26"/>
            <w:szCs w:val="26"/>
            <w:u w:val="single"/>
            <w:rtl/>
          </w:rPr>
          <w:t>רע"פ 126/15</w:t>
        </w:r>
      </w:hyperlink>
      <w:r>
        <w:rPr>
          <w:rFonts w:hint="cs"/>
          <w:sz w:val="26"/>
          <w:szCs w:val="26"/>
          <w:rtl/>
        </w:rPr>
        <w:t xml:space="preserve">, </w:t>
      </w:r>
      <w:r>
        <w:rPr>
          <w:rFonts w:hint="cs"/>
          <w:sz w:val="26"/>
          <w:szCs w:val="26"/>
          <w:u w:val="single"/>
          <w:rtl/>
        </w:rPr>
        <w:t>טל חביוף נ' מדינת ישראל</w:t>
      </w:r>
      <w:r>
        <w:rPr>
          <w:rFonts w:hint="cs"/>
          <w:sz w:val="26"/>
          <w:szCs w:val="26"/>
          <w:rtl/>
        </w:rPr>
        <w:t xml:space="preserve"> </w:t>
      </w:r>
      <w:r>
        <w:rPr>
          <w:sz w:val="26"/>
          <w:szCs w:val="26"/>
          <w:rtl/>
        </w:rPr>
        <w:t>–</w:t>
      </w:r>
      <w:r>
        <w:rPr>
          <w:rFonts w:hint="cs"/>
          <w:sz w:val="26"/>
          <w:szCs w:val="26"/>
          <w:rtl/>
        </w:rPr>
        <w:t xml:space="preserve"> נדחתה בקשת רשו ערעור על עונשו של המערער שהורשע בשתי עבירות סחר ועבירת תיווך של סם מסוג קוקאין לסוכן סמוי. הסכומים והכמויות גדולים במעט מאלה שבתיק שבפני. נקבעו מתחמים שבין 8-18 חודשי מאסר לכל עבירת סחר או תיווך, ומתחם של 6-12 חודשי מאסר להחזקת סם. בסעיף 10 להחלטת בית המשפט העליון מובאים דברי בית המשפט המחוזי בפסק הדין בערעור, בו הוגדרו העבירות כ"מכירה מקצוענית" של סם.</w:t>
      </w:r>
    </w:p>
    <w:p w14:paraId="6D60F665" w14:textId="77777777" w:rsidR="006B1745" w:rsidRDefault="00320DB0">
      <w:pPr>
        <w:spacing w:after="240" w:line="360" w:lineRule="auto"/>
        <w:ind w:firstLine="720"/>
        <w:jc w:val="both"/>
        <w:rPr>
          <w:sz w:val="26"/>
          <w:szCs w:val="26"/>
          <w:rtl/>
        </w:rPr>
      </w:pPr>
      <w:hyperlink r:id="rId29" w:history="1">
        <w:r w:rsidRPr="00320DB0">
          <w:rPr>
            <w:color w:val="0000FF"/>
            <w:sz w:val="26"/>
            <w:szCs w:val="26"/>
            <w:u w:val="single"/>
            <w:rtl/>
          </w:rPr>
          <w:t>רע"פ 7681/13</w:t>
        </w:r>
      </w:hyperlink>
      <w:r>
        <w:rPr>
          <w:rFonts w:hint="cs"/>
          <w:sz w:val="26"/>
          <w:szCs w:val="26"/>
          <w:rtl/>
        </w:rPr>
        <w:t xml:space="preserve">, </w:t>
      </w:r>
      <w:r>
        <w:rPr>
          <w:rFonts w:hint="cs"/>
          <w:sz w:val="26"/>
          <w:szCs w:val="26"/>
          <w:u w:val="single"/>
          <w:rtl/>
        </w:rPr>
        <w:t>יוסף דקה נ' מדינת ישראל</w:t>
      </w:r>
      <w:r>
        <w:rPr>
          <w:rFonts w:hint="cs"/>
          <w:sz w:val="26"/>
          <w:szCs w:val="26"/>
          <w:rtl/>
        </w:rPr>
        <w:t xml:space="preserve"> -  נקבע מתחם שבין 6-12 חודשים לעבירות סחר בהירואין בכמויות וסכומים קטנים. הוטל עונש של 10 חודשי מאסר ועונשים נלווים על שתי עבירות. </w:t>
      </w:r>
    </w:p>
    <w:p w14:paraId="3BD96BC4" w14:textId="77777777" w:rsidR="006B1745" w:rsidRDefault="00320DB0">
      <w:pPr>
        <w:spacing w:after="240" w:line="360" w:lineRule="auto"/>
        <w:ind w:firstLine="720"/>
        <w:jc w:val="both"/>
        <w:rPr>
          <w:sz w:val="26"/>
          <w:szCs w:val="26"/>
          <w:rtl/>
        </w:rPr>
      </w:pPr>
      <w:hyperlink r:id="rId30" w:history="1">
        <w:r w:rsidRPr="00320DB0">
          <w:rPr>
            <w:color w:val="0000FF"/>
            <w:sz w:val="26"/>
            <w:szCs w:val="26"/>
            <w:u w:val="single"/>
            <w:rtl/>
          </w:rPr>
          <w:t>ת"פ (תא) 45136-02-13</w:t>
        </w:r>
      </w:hyperlink>
      <w:r>
        <w:rPr>
          <w:rFonts w:hint="cs"/>
          <w:sz w:val="26"/>
          <w:szCs w:val="26"/>
          <w:rtl/>
        </w:rPr>
        <w:t xml:space="preserve">, </w:t>
      </w:r>
      <w:r>
        <w:rPr>
          <w:rFonts w:hint="cs"/>
          <w:sz w:val="26"/>
          <w:szCs w:val="26"/>
          <w:u w:val="single"/>
          <w:rtl/>
        </w:rPr>
        <w:t>מדינת ישראל נ' עמאד מצרי</w:t>
      </w:r>
      <w:r>
        <w:rPr>
          <w:rFonts w:hint="cs"/>
          <w:sz w:val="26"/>
          <w:szCs w:val="26"/>
          <w:rtl/>
        </w:rPr>
        <w:t xml:space="preserve"> </w:t>
      </w:r>
      <w:r>
        <w:rPr>
          <w:sz w:val="26"/>
          <w:szCs w:val="26"/>
          <w:rtl/>
        </w:rPr>
        <w:t>–</w:t>
      </w:r>
      <w:r>
        <w:rPr>
          <w:rFonts w:hint="cs"/>
          <w:sz w:val="26"/>
          <w:szCs w:val="26"/>
          <w:rtl/>
        </w:rPr>
        <w:t xml:space="preserve"> הנאשם הורשע בחמש עבירות סחר בקוקאין בכמויות גדולות מעט מהכמויות בתיק שבפני ובהחזקת גרם אחד של סם. נקבעו לעבירות הסחר מתחמים שבין 4-14 חודש ובין 8-18 חודש. </w:t>
      </w:r>
    </w:p>
    <w:p w14:paraId="1F080769" w14:textId="77777777" w:rsidR="006B1745" w:rsidRDefault="00320DB0">
      <w:pPr>
        <w:spacing w:after="240" w:line="360" w:lineRule="auto"/>
        <w:jc w:val="both"/>
        <w:rPr>
          <w:sz w:val="26"/>
          <w:szCs w:val="26"/>
          <w:u w:val="single"/>
          <w:rtl/>
        </w:rPr>
      </w:pPr>
      <w:r>
        <w:rPr>
          <w:rFonts w:hint="cs"/>
          <w:sz w:val="26"/>
          <w:szCs w:val="26"/>
          <w:u w:val="single"/>
          <w:rtl/>
        </w:rPr>
        <w:t xml:space="preserve">פסיקה לעבירת ההחזקה שלא לשימוש עצמי: </w:t>
      </w:r>
    </w:p>
    <w:p w14:paraId="12110C62" w14:textId="77777777" w:rsidR="006B1745" w:rsidRDefault="00320DB0">
      <w:pPr>
        <w:spacing w:after="240" w:line="360" w:lineRule="auto"/>
        <w:ind w:firstLine="720"/>
        <w:jc w:val="both"/>
        <w:rPr>
          <w:sz w:val="26"/>
          <w:szCs w:val="26"/>
          <w:rtl/>
        </w:rPr>
      </w:pPr>
      <w:hyperlink r:id="rId31" w:history="1">
        <w:r w:rsidRPr="00320DB0">
          <w:rPr>
            <w:color w:val="0000FF"/>
            <w:sz w:val="26"/>
            <w:szCs w:val="26"/>
            <w:u w:val="single"/>
            <w:rtl/>
          </w:rPr>
          <w:t>ע"פ 2646/15</w:t>
        </w:r>
      </w:hyperlink>
      <w:r>
        <w:rPr>
          <w:rFonts w:hint="cs"/>
          <w:sz w:val="26"/>
          <w:szCs w:val="26"/>
          <w:rtl/>
        </w:rPr>
        <w:t xml:space="preserve">, </w:t>
      </w:r>
      <w:r>
        <w:rPr>
          <w:rFonts w:hint="cs"/>
          <w:sz w:val="26"/>
          <w:szCs w:val="26"/>
          <w:u w:val="single"/>
          <w:rtl/>
        </w:rPr>
        <w:t>מדינת ישראל נ' שאדי אבו בכר</w:t>
      </w:r>
      <w:r>
        <w:rPr>
          <w:rFonts w:hint="cs"/>
          <w:sz w:val="26"/>
          <w:szCs w:val="26"/>
          <w:rtl/>
        </w:rPr>
        <w:t xml:space="preserve"> </w:t>
      </w:r>
      <w:r>
        <w:rPr>
          <w:sz w:val="26"/>
          <w:szCs w:val="26"/>
          <w:rtl/>
        </w:rPr>
        <w:t>–</w:t>
      </w:r>
      <w:r>
        <w:rPr>
          <w:rFonts w:hint="cs"/>
          <w:sz w:val="26"/>
          <w:szCs w:val="26"/>
          <w:rtl/>
        </w:rPr>
        <w:t xml:space="preserve"> הוטל עונש של 34 חודשי מאסר על החזקת 990 גרם הרואין. זאת בשים לב לגזר דין מקל של מעורב נוסף. </w:t>
      </w:r>
    </w:p>
    <w:p w14:paraId="3314B8C9" w14:textId="77777777" w:rsidR="006B1745" w:rsidRDefault="00320DB0">
      <w:pPr>
        <w:spacing w:after="240" w:line="360" w:lineRule="auto"/>
        <w:ind w:firstLine="720"/>
        <w:jc w:val="both"/>
        <w:rPr>
          <w:sz w:val="26"/>
          <w:szCs w:val="26"/>
          <w:rtl/>
        </w:rPr>
      </w:pPr>
      <w:hyperlink r:id="rId32" w:history="1">
        <w:r w:rsidRPr="00320DB0">
          <w:rPr>
            <w:color w:val="0000FF"/>
            <w:sz w:val="26"/>
            <w:szCs w:val="26"/>
            <w:u w:val="single"/>
            <w:rtl/>
          </w:rPr>
          <w:t>רע"פ 7572/12</w:t>
        </w:r>
      </w:hyperlink>
      <w:r>
        <w:rPr>
          <w:rFonts w:hint="cs"/>
          <w:sz w:val="26"/>
          <w:szCs w:val="26"/>
          <w:rtl/>
        </w:rPr>
        <w:t xml:space="preserve">, </w:t>
      </w:r>
      <w:r>
        <w:rPr>
          <w:rFonts w:hint="cs"/>
          <w:sz w:val="26"/>
          <w:szCs w:val="26"/>
          <w:u w:val="single"/>
          <w:rtl/>
        </w:rPr>
        <w:t>קמאל הזייל נ' מדינת ישראל</w:t>
      </w:r>
      <w:r>
        <w:rPr>
          <w:rFonts w:hint="cs"/>
          <w:sz w:val="26"/>
          <w:szCs w:val="26"/>
          <w:rtl/>
        </w:rPr>
        <w:t xml:space="preserve"> </w:t>
      </w:r>
      <w:r>
        <w:rPr>
          <w:sz w:val="26"/>
          <w:szCs w:val="26"/>
          <w:rtl/>
        </w:rPr>
        <w:t>–</w:t>
      </w:r>
      <w:r>
        <w:rPr>
          <w:rFonts w:hint="cs"/>
          <w:sz w:val="26"/>
          <w:szCs w:val="26"/>
          <w:rtl/>
        </w:rPr>
        <w:t xml:space="preserve"> המערער הורשע בהחזקת 8 יחידות הירואין במשקל 5.3 גרם ובהפרעה לשוטר. הוא נדו ןלשנים עשר חודי מאסר בפועל לאחר שנקבע שנהג כסוחר סמים מקצועי. </w:t>
      </w:r>
    </w:p>
    <w:p w14:paraId="3D01BECD" w14:textId="77777777" w:rsidR="006B1745" w:rsidRDefault="00320DB0">
      <w:pPr>
        <w:spacing w:after="240" w:line="360" w:lineRule="auto"/>
        <w:ind w:firstLine="720"/>
        <w:jc w:val="both"/>
        <w:rPr>
          <w:sz w:val="26"/>
          <w:szCs w:val="26"/>
          <w:rtl/>
        </w:rPr>
      </w:pPr>
      <w:hyperlink r:id="rId33" w:history="1">
        <w:r w:rsidRPr="00320DB0">
          <w:rPr>
            <w:color w:val="0000FF"/>
            <w:sz w:val="26"/>
            <w:szCs w:val="26"/>
            <w:u w:val="single"/>
            <w:rtl/>
          </w:rPr>
          <w:t>ע"פ 211/09</w:t>
        </w:r>
      </w:hyperlink>
      <w:r>
        <w:rPr>
          <w:rFonts w:hint="cs"/>
          <w:sz w:val="26"/>
          <w:szCs w:val="26"/>
          <w:rtl/>
        </w:rPr>
        <w:t xml:space="preserve">, </w:t>
      </w:r>
      <w:r>
        <w:rPr>
          <w:rFonts w:hint="cs"/>
          <w:sz w:val="26"/>
          <w:szCs w:val="26"/>
          <w:u w:val="single"/>
          <w:rtl/>
        </w:rPr>
        <w:t>שמעון אזולאי נ' מדינת ישראל</w:t>
      </w:r>
      <w:r>
        <w:rPr>
          <w:rFonts w:hint="cs"/>
          <w:sz w:val="26"/>
          <w:szCs w:val="26"/>
          <w:rtl/>
        </w:rPr>
        <w:t xml:space="preserve"> </w:t>
      </w:r>
      <w:r>
        <w:rPr>
          <w:sz w:val="26"/>
          <w:szCs w:val="26"/>
          <w:rtl/>
        </w:rPr>
        <w:t>–</w:t>
      </w:r>
      <w:r>
        <w:rPr>
          <w:rFonts w:hint="cs"/>
          <w:sz w:val="26"/>
          <w:szCs w:val="26"/>
          <w:rtl/>
        </w:rPr>
        <w:t xml:space="preserve"> המערער הורשע בהחזקת 176.6 גרם הירואין ונדון לחמש שנות מאסר. </w:t>
      </w:r>
    </w:p>
    <w:p w14:paraId="070198C4" w14:textId="77777777" w:rsidR="006B1745" w:rsidRDefault="00320DB0">
      <w:pPr>
        <w:spacing w:after="240" w:line="360" w:lineRule="auto"/>
        <w:ind w:firstLine="720"/>
        <w:jc w:val="both"/>
        <w:rPr>
          <w:sz w:val="26"/>
          <w:szCs w:val="26"/>
          <w:rtl/>
        </w:rPr>
      </w:pPr>
      <w:hyperlink r:id="rId34" w:history="1">
        <w:r w:rsidRPr="00320DB0">
          <w:rPr>
            <w:color w:val="0000FF"/>
            <w:sz w:val="26"/>
            <w:szCs w:val="26"/>
            <w:u w:val="single"/>
            <w:rtl/>
          </w:rPr>
          <w:t>ת"פ (רמ) 33848-05-14</w:t>
        </w:r>
      </w:hyperlink>
      <w:r>
        <w:rPr>
          <w:rFonts w:hint="cs"/>
          <w:sz w:val="26"/>
          <w:szCs w:val="26"/>
          <w:rtl/>
        </w:rPr>
        <w:t xml:space="preserve">, </w:t>
      </w:r>
      <w:r>
        <w:rPr>
          <w:rFonts w:hint="cs"/>
          <w:sz w:val="26"/>
          <w:szCs w:val="26"/>
          <w:u w:val="single"/>
          <w:rtl/>
        </w:rPr>
        <w:t>פרקליטות מחוז מרכז נ' עאמר</w:t>
      </w:r>
      <w:r>
        <w:rPr>
          <w:rFonts w:hint="cs"/>
          <w:sz w:val="26"/>
          <w:szCs w:val="26"/>
          <w:rtl/>
        </w:rPr>
        <w:t xml:space="preserve"> </w:t>
      </w:r>
      <w:r>
        <w:rPr>
          <w:sz w:val="26"/>
          <w:szCs w:val="26"/>
          <w:rtl/>
        </w:rPr>
        <w:t>–</w:t>
      </w:r>
      <w:r>
        <w:rPr>
          <w:rFonts w:hint="cs"/>
          <w:sz w:val="26"/>
          <w:szCs w:val="26"/>
          <w:rtl/>
        </w:rPr>
        <w:t xml:space="preserve"> הנאשם הורשע בהחזקת 52 גרם הירואין, נקבע מתחם שבין 18-40 חודש ופסק הדין דן בשאלת החריגה מהמתחם. </w:t>
      </w:r>
    </w:p>
    <w:p w14:paraId="634E45F5" w14:textId="77777777" w:rsidR="006B1745" w:rsidRDefault="00320DB0">
      <w:pPr>
        <w:spacing w:after="240" w:line="360" w:lineRule="auto"/>
        <w:ind w:firstLine="720"/>
        <w:jc w:val="both"/>
        <w:rPr>
          <w:sz w:val="26"/>
          <w:szCs w:val="26"/>
          <w:rtl/>
        </w:rPr>
      </w:pPr>
      <w:hyperlink r:id="rId35" w:history="1">
        <w:r w:rsidRPr="00320DB0">
          <w:rPr>
            <w:color w:val="0000FF"/>
            <w:sz w:val="26"/>
            <w:szCs w:val="26"/>
            <w:u w:val="single"/>
            <w:rtl/>
          </w:rPr>
          <w:t>ת"פ (ים) 56088-02-14</w:t>
        </w:r>
      </w:hyperlink>
      <w:r>
        <w:rPr>
          <w:rFonts w:hint="cs"/>
          <w:sz w:val="26"/>
          <w:szCs w:val="26"/>
          <w:rtl/>
        </w:rPr>
        <w:t xml:space="preserve">, </w:t>
      </w:r>
      <w:r>
        <w:rPr>
          <w:rFonts w:hint="cs"/>
          <w:sz w:val="26"/>
          <w:szCs w:val="26"/>
          <w:u w:val="single"/>
          <w:rtl/>
        </w:rPr>
        <w:t>מדינת ישראל נ' אבוקסיס</w:t>
      </w:r>
      <w:r>
        <w:rPr>
          <w:rFonts w:hint="cs"/>
          <w:sz w:val="26"/>
          <w:szCs w:val="26"/>
          <w:rtl/>
        </w:rPr>
        <w:t xml:space="preserve"> </w:t>
      </w:r>
      <w:r>
        <w:rPr>
          <w:sz w:val="26"/>
          <w:szCs w:val="26"/>
          <w:rtl/>
        </w:rPr>
        <w:t>–</w:t>
      </w:r>
      <w:r>
        <w:rPr>
          <w:rFonts w:hint="cs"/>
          <w:sz w:val="26"/>
          <w:szCs w:val="26"/>
          <w:rtl/>
        </w:rPr>
        <w:t xml:space="preserve"> הנאשם הורשע בהחזקת 26 גרם קוקאין מחולק לאריזות יחד עם שקיות במועדון. נקבע כי קיימת כוונת הפצה ברורה. נקבע מתחם שבין שנה לשנתיים וחצי שנות מאסר בפועל. </w:t>
      </w:r>
    </w:p>
    <w:p w14:paraId="4CDEAF08" w14:textId="77777777" w:rsidR="006B1745" w:rsidRDefault="00320DB0">
      <w:pPr>
        <w:spacing w:after="240" w:line="360" w:lineRule="auto"/>
        <w:ind w:firstLine="720"/>
        <w:jc w:val="both"/>
        <w:rPr>
          <w:sz w:val="26"/>
          <w:szCs w:val="26"/>
          <w:rtl/>
        </w:rPr>
      </w:pPr>
      <w:hyperlink r:id="rId36" w:history="1">
        <w:r w:rsidRPr="00320DB0">
          <w:rPr>
            <w:color w:val="0000FF"/>
            <w:sz w:val="26"/>
            <w:szCs w:val="26"/>
            <w:u w:val="single"/>
            <w:rtl/>
          </w:rPr>
          <w:t>ת"פ (קג) 9369-01-13</w:t>
        </w:r>
      </w:hyperlink>
      <w:r>
        <w:rPr>
          <w:rFonts w:hint="cs"/>
          <w:sz w:val="26"/>
          <w:szCs w:val="26"/>
          <w:rtl/>
        </w:rPr>
        <w:t xml:space="preserve">, </w:t>
      </w:r>
      <w:r>
        <w:rPr>
          <w:rFonts w:hint="cs"/>
          <w:sz w:val="26"/>
          <w:szCs w:val="26"/>
          <w:u w:val="single"/>
          <w:rtl/>
        </w:rPr>
        <w:t>מדינת ישראל נ' אוראל שמואל</w:t>
      </w:r>
      <w:r>
        <w:rPr>
          <w:rFonts w:hint="cs"/>
          <w:sz w:val="26"/>
          <w:szCs w:val="26"/>
          <w:rtl/>
        </w:rPr>
        <w:t xml:space="preserve"> </w:t>
      </w:r>
      <w:r>
        <w:rPr>
          <w:sz w:val="26"/>
          <w:szCs w:val="26"/>
          <w:rtl/>
        </w:rPr>
        <w:t>–</w:t>
      </w:r>
      <w:r>
        <w:rPr>
          <w:rFonts w:hint="cs"/>
          <w:sz w:val="26"/>
          <w:szCs w:val="26"/>
          <w:rtl/>
        </w:rPr>
        <w:t xml:space="preserve"> הנאשם הורשע בהחזקת כ-5 גרם קוקאין. נקבע מתחם שבין 3-10 חודשי מאסר. אושרה עמדתה מדינה בהסדר טיעון של 6 חודשי מאסר בעבודות שירות. </w:t>
      </w:r>
    </w:p>
    <w:p w14:paraId="15ED9662" w14:textId="77777777" w:rsidR="006B1745" w:rsidRDefault="00320DB0">
      <w:pPr>
        <w:spacing w:after="240" w:line="360" w:lineRule="auto"/>
        <w:jc w:val="both"/>
        <w:rPr>
          <w:sz w:val="26"/>
          <w:szCs w:val="26"/>
          <w:u w:val="single"/>
          <w:rtl/>
        </w:rPr>
      </w:pPr>
      <w:r>
        <w:rPr>
          <w:rFonts w:hint="cs"/>
          <w:sz w:val="26"/>
          <w:szCs w:val="26"/>
          <w:u w:val="single"/>
          <w:rtl/>
        </w:rPr>
        <w:t>קביעת המתחמים</w:t>
      </w:r>
    </w:p>
    <w:p w14:paraId="56AEE439" w14:textId="77777777" w:rsidR="006B1745" w:rsidRDefault="00320DB0">
      <w:pPr>
        <w:spacing w:after="240" w:line="360" w:lineRule="auto"/>
        <w:jc w:val="both"/>
        <w:rPr>
          <w:sz w:val="26"/>
          <w:szCs w:val="26"/>
          <w:rtl/>
        </w:rPr>
      </w:pPr>
      <w:r>
        <w:rPr>
          <w:rFonts w:hint="cs"/>
          <w:sz w:val="26"/>
          <w:szCs w:val="26"/>
          <w:rtl/>
        </w:rPr>
        <w:t>9.</w:t>
      </w:r>
      <w:r>
        <w:rPr>
          <w:rFonts w:hint="cs"/>
          <w:sz w:val="26"/>
          <w:szCs w:val="26"/>
          <w:rtl/>
        </w:rPr>
        <w:tab/>
        <w:t xml:space="preserve">אין ספק באשר לחומרתן של עבירות הסחר בסמים. עם זאת, במקרה שבפני נסיבות הסחר והתיווך אינן מן החמורות, בשל הנסיבות ומאפייני העסקאות שבוצעו: על פי כתבי האישום כל עסקאות הסמים בוצעו עם אדם אחד, הסוכן המשטרתי, ואין אינדיקציה למכירה לאנשים נוספים; מסעיף 2 לעובדות האישום הראשון עולה כי הסוכן הוא שיזם את העיסקה, לאחר שהנאשם סירב בתחילה למכור לסוכן את הסם וניהל עמו ויכוח; כמויות הסם והסכומים בשלושת האישומים הראשונים קטנים מאד, ונראה כי נכונה טענת ב"כ הנאשם לפיה העסקאות נועדו בעיקר לממן את שימושו העצמי של הנאשם ולא להתעשר. באישום הראשון אף מתואר כי הצדדים לעיסקה דחו תשלום סכום פעוט של 14 ₪. כל אלו מצביעים על רמת חומרה נמוכה ביחס לעבירות סחר, כאשר באישום השלישי אין מדובר בסחר אלא בתיווך בלבד. </w:t>
      </w:r>
    </w:p>
    <w:p w14:paraId="0E764882" w14:textId="77777777" w:rsidR="006B1745" w:rsidRDefault="00320DB0">
      <w:pPr>
        <w:spacing w:after="240" w:line="360" w:lineRule="auto"/>
        <w:jc w:val="both"/>
        <w:rPr>
          <w:b/>
          <w:bCs/>
          <w:sz w:val="26"/>
          <w:szCs w:val="26"/>
          <w:rtl/>
        </w:rPr>
      </w:pPr>
      <w:r>
        <w:rPr>
          <w:rFonts w:hint="cs"/>
          <w:sz w:val="26"/>
          <w:szCs w:val="26"/>
          <w:rtl/>
        </w:rPr>
        <w:t>10.</w:t>
      </w:r>
      <w:r>
        <w:rPr>
          <w:rFonts w:hint="cs"/>
          <w:sz w:val="26"/>
          <w:szCs w:val="26"/>
          <w:rtl/>
        </w:rPr>
        <w:tab/>
        <w:t>לאור האמור אני סבורה ש</w:t>
      </w:r>
      <w:r>
        <w:rPr>
          <w:rFonts w:hint="cs"/>
          <w:b/>
          <w:bCs/>
          <w:sz w:val="26"/>
          <w:szCs w:val="26"/>
          <w:rtl/>
        </w:rPr>
        <w:t xml:space="preserve">מתחם הענישה לשלושת האישומים של סחר ותיווך יחד נע בין שנה אחת לבין שלוש שנות מאסר. </w:t>
      </w:r>
    </w:p>
    <w:p w14:paraId="6AC868FC" w14:textId="77777777" w:rsidR="006B1745" w:rsidRDefault="00320DB0">
      <w:pPr>
        <w:spacing w:after="240" w:line="360" w:lineRule="auto"/>
        <w:jc w:val="both"/>
        <w:rPr>
          <w:sz w:val="26"/>
          <w:szCs w:val="26"/>
          <w:rtl/>
        </w:rPr>
      </w:pPr>
      <w:r>
        <w:rPr>
          <w:rFonts w:hint="cs"/>
          <w:sz w:val="26"/>
          <w:szCs w:val="26"/>
          <w:rtl/>
        </w:rPr>
        <w:t>11.</w:t>
      </w:r>
      <w:r>
        <w:rPr>
          <w:rFonts w:hint="cs"/>
          <w:sz w:val="26"/>
          <w:szCs w:val="26"/>
          <w:rtl/>
        </w:rPr>
        <w:tab/>
        <w:t xml:space="preserve">האישום הנוסף בתיק הנוכחי הוא החזקה שלא לצריכה עצמית של כ-10.5 גרם הרואין. על פי עובדות כתב האישום בחיפוש שבוצע בביתו נמצא בכיס מכנסיו של הנאשם סם במשקל של פחות מחצי גרם, ובקופסא נמצאו מספר שקיות ניילון שהכילו יחד הרואין במשקל של כעשרה גרם. חלוקת הסם לשקיות שונות עשויה היתה להתבצע עוד לפני שנרכש על ידי הנאשם. לא נתפסו אצל הנאשם כלים, סכומי כסף גדולים וכיוצ"ב המעידים על סחר בסמים, וככלל אין בנסיבות ביצוע העבירה כדי להצביע על היותו של הנאשם "סוחר מקצועי", כפי שתוארו הנאשמים בחלק מפסקי הדין בעבירות דומות. </w:t>
      </w:r>
    </w:p>
    <w:p w14:paraId="25706982" w14:textId="77777777" w:rsidR="006B1745" w:rsidRDefault="00320DB0">
      <w:pPr>
        <w:spacing w:after="240" w:line="360" w:lineRule="auto"/>
        <w:jc w:val="both"/>
        <w:rPr>
          <w:sz w:val="26"/>
          <w:szCs w:val="26"/>
          <w:rtl/>
        </w:rPr>
      </w:pPr>
      <w:r>
        <w:rPr>
          <w:rFonts w:hint="cs"/>
          <w:sz w:val="26"/>
          <w:szCs w:val="26"/>
          <w:rtl/>
        </w:rPr>
        <w:t>12.</w:t>
      </w:r>
      <w:r>
        <w:rPr>
          <w:rFonts w:hint="cs"/>
          <w:sz w:val="26"/>
          <w:szCs w:val="26"/>
          <w:rtl/>
        </w:rPr>
        <w:tab/>
        <w:t>בנסיבות אלו אני סבורה ש</w:t>
      </w:r>
      <w:r>
        <w:rPr>
          <w:rFonts w:hint="cs"/>
          <w:b/>
          <w:bCs/>
          <w:sz w:val="26"/>
          <w:szCs w:val="26"/>
          <w:rtl/>
        </w:rPr>
        <w:t xml:space="preserve">מתחם הענישה לאישום ההחזקה שלא לצריכה עצמית נע בין שמונה לבין שמונה עשר חודשי מאסר. </w:t>
      </w:r>
      <w:r>
        <w:rPr>
          <w:rFonts w:hint="cs"/>
          <w:sz w:val="26"/>
          <w:szCs w:val="26"/>
          <w:rtl/>
        </w:rPr>
        <w:t xml:space="preserve"> </w:t>
      </w:r>
    </w:p>
    <w:p w14:paraId="648C71AC" w14:textId="77777777" w:rsidR="006B1745" w:rsidRDefault="00320DB0">
      <w:pPr>
        <w:spacing w:after="240" w:line="360" w:lineRule="auto"/>
        <w:jc w:val="both"/>
        <w:rPr>
          <w:b/>
          <w:bCs/>
          <w:sz w:val="26"/>
          <w:szCs w:val="26"/>
          <w:rtl/>
        </w:rPr>
      </w:pPr>
      <w:r>
        <w:rPr>
          <w:rFonts w:hint="cs"/>
          <w:sz w:val="26"/>
          <w:szCs w:val="26"/>
          <w:rtl/>
        </w:rPr>
        <w:t>13.</w:t>
      </w:r>
      <w:r>
        <w:rPr>
          <w:rFonts w:hint="cs"/>
          <w:sz w:val="26"/>
          <w:szCs w:val="26"/>
          <w:rtl/>
        </w:rPr>
        <w:tab/>
        <w:t xml:space="preserve">בשני התיקים שצורפו הודה הנאשם בעבירות החזקה עצמית של כמויות זעירות של הירואין. עבירת הכשלת השוטר באחד מהם היא מינורית. לאור האמור </w:t>
      </w:r>
      <w:r>
        <w:rPr>
          <w:rFonts w:hint="cs"/>
          <w:b/>
          <w:bCs/>
          <w:sz w:val="26"/>
          <w:szCs w:val="26"/>
          <w:rtl/>
        </w:rPr>
        <w:t xml:space="preserve">המתחם לכל אחד מאישומי ההחזקה העצמית אלו נע בין מאסר על תנאי למאסר קצר. </w:t>
      </w:r>
    </w:p>
    <w:p w14:paraId="7AF1BE54" w14:textId="77777777" w:rsidR="006B1745" w:rsidRDefault="006B1745">
      <w:pPr>
        <w:spacing w:after="240" w:line="360" w:lineRule="auto"/>
        <w:jc w:val="both"/>
        <w:rPr>
          <w:sz w:val="18"/>
          <w:szCs w:val="18"/>
          <w:rtl/>
        </w:rPr>
      </w:pPr>
    </w:p>
    <w:p w14:paraId="271F9D78" w14:textId="77777777" w:rsidR="006B1745" w:rsidRDefault="00320DB0">
      <w:pPr>
        <w:spacing w:after="240" w:line="360" w:lineRule="auto"/>
        <w:jc w:val="both"/>
        <w:rPr>
          <w:b/>
          <w:bCs/>
          <w:sz w:val="26"/>
          <w:szCs w:val="26"/>
          <w:u w:val="single"/>
          <w:rtl/>
        </w:rPr>
      </w:pPr>
      <w:r>
        <w:rPr>
          <w:rFonts w:hint="cs"/>
          <w:b/>
          <w:bCs/>
          <w:sz w:val="26"/>
          <w:szCs w:val="26"/>
          <w:u w:val="single"/>
          <w:rtl/>
        </w:rPr>
        <w:t>העונש הראוי במסגרת המתחמים</w:t>
      </w:r>
    </w:p>
    <w:p w14:paraId="02E8CF4D" w14:textId="77777777" w:rsidR="006B1745" w:rsidRDefault="00320DB0">
      <w:pPr>
        <w:spacing w:after="240" w:line="360" w:lineRule="auto"/>
        <w:jc w:val="both"/>
        <w:rPr>
          <w:sz w:val="26"/>
          <w:szCs w:val="26"/>
          <w:rtl/>
        </w:rPr>
      </w:pPr>
      <w:r>
        <w:rPr>
          <w:rFonts w:hint="cs"/>
          <w:sz w:val="26"/>
          <w:szCs w:val="26"/>
          <w:rtl/>
        </w:rPr>
        <w:t>14.</w:t>
      </w:r>
      <w:r>
        <w:rPr>
          <w:rFonts w:hint="cs"/>
          <w:sz w:val="26"/>
          <w:szCs w:val="26"/>
          <w:rtl/>
        </w:rPr>
        <w:tab/>
        <w:t xml:space="preserve">הנאשם יליד 1977. לחובתו עבר מכביד הכולל ריצוי מספר מאסרים, ומדגים את הקשר הידוע בין עבירות הרכוש לבין עבירות סמים. עם זאת עברו הפלילי של הנאשם כולל עבירת סמים אחת בלבד, שבגינה אף הוטל עליו מאסר על תנאי שהוא עתה חב הפעלה. יתר הרשעותיו של הנאשם הן בעבירות רכוש. </w:t>
      </w:r>
    </w:p>
    <w:p w14:paraId="3865741F" w14:textId="77777777" w:rsidR="006B1745" w:rsidRDefault="00320DB0">
      <w:pPr>
        <w:spacing w:after="240" w:line="360" w:lineRule="auto"/>
        <w:ind w:firstLine="720"/>
        <w:jc w:val="both"/>
        <w:rPr>
          <w:sz w:val="26"/>
          <w:szCs w:val="26"/>
          <w:rtl/>
        </w:rPr>
      </w:pPr>
      <w:r>
        <w:rPr>
          <w:rFonts w:hint="cs"/>
          <w:sz w:val="26"/>
          <w:szCs w:val="26"/>
          <w:rtl/>
        </w:rPr>
        <w:t xml:space="preserve">לא התבקש ולא הוגש תסקיר, ואין על הפרק אופק שיקומי. ב"כ הנאשם תיאר את נסיבותיו האישיות. הנאשם הידרדר לשולי החברה ומזה שנים הוא נכנס ויוצא מבתי הכלא לאחר ביצוע עבירות שונות. עובדות אלו מצביעות על נסיבות חיים קשות, אך גם על החשש שהנאשם ישוב ויבצע עבירות ועל הצורך להגן על החברה מפניהן.   </w:t>
      </w:r>
    </w:p>
    <w:p w14:paraId="2724971E" w14:textId="77777777" w:rsidR="006B1745" w:rsidRDefault="00320DB0">
      <w:pPr>
        <w:spacing w:after="240" w:line="360" w:lineRule="auto"/>
        <w:jc w:val="both"/>
        <w:rPr>
          <w:sz w:val="26"/>
          <w:szCs w:val="26"/>
          <w:rtl/>
        </w:rPr>
      </w:pPr>
      <w:r>
        <w:rPr>
          <w:rFonts w:hint="cs"/>
          <w:sz w:val="26"/>
          <w:szCs w:val="26"/>
          <w:rtl/>
        </w:rPr>
        <w:t>15.</w:t>
      </w:r>
      <w:r>
        <w:rPr>
          <w:rFonts w:hint="cs"/>
          <w:sz w:val="26"/>
          <w:szCs w:val="26"/>
          <w:rtl/>
        </w:rPr>
        <w:tab/>
        <w:t xml:space="preserve">עברו של הנאשם מעלה את רף הענישה הנדרש. עם זאת, יתר הנסיבות מצדיקות הקלה מסויימת, שכן כפי שפורט לעיל הן אינן מצביעות על היות של הנאשם סוחר מקצועי אלא מכור לסם השואף לממן את צריכתו שלו, ולצורך כך עוסק בסחר בהיקף זעיר.  מקומו של הנאשם ב"שרשרת הפצת הסם" נמוך ביותר. </w:t>
      </w:r>
    </w:p>
    <w:p w14:paraId="41C619D0" w14:textId="77777777" w:rsidR="006B1745" w:rsidRDefault="00320DB0">
      <w:pPr>
        <w:spacing w:after="240" w:line="360" w:lineRule="auto"/>
        <w:jc w:val="both"/>
        <w:rPr>
          <w:sz w:val="26"/>
          <w:szCs w:val="26"/>
          <w:rtl/>
        </w:rPr>
      </w:pPr>
      <w:r>
        <w:rPr>
          <w:sz w:val="26"/>
          <w:szCs w:val="26"/>
          <w:rtl/>
        </w:rPr>
        <w:tab/>
      </w:r>
      <w:r>
        <w:rPr>
          <w:rFonts w:hint="cs"/>
          <w:sz w:val="26"/>
          <w:szCs w:val="26"/>
          <w:rtl/>
        </w:rPr>
        <w:t xml:space="preserve">על כן מקומו של הנאשם במרכז מתחם הענישה. </w:t>
      </w:r>
    </w:p>
    <w:p w14:paraId="67D91814" w14:textId="77777777" w:rsidR="006B1745" w:rsidRDefault="006B1745">
      <w:pPr>
        <w:spacing w:after="240" w:line="360" w:lineRule="auto"/>
        <w:jc w:val="both"/>
        <w:rPr>
          <w:sz w:val="26"/>
          <w:szCs w:val="26"/>
          <w:rtl/>
        </w:rPr>
      </w:pPr>
    </w:p>
    <w:p w14:paraId="0E7D971A" w14:textId="77777777" w:rsidR="006B1745" w:rsidRDefault="00320DB0">
      <w:pPr>
        <w:spacing w:after="240" w:line="360" w:lineRule="auto"/>
        <w:jc w:val="both"/>
        <w:rPr>
          <w:b/>
          <w:bCs/>
          <w:sz w:val="26"/>
          <w:szCs w:val="26"/>
          <w:rtl/>
        </w:rPr>
      </w:pPr>
      <w:r>
        <w:rPr>
          <w:rFonts w:hint="cs"/>
          <w:b/>
          <w:bCs/>
          <w:sz w:val="26"/>
          <w:szCs w:val="26"/>
          <w:rtl/>
        </w:rPr>
        <w:t>16.</w:t>
      </w:r>
      <w:r>
        <w:rPr>
          <w:rFonts w:hint="cs"/>
          <w:b/>
          <w:bCs/>
          <w:sz w:val="26"/>
          <w:szCs w:val="26"/>
          <w:rtl/>
        </w:rPr>
        <w:tab/>
        <w:t>לאור האמור אני דנה את הנאשם לעונשים אלו:</w:t>
      </w:r>
    </w:p>
    <w:p w14:paraId="031A8023" w14:textId="77777777" w:rsidR="006B1745" w:rsidRDefault="00320DB0">
      <w:pPr>
        <w:spacing w:after="240" w:line="360" w:lineRule="auto"/>
        <w:ind w:left="1440" w:hanging="720"/>
        <w:jc w:val="both"/>
        <w:rPr>
          <w:sz w:val="26"/>
          <w:szCs w:val="26"/>
          <w:rtl/>
        </w:rPr>
      </w:pPr>
      <w:r>
        <w:rPr>
          <w:rFonts w:hint="cs"/>
          <w:sz w:val="26"/>
          <w:szCs w:val="26"/>
          <w:rtl/>
        </w:rPr>
        <w:t>1.</w:t>
      </w:r>
      <w:r>
        <w:rPr>
          <w:rFonts w:hint="cs"/>
          <w:sz w:val="26"/>
          <w:szCs w:val="26"/>
          <w:rtl/>
        </w:rPr>
        <w:tab/>
        <w:t xml:space="preserve">על שני אישומי החסר ואישום התיווך אני מטילה על הנאשם עונש מאסר לתקופה של 16 חודשים. </w:t>
      </w:r>
    </w:p>
    <w:p w14:paraId="2AB28154" w14:textId="77777777" w:rsidR="006B1745" w:rsidRDefault="00320DB0">
      <w:pPr>
        <w:spacing w:after="240" w:line="360" w:lineRule="auto"/>
        <w:ind w:left="1440" w:hanging="720"/>
        <w:jc w:val="both"/>
        <w:rPr>
          <w:sz w:val="26"/>
          <w:szCs w:val="26"/>
          <w:rtl/>
        </w:rPr>
      </w:pPr>
      <w:r>
        <w:rPr>
          <w:rFonts w:hint="cs"/>
          <w:sz w:val="26"/>
          <w:szCs w:val="26"/>
          <w:rtl/>
        </w:rPr>
        <w:t>2.</w:t>
      </w:r>
      <w:r>
        <w:rPr>
          <w:rFonts w:hint="cs"/>
          <w:sz w:val="26"/>
          <w:szCs w:val="26"/>
          <w:rtl/>
        </w:rPr>
        <w:tab/>
        <w:t xml:space="preserve">על האישום בהחזקה שלא לשימוש עצמי אני מטילה על הנאשם מאסר לתקופה של 10 חודשים במצטבר למאסר שהוטל לעיל. </w:t>
      </w:r>
    </w:p>
    <w:p w14:paraId="1D18395B" w14:textId="77777777" w:rsidR="006B1745" w:rsidRDefault="00320DB0">
      <w:pPr>
        <w:spacing w:after="240" w:line="360" w:lineRule="auto"/>
        <w:ind w:left="1440" w:hanging="720"/>
        <w:jc w:val="both"/>
        <w:rPr>
          <w:sz w:val="26"/>
          <w:szCs w:val="26"/>
          <w:rtl/>
        </w:rPr>
      </w:pPr>
      <w:r>
        <w:rPr>
          <w:rFonts w:hint="cs"/>
          <w:sz w:val="26"/>
          <w:szCs w:val="26"/>
          <w:rtl/>
        </w:rPr>
        <w:t>3.</w:t>
      </w:r>
      <w:r>
        <w:rPr>
          <w:rFonts w:hint="cs"/>
          <w:sz w:val="26"/>
          <w:szCs w:val="26"/>
          <w:rtl/>
        </w:rPr>
        <w:tab/>
        <w:t xml:space="preserve">על שני התיקים שצורפו (ההחזקה לשימוש עצמי) אני מטילה על הנאשם מאסר לחודש אחד בכל אחד מהתיקים. מאסרים אלו ירוצו בחופף למאסרים הנוספים. </w:t>
      </w:r>
    </w:p>
    <w:p w14:paraId="455D0743" w14:textId="77777777" w:rsidR="006B1745" w:rsidRDefault="00320DB0">
      <w:pPr>
        <w:spacing w:after="240" w:line="360" w:lineRule="auto"/>
        <w:ind w:left="1440" w:hanging="720"/>
        <w:jc w:val="both"/>
        <w:rPr>
          <w:sz w:val="26"/>
          <w:szCs w:val="26"/>
          <w:rtl/>
        </w:rPr>
      </w:pPr>
      <w:r>
        <w:rPr>
          <w:rFonts w:hint="cs"/>
          <w:sz w:val="26"/>
          <w:szCs w:val="26"/>
          <w:rtl/>
        </w:rPr>
        <w:t>4.</w:t>
      </w:r>
      <w:r>
        <w:rPr>
          <w:rFonts w:hint="cs"/>
          <w:sz w:val="26"/>
          <w:szCs w:val="26"/>
          <w:rtl/>
        </w:rPr>
        <w:tab/>
        <w:t>אני מפעילה מאסר על תנאי לשישה חודשים שהוטל על הנאשם ב</w:t>
      </w:r>
      <w:hyperlink r:id="rId37" w:history="1">
        <w:r w:rsidRPr="00320DB0">
          <w:rPr>
            <w:color w:val="0000FF"/>
            <w:sz w:val="26"/>
            <w:szCs w:val="26"/>
            <w:u w:val="single"/>
            <w:rtl/>
          </w:rPr>
          <w:t>ת"פ 15114-09-10</w:t>
        </w:r>
      </w:hyperlink>
      <w:r>
        <w:rPr>
          <w:rFonts w:hint="cs"/>
          <w:sz w:val="26"/>
          <w:szCs w:val="26"/>
          <w:rtl/>
        </w:rPr>
        <w:t xml:space="preserve"> של בית משפט זה למשך שישה חודשים. בהעדר נסיבות מיוחדות יופעל התנאי במצטבר. </w:t>
      </w:r>
    </w:p>
    <w:p w14:paraId="1CEC7FD1" w14:textId="77777777" w:rsidR="006B1745" w:rsidRDefault="00320DB0">
      <w:pPr>
        <w:spacing w:after="240" w:line="360" w:lineRule="auto"/>
        <w:ind w:left="708"/>
        <w:jc w:val="both"/>
        <w:rPr>
          <w:sz w:val="26"/>
          <w:szCs w:val="26"/>
          <w:rtl/>
        </w:rPr>
      </w:pPr>
      <w:r>
        <w:rPr>
          <w:rFonts w:hint="cs"/>
          <w:sz w:val="26"/>
          <w:szCs w:val="26"/>
          <w:rtl/>
        </w:rPr>
        <w:t xml:space="preserve">בסך הכל ירצה הנאשם שלושים ושניים חודשי מאסר בפועל, בניכוי תקופת מעצרו בתיקים אלו. </w:t>
      </w:r>
    </w:p>
    <w:p w14:paraId="37F02CAC" w14:textId="77777777" w:rsidR="006B1745" w:rsidRDefault="00320DB0">
      <w:pPr>
        <w:spacing w:after="240" w:line="360" w:lineRule="auto"/>
        <w:ind w:left="1440" w:hanging="732"/>
        <w:jc w:val="both"/>
        <w:rPr>
          <w:sz w:val="26"/>
          <w:szCs w:val="26"/>
          <w:rtl/>
        </w:rPr>
      </w:pPr>
      <w:r>
        <w:rPr>
          <w:rFonts w:hint="cs"/>
          <w:sz w:val="26"/>
          <w:szCs w:val="26"/>
          <w:rtl/>
        </w:rPr>
        <w:t>5.</w:t>
      </w:r>
      <w:r>
        <w:rPr>
          <w:rFonts w:hint="cs"/>
          <w:sz w:val="26"/>
          <w:szCs w:val="26"/>
          <w:rtl/>
        </w:rPr>
        <w:tab/>
        <w:t xml:space="preserve">מאסר על תנאי לארבעה חודשים למשך שלוש שנים על כל עבירת סמים שאינה החזקת סם לשימוש עצמי בלבד. </w:t>
      </w:r>
    </w:p>
    <w:p w14:paraId="13EEA1B9" w14:textId="77777777" w:rsidR="006B1745" w:rsidRDefault="00320DB0">
      <w:pPr>
        <w:spacing w:after="240" w:line="360" w:lineRule="auto"/>
        <w:ind w:left="708"/>
        <w:jc w:val="both"/>
        <w:rPr>
          <w:sz w:val="26"/>
          <w:szCs w:val="26"/>
          <w:rtl/>
        </w:rPr>
      </w:pPr>
      <w:r>
        <w:rPr>
          <w:rFonts w:hint="cs"/>
          <w:sz w:val="26"/>
          <w:szCs w:val="26"/>
          <w:rtl/>
        </w:rPr>
        <w:t>6.</w:t>
      </w:r>
      <w:r>
        <w:rPr>
          <w:rFonts w:hint="cs"/>
          <w:sz w:val="26"/>
          <w:szCs w:val="26"/>
          <w:rtl/>
        </w:rPr>
        <w:tab/>
        <w:t xml:space="preserve">פסילה מקבלת רשיון נהיגה למשך שישה חודשים לאחר שחרורו ממאסר. </w:t>
      </w:r>
    </w:p>
    <w:p w14:paraId="44BEE483" w14:textId="77777777" w:rsidR="006B1745" w:rsidRDefault="006B1745">
      <w:pPr>
        <w:rPr>
          <w:rFonts w:cs="FrankRuehl"/>
          <w:sz w:val="28"/>
          <w:szCs w:val="28"/>
          <w:rtl/>
        </w:rPr>
      </w:pPr>
    </w:p>
    <w:p w14:paraId="6A51592B" w14:textId="77777777" w:rsidR="006B1745" w:rsidRDefault="006B1745">
      <w:pPr>
        <w:rPr>
          <w:rFonts w:cs="FrankRuehl"/>
          <w:sz w:val="28"/>
          <w:szCs w:val="28"/>
          <w:rtl/>
        </w:rPr>
      </w:pPr>
    </w:p>
    <w:p w14:paraId="4DD6AFD2" w14:textId="77777777" w:rsidR="006B1745" w:rsidRDefault="00320DB0">
      <w:pPr>
        <w:spacing w:line="360" w:lineRule="auto"/>
        <w:jc w:val="both"/>
        <w:rPr>
          <w:rFonts w:ascii="Arial" w:hAnsi="Arial"/>
          <w:sz w:val="26"/>
          <w:szCs w:val="26"/>
          <w:rtl/>
        </w:rPr>
      </w:pPr>
      <w:r w:rsidRPr="00320DB0">
        <w:rPr>
          <w:rFonts w:ascii="Arial" w:hAnsi="Arial"/>
          <w:color w:val="FFFFFF"/>
          <w:sz w:val="2"/>
          <w:szCs w:val="2"/>
          <w:rtl/>
        </w:rPr>
        <w:t>5129371</w:t>
      </w:r>
      <w:r>
        <w:rPr>
          <w:rFonts w:ascii="Arial" w:hAnsi="Arial" w:hint="cs"/>
          <w:sz w:val="26"/>
          <w:szCs w:val="26"/>
          <w:rtl/>
        </w:rPr>
        <w:t xml:space="preserve">זכות ערעור לבית המשפט המחוזי בירושלים בתוך 45 יום. </w:t>
      </w:r>
      <w:r w:rsidR="0086592C">
        <w:rPr>
          <w:rFonts w:ascii="Arial" w:hAnsi="Arial" w:hint="cs"/>
          <w:sz w:val="26"/>
          <w:szCs w:val="26"/>
          <w:rtl/>
        </w:rPr>
        <w:t xml:space="preserve">                </w:t>
      </w:r>
    </w:p>
    <w:p w14:paraId="4023E607" w14:textId="77777777" w:rsidR="006B1745" w:rsidRDefault="00320DB0">
      <w:pPr>
        <w:rPr>
          <w:rFonts w:cs="FrankRuehl"/>
          <w:sz w:val="28"/>
          <w:szCs w:val="28"/>
          <w:rtl/>
        </w:rPr>
      </w:pPr>
      <w:r w:rsidRPr="00320DB0">
        <w:rPr>
          <w:rFonts w:ascii="Arial" w:hAnsi="Arial"/>
          <w:color w:val="FFFFFF"/>
          <w:sz w:val="2"/>
          <w:szCs w:val="2"/>
          <w:rtl/>
        </w:rPr>
        <w:t>54678313</w:t>
      </w:r>
      <w:r>
        <w:rPr>
          <w:rFonts w:ascii="Arial" w:hAnsi="Arial"/>
          <w:sz w:val="26"/>
          <w:szCs w:val="26"/>
          <w:rtl/>
        </w:rPr>
        <w:t xml:space="preserve">ניתן היום,  כ"ה ניסן תשע"ו, 03 מאי 2016, בנוכחות הצדדים. </w:t>
      </w:r>
    </w:p>
    <w:p w14:paraId="3C3C731C" w14:textId="77777777" w:rsidR="006B1745" w:rsidRDefault="006B1745">
      <w:pPr>
        <w:jc w:val="right"/>
      </w:pPr>
    </w:p>
    <w:p w14:paraId="7618C778" w14:textId="77777777" w:rsidR="006B1745" w:rsidRDefault="006B1745">
      <w:pPr>
        <w:jc w:val="right"/>
        <w:rPr>
          <w:rFonts w:ascii="Arial" w:hAnsi="Arial" w:cs="FrankRuehl"/>
          <w:sz w:val="28"/>
          <w:szCs w:val="28"/>
          <w:rtl/>
        </w:rPr>
      </w:pPr>
    </w:p>
    <w:p w14:paraId="2FA93FAE" w14:textId="77777777" w:rsidR="00320DB0" w:rsidRPr="00320DB0" w:rsidRDefault="00320DB0" w:rsidP="00320DB0">
      <w:pPr>
        <w:keepNext/>
        <w:rPr>
          <w:rFonts w:ascii="David" w:hAnsi="David"/>
          <w:color w:val="000000"/>
          <w:sz w:val="22"/>
          <w:szCs w:val="22"/>
          <w:rtl/>
        </w:rPr>
      </w:pPr>
    </w:p>
    <w:p w14:paraId="0AFCBE12" w14:textId="77777777" w:rsidR="00320DB0" w:rsidRPr="00320DB0" w:rsidRDefault="00320DB0" w:rsidP="00320DB0">
      <w:pPr>
        <w:keepNext/>
        <w:rPr>
          <w:rFonts w:ascii="David" w:hAnsi="David"/>
          <w:color w:val="000000"/>
          <w:sz w:val="22"/>
          <w:szCs w:val="22"/>
          <w:rtl/>
        </w:rPr>
      </w:pPr>
      <w:r w:rsidRPr="00320DB0">
        <w:rPr>
          <w:rFonts w:ascii="David" w:hAnsi="David"/>
          <w:color w:val="000000"/>
          <w:sz w:val="22"/>
          <w:szCs w:val="22"/>
          <w:rtl/>
        </w:rPr>
        <w:t>חגית מאק קלמנוביץ 54678313</w:t>
      </w:r>
    </w:p>
    <w:p w14:paraId="1D14736F" w14:textId="77777777" w:rsidR="00320DB0" w:rsidRDefault="00320DB0" w:rsidP="00320DB0">
      <w:r w:rsidRPr="00320DB0">
        <w:rPr>
          <w:color w:val="000000"/>
          <w:rtl/>
        </w:rPr>
        <w:t>נוסח מסמך זה כפוף לשינויי ניסוח ועריכה</w:t>
      </w:r>
    </w:p>
    <w:p w14:paraId="349D3A53" w14:textId="77777777" w:rsidR="00320DB0" w:rsidRDefault="00320DB0" w:rsidP="00320DB0">
      <w:pPr>
        <w:rPr>
          <w:rtl/>
        </w:rPr>
      </w:pPr>
    </w:p>
    <w:p w14:paraId="0ED34332" w14:textId="77777777" w:rsidR="00320DB0" w:rsidRDefault="00320DB0" w:rsidP="00320DB0">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9C57BC0" w14:textId="77777777" w:rsidR="006B1745" w:rsidRPr="00320DB0" w:rsidRDefault="006B1745" w:rsidP="00320DB0">
      <w:pPr>
        <w:jc w:val="center"/>
        <w:rPr>
          <w:color w:val="0000FF"/>
          <w:u w:val="single"/>
        </w:rPr>
      </w:pPr>
    </w:p>
    <w:sectPr w:rsidR="006B1745" w:rsidRPr="00320DB0" w:rsidSect="00320DB0">
      <w:headerReference w:type="even" r:id="rId39"/>
      <w:headerReference w:type="default" r:id="rId40"/>
      <w:footerReference w:type="even" r:id="rId41"/>
      <w:footerReference w:type="default" r:id="rId42"/>
      <w:pgSz w:w="11907" w:h="16840" w:code="9"/>
      <w:pgMar w:top="1701" w:right="1701" w:bottom="1134" w:left="1701" w:header="187"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59CB2" w14:textId="77777777" w:rsidR="005E1DE8" w:rsidRDefault="005E1DE8">
      <w:r>
        <w:separator/>
      </w:r>
    </w:p>
  </w:endnote>
  <w:endnote w:type="continuationSeparator" w:id="0">
    <w:p w14:paraId="4B9AAAC6" w14:textId="77777777" w:rsidR="005E1DE8" w:rsidRDefault="005E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5E89" w14:textId="77777777" w:rsidR="00F41213" w:rsidRDefault="00F41213" w:rsidP="00320DB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6F7C86" w14:textId="77777777" w:rsidR="00F41213" w:rsidRPr="00320DB0" w:rsidRDefault="00F41213" w:rsidP="00320DB0">
    <w:pPr>
      <w:pStyle w:val="a4"/>
      <w:pBdr>
        <w:top w:val="single" w:sz="4" w:space="1" w:color="auto"/>
        <w:between w:val="single" w:sz="4" w:space="0" w:color="auto"/>
      </w:pBdr>
      <w:spacing w:after="60"/>
      <w:jc w:val="center"/>
      <w:rPr>
        <w:rFonts w:ascii="FrankRuehl" w:hAnsi="FrankRuehl" w:cs="FrankRuehl"/>
        <w:color w:val="000000"/>
      </w:rPr>
    </w:pPr>
    <w:r w:rsidRPr="00320D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2FA8A" w14:textId="77777777" w:rsidR="00F41213" w:rsidRDefault="00F41213" w:rsidP="00320DB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226E">
      <w:rPr>
        <w:rFonts w:ascii="FrankRuehl" w:hAnsi="FrankRuehl" w:cs="FrankRuehl"/>
        <w:noProof/>
        <w:rtl/>
      </w:rPr>
      <w:t>1</w:t>
    </w:r>
    <w:r>
      <w:rPr>
        <w:rFonts w:ascii="FrankRuehl" w:hAnsi="FrankRuehl" w:cs="FrankRuehl"/>
        <w:rtl/>
      </w:rPr>
      <w:fldChar w:fldCharType="end"/>
    </w:r>
  </w:p>
  <w:p w14:paraId="36C263A3" w14:textId="77777777" w:rsidR="00F41213" w:rsidRPr="00320DB0" w:rsidRDefault="00F41213" w:rsidP="00320DB0">
    <w:pPr>
      <w:pStyle w:val="a4"/>
      <w:pBdr>
        <w:top w:val="single" w:sz="4" w:space="1" w:color="auto"/>
        <w:between w:val="single" w:sz="4" w:space="0" w:color="auto"/>
      </w:pBdr>
      <w:spacing w:after="60"/>
      <w:jc w:val="center"/>
      <w:rPr>
        <w:rFonts w:ascii="FrankRuehl" w:hAnsi="FrankRuehl" w:cs="FrankRuehl"/>
        <w:color w:val="000000"/>
      </w:rPr>
    </w:pPr>
    <w:r w:rsidRPr="00320DB0">
      <w:rPr>
        <w:rFonts w:ascii="FrankRuehl" w:hAnsi="FrankRuehl" w:cs="FrankRuehl"/>
        <w:color w:val="000000"/>
      </w:rPr>
      <w:pict w14:anchorId="3BF2E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AC472" w14:textId="77777777" w:rsidR="005E1DE8" w:rsidRDefault="005E1DE8">
      <w:r>
        <w:separator/>
      </w:r>
    </w:p>
  </w:footnote>
  <w:footnote w:type="continuationSeparator" w:id="0">
    <w:p w14:paraId="3702251F" w14:textId="77777777" w:rsidR="005E1DE8" w:rsidRDefault="005E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E7B54" w14:textId="77777777" w:rsidR="00F41213" w:rsidRPr="00320DB0" w:rsidRDefault="00F41213" w:rsidP="00320D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2232-08-15</w:t>
    </w:r>
    <w:r>
      <w:rPr>
        <w:rFonts w:ascii="David" w:hAnsi="David"/>
        <w:color w:val="000000"/>
        <w:sz w:val="22"/>
        <w:szCs w:val="22"/>
        <w:rtl/>
      </w:rPr>
      <w:tab/>
      <w:t xml:space="preserve"> מדינת ישראל נ' חוסין סנד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C31C" w14:textId="77777777" w:rsidR="00F41213" w:rsidRPr="00320DB0" w:rsidRDefault="00F41213" w:rsidP="00320D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2232-08-15</w:t>
    </w:r>
    <w:r>
      <w:rPr>
        <w:rFonts w:ascii="David" w:hAnsi="David"/>
        <w:color w:val="000000"/>
        <w:sz w:val="22"/>
        <w:szCs w:val="22"/>
        <w:rtl/>
      </w:rPr>
      <w:tab/>
      <w:t xml:space="preserve"> מדינת ישראל נ' חוסין סנד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1745"/>
    <w:rsid w:val="001113A6"/>
    <w:rsid w:val="001253C2"/>
    <w:rsid w:val="0016226E"/>
    <w:rsid w:val="001B6A48"/>
    <w:rsid w:val="00320DB0"/>
    <w:rsid w:val="005E1DE8"/>
    <w:rsid w:val="006B1745"/>
    <w:rsid w:val="0086592C"/>
    <w:rsid w:val="00AC7D4C"/>
    <w:rsid w:val="00CB2338"/>
    <w:rsid w:val="00DA4D8B"/>
    <w:rsid w:val="00F41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21D375"/>
  <w15:chartTrackingRefBased/>
  <w15:docId w15:val="{89B0ABD2-F20F-4024-BA58-40D15CC2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699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46999"/>
    <w:pPr>
      <w:tabs>
        <w:tab w:val="center" w:pos="4153"/>
        <w:tab w:val="right" w:pos="8306"/>
      </w:tabs>
    </w:pPr>
  </w:style>
  <w:style w:type="paragraph" w:styleId="a4">
    <w:name w:val="footer"/>
    <w:basedOn w:val="a"/>
    <w:rsid w:val="00546999"/>
    <w:pPr>
      <w:tabs>
        <w:tab w:val="center" w:pos="4153"/>
        <w:tab w:val="right" w:pos="8306"/>
      </w:tabs>
    </w:pPr>
  </w:style>
  <w:style w:type="character" w:styleId="a5">
    <w:name w:val="page number"/>
    <w:basedOn w:val="a0"/>
    <w:rsid w:val="00546999"/>
  </w:style>
  <w:style w:type="character" w:styleId="Hyperlink">
    <w:name w:val="Hyperlink"/>
    <w:rsid w:val="005469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4216/7.D"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law/4216/7.c" TargetMode="External"/><Relationship Id="rId34" Type="http://schemas.openxmlformats.org/officeDocument/2006/relationships/hyperlink" Target="http://www.nevo.co.il/case/16941717" TargetMode="External"/><Relationship Id="rId42" Type="http://schemas.openxmlformats.org/officeDocument/2006/relationships/footer" Target="footer2.xml"/><Relationship Id="rId7" Type="http://schemas.openxmlformats.org/officeDocument/2006/relationships/hyperlink" Target="http://www.nevo.co.il/law/4216/7.D" TargetMode="External"/><Relationship Id="rId2" Type="http://schemas.openxmlformats.org/officeDocument/2006/relationships/settings" Target="settings.xml"/><Relationship Id="rId16" Type="http://schemas.openxmlformats.org/officeDocument/2006/relationships/hyperlink" Target="http://www.nevo.co.il/law/4216/14" TargetMode="External"/><Relationship Id="rId20" Type="http://schemas.openxmlformats.org/officeDocument/2006/relationships/hyperlink" Target="http://www.nevo.co.il/law/4216/7.a" TargetMode="External"/><Relationship Id="rId29" Type="http://schemas.openxmlformats.org/officeDocument/2006/relationships/hyperlink" Target="http://www.nevo.co.il/case/10459115"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4"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5601732" TargetMode="External"/><Relationship Id="rId37" Type="http://schemas.openxmlformats.org/officeDocument/2006/relationships/hyperlink" Target="http://www.nevo.co.il/case/5230968"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18793360" TargetMode="External"/><Relationship Id="rId36" Type="http://schemas.openxmlformats.org/officeDocument/2006/relationships/hyperlink" Target="http://www.nevo.co.il/case/4151601"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0526765" TargetMode="External"/><Relationship Id="rId31" Type="http://schemas.openxmlformats.org/officeDocument/2006/relationships/hyperlink" Target="http://www.nevo.co.il/case/20450155"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0050203"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6793436" TargetMode="External"/><Relationship Id="rId35" Type="http://schemas.openxmlformats.org/officeDocument/2006/relationships/hyperlink" Target="http://www.nevo.co.il/case/13016917"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275" TargetMode="External"/><Relationship Id="rId33" Type="http://schemas.openxmlformats.org/officeDocument/2006/relationships/hyperlink" Target="http://www.nevo.co.il/case/569891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1937</Words>
  <Characters>9689</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11603</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3604592</vt:i4>
      </vt:variant>
      <vt:variant>
        <vt:i4>93</vt:i4>
      </vt:variant>
      <vt:variant>
        <vt:i4>0</vt:i4>
      </vt:variant>
      <vt:variant>
        <vt:i4>5</vt:i4>
      </vt:variant>
      <vt:variant>
        <vt:lpwstr>http://www.nevo.co.il/case/5230968</vt:lpwstr>
      </vt:variant>
      <vt:variant>
        <vt:lpwstr/>
      </vt:variant>
      <vt:variant>
        <vt:i4>3539060</vt:i4>
      </vt:variant>
      <vt:variant>
        <vt:i4>90</vt:i4>
      </vt:variant>
      <vt:variant>
        <vt:i4>0</vt:i4>
      </vt:variant>
      <vt:variant>
        <vt:i4>5</vt:i4>
      </vt:variant>
      <vt:variant>
        <vt:lpwstr>http://www.nevo.co.il/case/4151601</vt:lpwstr>
      </vt:variant>
      <vt:variant>
        <vt:lpwstr/>
      </vt:variant>
      <vt:variant>
        <vt:i4>3539071</vt:i4>
      </vt:variant>
      <vt:variant>
        <vt:i4>87</vt:i4>
      </vt:variant>
      <vt:variant>
        <vt:i4>0</vt:i4>
      </vt:variant>
      <vt:variant>
        <vt:i4>5</vt:i4>
      </vt:variant>
      <vt:variant>
        <vt:lpwstr>http://www.nevo.co.il/case/13016917</vt:lpwstr>
      </vt:variant>
      <vt:variant>
        <vt:lpwstr/>
      </vt:variant>
      <vt:variant>
        <vt:i4>3670129</vt:i4>
      </vt:variant>
      <vt:variant>
        <vt:i4>84</vt:i4>
      </vt:variant>
      <vt:variant>
        <vt:i4>0</vt:i4>
      </vt:variant>
      <vt:variant>
        <vt:i4>5</vt:i4>
      </vt:variant>
      <vt:variant>
        <vt:lpwstr>http://www.nevo.co.il/case/16941717</vt:lpwstr>
      </vt:variant>
      <vt:variant>
        <vt:lpwstr/>
      </vt:variant>
      <vt:variant>
        <vt:i4>3932283</vt:i4>
      </vt:variant>
      <vt:variant>
        <vt:i4>81</vt:i4>
      </vt:variant>
      <vt:variant>
        <vt:i4>0</vt:i4>
      </vt:variant>
      <vt:variant>
        <vt:i4>5</vt:i4>
      </vt:variant>
      <vt:variant>
        <vt:lpwstr>http://www.nevo.co.il/case/5698919</vt:lpwstr>
      </vt:variant>
      <vt:variant>
        <vt:lpwstr/>
      </vt:variant>
      <vt:variant>
        <vt:i4>3145840</vt:i4>
      </vt:variant>
      <vt:variant>
        <vt:i4>78</vt:i4>
      </vt:variant>
      <vt:variant>
        <vt:i4>0</vt:i4>
      </vt:variant>
      <vt:variant>
        <vt:i4>5</vt:i4>
      </vt:variant>
      <vt:variant>
        <vt:lpwstr>http://www.nevo.co.il/case/5601732</vt:lpwstr>
      </vt:variant>
      <vt:variant>
        <vt:lpwstr/>
      </vt:variant>
      <vt:variant>
        <vt:i4>3342448</vt:i4>
      </vt:variant>
      <vt:variant>
        <vt:i4>75</vt:i4>
      </vt:variant>
      <vt:variant>
        <vt:i4>0</vt:i4>
      </vt:variant>
      <vt:variant>
        <vt:i4>5</vt:i4>
      </vt:variant>
      <vt:variant>
        <vt:lpwstr>http://www.nevo.co.il/case/20450155</vt:lpwstr>
      </vt:variant>
      <vt:variant>
        <vt:lpwstr/>
      </vt:variant>
      <vt:variant>
        <vt:i4>3997811</vt:i4>
      </vt:variant>
      <vt:variant>
        <vt:i4>72</vt:i4>
      </vt:variant>
      <vt:variant>
        <vt:i4>0</vt:i4>
      </vt:variant>
      <vt:variant>
        <vt:i4>5</vt:i4>
      </vt:variant>
      <vt:variant>
        <vt:lpwstr>http://www.nevo.co.il/case/6793436</vt:lpwstr>
      </vt:variant>
      <vt:variant>
        <vt:lpwstr/>
      </vt:variant>
      <vt:variant>
        <vt:i4>3997808</vt:i4>
      </vt:variant>
      <vt:variant>
        <vt:i4>69</vt:i4>
      </vt:variant>
      <vt:variant>
        <vt:i4>0</vt:i4>
      </vt:variant>
      <vt:variant>
        <vt:i4>5</vt:i4>
      </vt:variant>
      <vt:variant>
        <vt:lpwstr>http://www.nevo.co.il/case/10459115</vt:lpwstr>
      </vt:variant>
      <vt:variant>
        <vt:lpwstr/>
      </vt:variant>
      <vt:variant>
        <vt:i4>3342454</vt:i4>
      </vt:variant>
      <vt:variant>
        <vt:i4>66</vt:i4>
      </vt:variant>
      <vt:variant>
        <vt:i4>0</vt:i4>
      </vt:variant>
      <vt:variant>
        <vt:i4>5</vt:i4>
      </vt:variant>
      <vt:variant>
        <vt:lpwstr>http://www.nevo.co.il/case/18793360</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6422631</vt:i4>
      </vt:variant>
      <vt:variant>
        <vt:i4>57</vt:i4>
      </vt:variant>
      <vt:variant>
        <vt:i4>0</vt:i4>
      </vt:variant>
      <vt:variant>
        <vt:i4>5</vt:i4>
      </vt:variant>
      <vt:variant>
        <vt:lpwstr>http://www.nevo.co.il/law/70301/275</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3276915</vt:i4>
      </vt:variant>
      <vt:variant>
        <vt:i4>48</vt:i4>
      </vt:variant>
      <vt:variant>
        <vt:i4>0</vt:i4>
      </vt:variant>
      <vt:variant>
        <vt:i4>5</vt:i4>
      </vt:variant>
      <vt:variant>
        <vt:lpwstr>http://www.nevo.co.il/case/20050203</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3604593</vt:i4>
      </vt:variant>
      <vt:variant>
        <vt:i4>39</vt:i4>
      </vt:variant>
      <vt:variant>
        <vt:i4>0</vt:i4>
      </vt:variant>
      <vt:variant>
        <vt:i4>5</vt:i4>
      </vt:variant>
      <vt:variant>
        <vt:lpwstr>http://www.nevo.co.il/case/20526765</vt:lpwstr>
      </vt:variant>
      <vt:variant>
        <vt:lpwstr/>
      </vt:variant>
      <vt:variant>
        <vt:i4>2949220</vt:i4>
      </vt:variant>
      <vt:variant>
        <vt:i4>36</vt:i4>
      </vt:variant>
      <vt:variant>
        <vt:i4>0</vt:i4>
      </vt:variant>
      <vt:variant>
        <vt:i4>5</vt:i4>
      </vt:variant>
      <vt:variant>
        <vt:lpwstr>http://www.nevo.co.il/law/4216/7.D</vt:lpwstr>
      </vt:variant>
      <vt:variant>
        <vt:lpwstr/>
      </vt:variant>
      <vt:variant>
        <vt:i4>2621540</vt:i4>
      </vt:variant>
      <vt:variant>
        <vt:i4>33</vt:i4>
      </vt:variant>
      <vt:variant>
        <vt:i4>0</vt:i4>
      </vt:variant>
      <vt:variant>
        <vt:i4>5</vt:i4>
      </vt:variant>
      <vt:variant>
        <vt:lpwstr>http://www.nevo.co.il/law/4216/7.a</vt:lpwstr>
      </vt:variant>
      <vt:variant>
        <vt:lpwstr/>
      </vt:variant>
      <vt:variant>
        <vt:i4>5177418</vt:i4>
      </vt:variant>
      <vt:variant>
        <vt:i4>30</vt:i4>
      </vt:variant>
      <vt:variant>
        <vt:i4>0</vt:i4>
      </vt:variant>
      <vt:variant>
        <vt:i4>5</vt:i4>
      </vt:variant>
      <vt:variant>
        <vt:lpwstr>http://www.nevo.co.il/law/4216/14</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http://www.nevo.co.il/law/4216/14</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2949220</vt:i4>
      </vt:variant>
      <vt:variant>
        <vt:i4>3</vt:i4>
      </vt:variant>
      <vt:variant>
        <vt:i4>0</vt:i4>
      </vt:variant>
      <vt:variant>
        <vt:i4>5</vt:i4>
      </vt:variant>
      <vt:variant>
        <vt:lpwstr>http://www.nevo.co.il/law/4216/7.D</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2025-04-22T22:49:00Z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2232</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ישראל;ענף תביעות מחוז ירושלים</vt:lpwstr>
  </property>
  <property fmtid="{D5CDD505-2E9C-101B-9397-08002B2CF9AE}" pid="9" name="APPELLEE">
    <vt:lpwstr>חוסין סנד</vt:lpwstr>
  </property>
  <property fmtid="{D5CDD505-2E9C-101B-9397-08002B2CF9AE}" pid="10" name="LAWYER">
    <vt:lpwstr>אשרף חסן</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20160503</vt:lpwstr>
  </property>
  <property fmtid="{D5CDD505-2E9C-101B-9397-08002B2CF9AE}" pid="14" name="TYPE_N_DATE">
    <vt:lpwstr>38020160503</vt:lpwstr>
  </property>
  <property fmtid="{D5CDD505-2E9C-101B-9397-08002B2CF9AE}" pid="15" name="CASESLISTTMP1">
    <vt:lpwstr>20526765;20050203;13093721;18793360;10459115;6793436;20450155;5601732;5698919;16941717;13016917;4151601;5230968</vt:lpwstr>
  </property>
  <property fmtid="{D5CDD505-2E9C-101B-9397-08002B2CF9AE}" pid="16" name="WORDNUMPAGES">
    <vt:lpwstr>6</vt:lpwstr>
  </property>
  <property fmtid="{D5CDD505-2E9C-101B-9397-08002B2CF9AE}" pid="17" name="TYPE_ABS_DATE">
    <vt:lpwstr>380020160503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4216/013;014;007.a:3;007.D;007.c:2</vt:lpwstr>
  </property>
  <property fmtid="{D5CDD505-2E9C-101B-9397-08002B2CF9AE}" pid="37" name="LAWLISTTMP2">
    <vt:lpwstr>70301/275</vt:lpwstr>
  </property>
</Properties>
</file>