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5"/>
        <w:gridCol w:w="3656"/>
      </w:tblGrid>
      <w:tr w:rsidR="00D76BE1" w:rsidRPr="00834436" w14:paraId="14F3C098" w14:textId="77777777">
        <w:trPr>
          <w:trHeight w:hRule="exact" w:val="418"/>
          <w:jc w:val="center"/>
        </w:trPr>
        <w:tc>
          <w:tcPr>
            <w:tcW w:w="8721" w:type="dxa"/>
            <w:gridSpan w:val="2"/>
          </w:tcPr>
          <w:p w14:paraId="5C7BD052" w14:textId="77777777" w:rsidR="00D76BE1" w:rsidRPr="00834436" w:rsidRDefault="00834436">
            <w:pPr>
              <w:pStyle w:val="a3"/>
              <w:jc w:val="center"/>
              <w:rPr>
                <w:rFonts w:ascii="Tahoma" w:hAnsi="Tahoma" w:cs="Tahoma"/>
                <w:color w:val="000080"/>
                <w:rtl/>
              </w:rPr>
            </w:pPr>
            <w:bookmarkStart w:id="0" w:name="LastJudge"/>
            <w:r w:rsidRPr="00834436">
              <w:rPr>
                <w:rFonts w:ascii="Tahoma" w:hAnsi="Tahoma" w:cs="Tahoma"/>
                <w:b/>
                <w:bCs/>
                <w:color w:val="000080"/>
                <w:rtl/>
              </w:rPr>
              <w:t>בית משפט השלום בירושלים</w:t>
            </w:r>
          </w:p>
        </w:tc>
      </w:tr>
      <w:tr w:rsidR="00D76BE1" w:rsidRPr="00834436" w14:paraId="1FE146FA" w14:textId="77777777">
        <w:trPr>
          <w:trHeight w:val="337"/>
          <w:jc w:val="center"/>
        </w:trPr>
        <w:tc>
          <w:tcPr>
            <w:tcW w:w="5065" w:type="dxa"/>
          </w:tcPr>
          <w:p w14:paraId="663042C9" w14:textId="77777777" w:rsidR="00D76BE1" w:rsidRPr="00834436" w:rsidRDefault="00834436">
            <w:pPr>
              <w:rPr>
                <w:rFonts w:cs="FrankRuehl"/>
                <w:sz w:val="28"/>
                <w:szCs w:val="28"/>
                <w:rtl/>
              </w:rPr>
            </w:pPr>
            <w:r w:rsidRPr="00834436">
              <w:rPr>
                <w:rFonts w:cs="FrankRuehl"/>
                <w:sz w:val="28"/>
                <w:szCs w:val="28"/>
                <w:rtl/>
              </w:rPr>
              <w:t>ת"פ</w:t>
            </w:r>
            <w:r w:rsidRPr="00834436">
              <w:rPr>
                <w:rFonts w:cs="FrankRuehl" w:hint="cs"/>
                <w:sz w:val="28"/>
                <w:szCs w:val="28"/>
                <w:rtl/>
              </w:rPr>
              <w:t xml:space="preserve"> </w:t>
            </w:r>
            <w:r w:rsidRPr="00834436">
              <w:rPr>
                <w:rFonts w:cs="FrankRuehl"/>
                <w:sz w:val="28"/>
                <w:szCs w:val="28"/>
                <w:rtl/>
              </w:rPr>
              <w:t>29832-08-15</w:t>
            </w:r>
            <w:r w:rsidRPr="00834436">
              <w:rPr>
                <w:rFonts w:cs="FrankRuehl" w:hint="cs"/>
                <w:sz w:val="28"/>
                <w:szCs w:val="28"/>
                <w:rtl/>
              </w:rPr>
              <w:t xml:space="preserve"> </w:t>
            </w:r>
            <w:r w:rsidRPr="00834436">
              <w:rPr>
                <w:rFonts w:cs="FrankRuehl"/>
                <w:sz w:val="28"/>
                <w:szCs w:val="28"/>
                <w:rtl/>
              </w:rPr>
              <w:t>מדינת ישראל נ' סוליימה(אחר/נוסף)</w:t>
            </w:r>
          </w:p>
          <w:p w14:paraId="647F025E" w14:textId="77777777" w:rsidR="00D76BE1" w:rsidRPr="00834436" w:rsidRDefault="00D76BE1">
            <w:pPr>
              <w:pStyle w:val="a3"/>
              <w:rPr>
                <w:rFonts w:cs="FrankRuehl"/>
                <w:sz w:val="28"/>
                <w:szCs w:val="28"/>
                <w:rtl/>
              </w:rPr>
            </w:pPr>
          </w:p>
        </w:tc>
        <w:tc>
          <w:tcPr>
            <w:tcW w:w="3656" w:type="dxa"/>
          </w:tcPr>
          <w:p w14:paraId="778AB8D2" w14:textId="77777777" w:rsidR="00D76BE1" w:rsidRPr="00834436" w:rsidRDefault="00D76BE1">
            <w:pPr>
              <w:pStyle w:val="a3"/>
              <w:jc w:val="right"/>
              <w:rPr>
                <w:rFonts w:cs="FrankRuehl"/>
                <w:sz w:val="28"/>
                <w:szCs w:val="28"/>
                <w:rtl/>
              </w:rPr>
            </w:pPr>
          </w:p>
        </w:tc>
      </w:tr>
    </w:tbl>
    <w:p w14:paraId="206CB3DF" w14:textId="77777777" w:rsidR="00D76BE1" w:rsidRPr="00834436" w:rsidRDefault="00834436">
      <w:pPr>
        <w:pStyle w:val="a3"/>
        <w:rPr>
          <w:rtl/>
        </w:rPr>
      </w:pPr>
      <w:r w:rsidRPr="00834436">
        <w:rPr>
          <w:rFonts w:hint="cs"/>
          <w:rtl/>
        </w:rPr>
        <w:t xml:space="preserve"> </w:t>
      </w:r>
    </w:p>
    <w:p w14:paraId="053D3DB1" w14:textId="77777777" w:rsidR="00D76BE1" w:rsidRPr="00834436" w:rsidRDefault="00D76BE1"/>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76BE1" w:rsidRPr="00834436" w14:paraId="2F7BE082" w14:textId="77777777">
        <w:trPr>
          <w:trHeight w:val="295"/>
          <w:jc w:val="center"/>
        </w:trPr>
        <w:tc>
          <w:tcPr>
            <w:tcW w:w="923" w:type="dxa"/>
            <w:tcBorders>
              <w:top w:val="nil"/>
              <w:left w:val="nil"/>
              <w:bottom w:val="nil"/>
              <w:right w:val="nil"/>
            </w:tcBorders>
            <w:shd w:val="clear" w:color="auto" w:fill="auto"/>
          </w:tcPr>
          <w:p w14:paraId="19747450" w14:textId="77777777" w:rsidR="00D76BE1" w:rsidRPr="00834436" w:rsidRDefault="00834436">
            <w:pPr>
              <w:jc w:val="both"/>
              <w:rPr>
                <w:rFonts w:ascii="Arial" w:hAnsi="Arial" w:cs="FrankRuehl"/>
                <w:sz w:val="28"/>
                <w:szCs w:val="28"/>
              </w:rPr>
            </w:pPr>
            <w:r w:rsidRPr="00834436">
              <w:rPr>
                <w:rFonts w:ascii="Arial" w:hAnsi="Arial" w:cs="FrankRuehl" w:hint="cs"/>
                <w:sz w:val="28"/>
                <w:szCs w:val="28"/>
                <w:rtl/>
              </w:rPr>
              <w:t>ב</w:t>
            </w:r>
            <w:r w:rsidRPr="00834436">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39EDFB4" w14:textId="77777777" w:rsidR="00D76BE1" w:rsidRPr="00834436" w:rsidRDefault="00834436">
            <w:pPr>
              <w:rPr>
                <w:rFonts w:ascii="Arial" w:hAnsi="Arial"/>
                <w:b/>
                <w:bCs/>
                <w:rtl/>
              </w:rPr>
            </w:pPr>
            <w:r w:rsidRPr="00834436">
              <w:rPr>
                <w:rFonts w:ascii="Arial" w:hAnsi="Arial" w:hint="cs"/>
                <w:b/>
                <w:bCs/>
                <w:rtl/>
              </w:rPr>
              <w:t>כבוד ה</w:t>
            </w:r>
            <w:r w:rsidRPr="00834436">
              <w:rPr>
                <w:rFonts w:hint="cs"/>
                <w:rtl/>
              </w:rPr>
              <w:t>שופטת</w:t>
            </w:r>
            <w:r w:rsidRPr="00834436">
              <w:rPr>
                <w:rFonts w:ascii="Arial" w:hAnsi="Arial" w:hint="cs"/>
                <w:b/>
                <w:bCs/>
                <w:rtl/>
              </w:rPr>
              <w:t xml:space="preserve">  </w:t>
            </w:r>
            <w:r w:rsidRPr="00834436">
              <w:rPr>
                <w:rFonts w:hint="cs"/>
                <w:rtl/>
              </w:rPr>
              <w:t>ג'ויה סקפה שפירא</w:t>
            </w:r>
          </w:p>
          <w:p w14:paraId="20F8D08A" w14:textId="77777777" w:rsidR="00D76BE1" w:rsidRPr="00834436" w:rsidRDefault="00D76BE1">
            <w:pPr>
              <w:rPr>
                <w:rtl/>
              </w:rPr>
            </w:pPr>
          </w:p>
          <w:p w14:paraId="0464F0F0" w14:textId="77777777" w:rsidR="00D76BE1" w:rsidRPr="00834436" w:rsidRDefault="00D76BE1">
            <w:pPr>
              <w:jc w:val="both"/>
              <w:rPr>
                <w:rFonts w:ascii="Arial" w:hAnsi="Arial" w:cs="FrankRuehl"/>
                <w:sz w:val="28"/>
                <w:szCs w:val="28"/>
              </w:rPr>
            </w:pPr>
          </w:p>
        </w:tc>
      </w:tr>
      <w:tr w:rsidR="00D76BE1" w:rsidRPr="00834436" w14:paraId="58ADD844" w14:textId="77777777">
        <w:trPr>
          <w:trHeight w:val="355"/>
          <w:jc w:val="center"/>
        </w:trPr>
        <w:tc>
          <w:tcPr>
            <w:tcW w:w="923" w:type="dxa"/>
            <w:tcBorders>
              <w:top w:val="nil"/>
              <w:left w:val="nil"/>
              <w:bottom w:val="nil"/>
              <w:right w:val="nil"/>
            </w:tcBorders>
            <w:shd w:val="clear" w:color="auto" w:fill="auto"/>
          </w:tcPr>
          <w:p w14:paraId="3E60B358" w14:textId="77777777" w:rsidR="00D76BE1" w:rsidRPr="00834436" w:rsidRDefault="00834436">
            <w:pPr>
              <w:jc w:val="both"/>
              <w:rPr>
                <w:rFonts w:ascii="Arial" w:hAnsi="Arial" w:cs="FrankRuehl"/>
                <w:sz w:val="28"/>
                <w:szCs w:val="28"/>
              </w:rPr>
            </w:pPr>
            <w:bookmarkStart w:id="1" w:name="FirstAppellant"/>
            <w:r w:rsidRPr="00834436">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ECD01D3" w14:textId="77777777" w:rsidR="00D76BE1" w:rsidRPr="00834436" w:rsidRDefault="00834436">
            <w:r w:rsidRPr="00834436">
              <w:rPr>
                <w:rFonts w:hint="cs"/>
                <w:rtl/>
              </w:rPr>
              <w:t>מדינת ישראל</w:t>
            </w:r>
          </w:p>
        </w:tc>
        <w:tc>
          <w:tcPr>
            <w:tcW w:w="3771" w:type="dxa"/>
            <w:tcBorders>
              <w:top w:val="nil"/>
              <w:left w:val="nil"/>
              <w:bottom w:val="nil"/>
              <w:right w:val="nil"/>
            </w:tcBorders>
            <w:shd w:val="clear" w:color="auto" w:fill="auto"/>
          </w:tcPr>
          <w:p w14:paraId="39CBC0BD" w14:textId="77777777" w:rsidR="00D76BE1" w:rsidRPr="00834436" w:rsidRDefault="00D76BE1">
            <w:pPr>
              <w:jc w:val="both"/>
              <w:rPr>
                <w:rFonts w:ascii="Arial" w:hAnsi="Arial" w:cs="FrankRuehl"/>
                <w:sz w:val="28"/>
                <w:szCs w:val="28"/>
              </w:rPr>
            </w:pPr>
          </w:p>
        </w:tc>
      </w:tr>
      <w:bookmarkEnd w:id="1"/>
      <w:tr w:rsidR="00D76BE1" w:rsidRPr="00834436" w14:paraId="52D6BD92" w14:textId="77777777">
        <w:trPr>
          <w:trHeight w:val="355"/>
          <w:jc w:val="center"/>
        </w:trPr>
        <w:tc>
          <w:tcPr>
            <w:tcW w:w="923" w:type="dxa"/>
            <w:tcBorders>
              <w:top w:val="nil"/>
              <w:left w:val="nil"/>
              <w:bottom w:val="nil"/>
              <w:right w:val="nil"/>
            </w:tcBorders>
            <w:shd w:val="clear" w:color="auto" w:fill="auto"/>
          </w:tcPr>
          <w:p w14:paraId="204E9F18" w14:textId="77777777" w:rsidR="00D76BE1" w:rsidRPr="00834436" w:rsidRDefault="00D76BE1">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33A0EE6" w14:textId="77777777" w:rsidR="00D76BE1" w:rsidRPr="00834436" w:rsidRDefault="00D76BE1">
            <w:pPr>
              <w:jc w:val="both"/>
              <w:rPr>
                <w:rtl/>
              </w:rPr>
            </w:pPr>
          </w:p>
        </w:tc>
        <w:tc>
          <w:tcPr>
            <w:tcW w:w="3771" w:type="dxa"/>
            <w:tcBorders>
              <w:top w:val="nil"/>
              <w:left w:val="nil"/>
              <w:bottom w:val="nil"/>
              <w:right w:val="nil"/>
            </w:tcBorders>
            <w:shd w:val="clear" w:color="auto" w:fill="auto"/>
          </w:tcPr>
          <w:p w14:paraId="655A435A" w14:textId="77777777" w:rsidR="00D76BE1" w:rsidRPr="00834436" w:rsidRDefault="00834436">
            <w:pPr>
              <w:jc w:val="right"/>
              <w:rPr>
                <w:rFonts w:ascii="Arial" w:hAnsi="Arial" w:cs="FrankRuehl"/>
                <w:sz w:val="28"/>
                <w:szCs w:val="28"/>
                <w:rtl/>
              </w:rPr>
            </w:pPr>
            <w:r w:rsidRPr="00834436">
              <w:rPr>
                <w:rFonts w:ascii="Arial" w:hAnsi="Arial" w:cs="FrankRuehl" w:hint="cs"/>
                <w:sz w:val="28"/>
                <w:szCs w:val="28"/>
                <w:rtl/>
              </w:rPr>
              <w:t>ה</w:t>
            </w:r>
            <w:r w:rsidRPr="00834436">
              <w:rPr>
                <w:rFonts w:hint="cs"/>
                <w:rtl/>
              </w:rPr>
              <w:t>מאשימה</w:t>
            </w:r>
          </w:p>
        </w:tc>
      </w:tr>
      <w:tr w:rsidR="00D76BE1" w:rsidRPr="00834436" w14:paraId="6A076D18" w14:textId="77777777">
        <w:trPr>
          <w:trHeight w:val="355"/>
          <w:jc w:val="center"/>
        </w:trPr>
        <w:tc>
          <w:tcPr>
            <w:tcW w:w="923" w:type="dxa"/>
            <w:tcBorders>
              <w:top w:val="nil"/>
              <w:left w:val="nil"/>
              <w:bottom w:val="nil"/>
              <w:right w:val="nil"/>
            </w:tcBorders>
            <w:shd w:val="clear" w:color="auto" w:fill="auto"/>
          </w:tcPr>
          <w:p w14:paraId="13336DC6" w14:textId="77777777" w:rsidR="00D76BE1" w:rsidRPr="00834436" w:rsidRDefault="00D76BE1">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3706EF57" w14:textId="77777777" w:rsidR="00D76BE1" w:rsidRPr="00834436" w:rsidRDefault="00D76BE1">
            <w:pPr>
              <w:jc w:val="center"/>
              <w:rPr>
                <w:rFonts w:ascii="Arial" w:hAnsi="Arial" w:cs="FrankRuehl"/>
                <w:b/>
                <w:bCs/>
                <w:sz w:val="28"/>
                <w:szCs w:val="28"/>
                <w:rtl/>
              </w:rPr>
            </w:pPr>
          </w:p>
          <w:p w14:paraId="2018AF1B" w14:textId="77777777" w:rsidR="00D76BE1" w:rsidRPr="00834436" w:rsidRDefault="00834436">
            <w:pPr>
              <w:jc w:val="center"/>
              <w:rPr>
                <w:rFonts w:ascii="Arial" w:hAnsi="Arial" w:cs="FrankRuehl"/>
                <w:b/>
                <w:bCs/>
                <w:sz w:val="28"/>
                <w:szCs w:val="28"/>
                <w:rtl/>
              </w:rPr>
            </w:pPr>
            <w:r w:rsidRPr="00834436">
              <w:rPr>
                <w:rFonts w:ascii="Arial" w:hAnsi="Arial" w:cs="FrankRuehl"/>
                <w:b/>
                <w:bCs/>
                <w:sz w:val="28"/>
                <w:szCs w:val="28"/>
                <w:rtl/>
              </w:rPr>
              <w:t>נגד</w:t>
            </w:r>
          </w:p>
          <w:p w14:paraId="6E0251C2" w14:textId="77777777" w:rsidR="00D76BE1" w:rsidRPr="00834436" w:rsidRDefault="00D76BE1">
            <w:pPr>
              <w:jc w:val="both"/>
              <w:rPr>
                <w:rFonts w:ascii="Arial" w:hAnsi="Arial" w:cs="FrankRuehl"/>
                <w:sz w:val="28"/>
                <w:szCs w:val="28"/>
              </w:rPr>
            </w:pPr>
          </w:p>
        </w:tc>
      </w:tr>
      <w:tr w:rsidR="00D76BE1" w:rsidRPr="00834436" w14:paraId="690E3A84" w14:textId="77777777">
        <w:trPr>
          <w:trHeight w:val="355"/>
          <w:jc w:val="center"/>
        </w:trPr>
        <w:tc>
          <w:tcPr>
            <w:tcW w:w="923" w:type="dxa"/>
            <w:tcBorders>
              <w:top w:val="nil"/>
              <w:left w:val="nil"/>
              <w:bottom w:val="nil"/>
              <w:right w:val="nil"/>
            </w:tcBorders>
            <w:shd w:val="clear" w:color="auto" w:fill="auto"/>
          </w:tcPr>
          <w:p w14:paraId="39F12808" w14:textId="77777777" w:rsidR="00D76BE1" w:rsidRPr="00834436" w:rsidRDefault="00D76BE1">
            <w:pPr>
              <w:rPr>
                <w:rFonts w:ascii="Arial" w:hAnsi="Arial" w:cs="FrankRuehl"/>
                <w:sz w:val="28"/>
                <w:szCs w:val="28"/>
                <w:rtl/>
              </w:rPr>
            </w:pPr>
          </w:p>
        </w:tc>
        <w:tc>
          <w:tcPr>
            <w:tcW w:w="4126" w:type="dxa"/>
            <w:tcBorders>
              <w:top w:val="nil"/>
              <w:left w:val="nil"/>
              <w:bottom w:val="nil"/>
              <w:right w:val="nil"/>
            </w:tcBorders>
            <w:shd w:val="clear" w:color="auto" w:fill="auto"/>
          </w:tcPr>
          <w:p w14:paraId="73998D79" w14:textId="77777777" w:rsidR="00D76BE1" w:rsidRPr="00834436" w:rsidRDefault="00834436">
            <w:pPr>
              <w:rPr>
                <w:rtl/>
              </w:rPr>
            </w:pPr>
            <w:r w:rsidRPr="00834436">
              <w:rPr>
                <w:rFonts w:hint="cs"/>
                <w:rtl/>
              </w:rPr>
              <w:t>חמד סוליימה (אחר/נוסף)</w:t>
            </w:r>
          </w:p>
        </w:tc>
        <w:tc>
          <w:tcPr>
            <w:tcW w:w="3771" w:type="dxa"/>
            <w:tcBorders>
              <w:top w:val="nil"/>
              <w:left w:val="nil"/>
              <w:bottom w:val="nil"/>
              <w:right w:val="nil"/>
            </w:tcBorders>
            <w:shd w:val="clear" w:color="auto" w:fill="auto"/>
          </w:tcPr>
          <w:p w14:paraId="64D5619A" w14:textId="77777777" w:rsidR="00D76BE1" w:rsidRPr="00834436" w:rsidRDefault="00D76BE1">
            <w:pPr>
              <w:jc w:val="right"/>
              <w:rPr>
                <w:rFonts w:ascii="Arial" w:hAnsi="Arial" w:cs="FrankRuehl"/>
                <w:sz w:val="28"/>
                <w:szCs w:val="28"/>
              </w:rPr>
            </w:pPr>
          </w:p>
        </w:tc>
      </w:tr>
      <w:tr w:rsidR="00D76BE1" w:rsidRPr="00834436" w14:paraId="1DACC749" w14:textId="77777777">
        <w:trPr>
          <w:trHeight w:val="355"/>
          <w:jc w:val="center"/>
        </w:trPr>
        <w:tc>
          <w:tcPr>
            <w:tcW w:w="923" w:type="dxa"/>
            <w:tcBorders>
              <w:top w:val="nil"/>
              <w:left w:val="nil"/>
              <w:bottom w:val="nil"/>
              <w:right w:val="nil"/>
            </w:tcBorders>
            <w:shd w:val="clear" w:color="auto" w:fill="auto"/>
          </w:tcPr>
          <w:p w14:paraId="61E7D788" w14:textId="77777777" w:rsidR="00D76BE1" w:rsidRPr="00834436" w:rsidRDefault="00D76BE1">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64466BB" w14:textId="77777777" w:rsidR="00D76BE1" w:rsidRPr="00834436" w:rsidRDefault="00D76BE1">
            <w:pPr>
              <w:jc w:val="both"/>
              <w:rPr>
                <w:rtl/>
              </w:rPr>
            </w:pPr>
          </w:p>
        </w:tc>
        <w:tc>
          <w:tcPr>
            <w:tcW w:w="3771" w:type="dxa"/>
            <w:tcBorders>
              <w:top w:val="nil"/>
              <w:left w:val="nil"/>
              <w:bottom w:val="nil"/>
              <w:right w:val="nil"/>
            </w:tcBorders>
            <w:shd w:val="clear" w:color="auto" w:fill="auto"/>
          </w:tcPr>
          <w:p w14:paraId="5925E41B" w14:textId="77777777" w:rsidR="00D76BE1" w:rsidRPr="00834436" w:rsidRDefault="00834436">
            <w:pPr>
              <w:jc w:val="right"/>
              <w:rPr>
                <w:rFonts w:ascii="Arial" w:hAnsi="Arial" w:cs="FrankRuehl"/>
                <w:sz w:val="28"/>
                <w:szCs w:val="28"/>
              </w:rPr>
            </w:pPr>
            <w:r w:rsidRPr="00834436">
              <w:rPr>
                <w:rFonts w:ascii="Arial" w:hAnsi="Arial" w:cs="FrankRuehl" w:hint="cs"/>
                <w:sz w:val="28"/>
                <w:szCs w:val="28"/>
                <w:rtl/>
              </w:rPr>
              <w:t>הנאשם</w:t>
            </w:r>
          </w:p>
        </w:tc>
      </w:tr>
      <w:tr w:rsidR="00D76BE1" w14:paraId="4AD0FBEB" w14:textId="77777777">
        <w:trPr>
          <w:trHeight w:val="355"/>
          <w:jc w:val="center"/>
        </w:trPr>
        <w:tc>
          <w:tcPr>
            <w:tcW w:w="8820" w:type="dxa"/>
            <w:gridSpan w:val="3"/>
            <w:tcBorders>
              <w:top w:val="nil"/>
              <w:left w:val="nil"/>
              <w:bottom w:val="nil"/>
              <w:right w:val="nil"/>
            </w:tcBorders>
            <w:shd w:val="clear" w:color="auto" w:fill="auto"/>
          </w:tcPr>
          <w:p w14:paraId="08660F71" w14:textId="77777777" w:rsidR="008D5976" w:rsidRDefault="008D5976" w:rsidP="00834436">
            <w:pPr>
              <w:jc w:val="center"/>
              <w:rPr>
                <w:rFonts w:ascii="Arial" w:hAnsi="Arial" w:cs="FrankRuehl"/>
                <w:sz w:val="32"/>
                <w:szCs w:val="32"/>
                <w:rtl/>
              </w:rPr>
            </w:pPr>
            <w:bookmarkStart w:id="2" w:name="PsakDin" w:colFirst="0" w:colLast="0"/>
            <w:bookmarkStart w:id="3" w:name="LawTable"/>
            <w:bookmarkEnd w:id="0"/>
            <w:bookmarkEnd w:id="3"/>
          </w:p>
          <w:p w14:paraId="4E6B264F" w14:textId="77777777" w:rsidR="008D5976" w:rsidRPr="008D5976" w:rsidRDefault="008D5976" w:rsidP="008D5976">
            <w:pPr>
              <w:spacing w:after="120" w:line="240" w:lineRule="exact"/>
              <w:ind w:left="283" w:hanging="283"/>
              <w:jc w:val="both"/>
              <w:rPr>
                <w:rFonts w:ascii="FrankRuehl" w:hAnsi="FrankRuehl" w:cs="FrankRuehl"/>
                <w:rtl/>
              </w:rPr>
            </w:pPr>
            <w:r w:rsidRPr="008D5976">
              <w:rPr>
                <w:rFonts w:ascii="FrankRuehl" w:hAnsi="FrankRuehl" w:cs="FrankRuehl"/>
                <w:rtl/>
              </w:rPr>
              <w:t xml:space="preserve">חקיקה שאוזכרה: </w:t>
            </w:r>
          </w:p>
          <w:p w14:paraId="7FA990BE" w14:textId="77777777" w:rsidR="008D5976" w:rsidRPr="008D5976" w:rsidRDefault="008D5976" w:rsidP="008D5976">
            <w:pPr>
              <w:spacing w:after="120" w:line="240" w:lineRule="exact"/>
              <w:ind w:left="283" w:hanging="283"/>
              <w:jc w:val="both"/>
              <w:rPr>
                <w:rFonts w:ascii="FrankRuehl" w:hAnsi="FrankRuehl" w:cs="FrankRuehl"/>
                <w:rtl/>
              </w:rPr>
            </w:pPr>
            <w:hyperlink r:id="rId7" w:history="1">
              <w:r w:rsidRPr="008D5976">
                <w:rPr>
                  <w:rFonts w:ascii="FrankRuehl" w:hAnsi="FrankRuehl" w:cs="FrankRuehl"/>
                  <w:color w:val="0000FF"/>
                  <w:u w:val="single"/>
                  <w:rtl/>
                </w:rPr>
                <w:t>פקודת הסמים המסוכנים [נוסח חדש], תשל"ג-1973</w:t>
              </w:r>
            </w:hyperlink>
          </w:p>
          <w:p w14:paraId="2722C661" w14:textId="77777777" w:rsidR="008D5976" w:rsidRPr="008D5976" w:rsidRDefault="008D5976" w:rsidP="008D5976">
            <w:pPr>
              <w:spacing w:after="120" w:line="240" w:lineRule="exact"/>
              <w:ind w:left="283" w:hanging="283"/>
              <w:jc w:val="both"/>
              <w:rPr>
                <w:rFonts w:ascii="FrankRuehl" w:hAnsi="FrankRuehl" w:cs="FrankRuehl"/>
                <w:rtl/>
              </w:rPr>
            </w:pPr>
          </w:p>
          <w:p w14:paraId="7C214CBA" w14:textId="77777777" w:rsidR="00834436" w:rsidRPr="00834436" w:rsidRDefault="00834436" w:rsidP="00834436">
            <w:pPr>
              <w:jc w:val="center"/>
              <w:rPr>
                <w:rFonts w:ascii="Arial" w:hAnsi="Arial" w:cs="FrankRuehl"/>
                <w:b/>
                <w:bCs/>
                <w:sz w:val="32"/>
                <w:szCs w:val="32"/>
                <w:u w:val="single"/>
                <w:rtl/>
              </w:rPr>
            </w:pPr>
            <w:bookmarkStart w:id="4" w:name="LawTable_End"/>
            <w:bookmarkEnd w:id="4"/>
            <w:r w:rsidRPr="00834436">
              <w:rPr>
                <w:rFonts w:ascii="Arial" w:hAnsi="Arial" w:cs="FrankRuehl"/>
                <w:b/>
                <w:bCs/>
                <w:sz w:val="32"/>
                <w:szCs w:val="32"/>
                <w:u w:val="single"/>
                <w:rtl/>
              </w:rPr>
              <w:t>גזר דין</w:t>
            </w:r>
          </w:p>
          <w:p w14:paraId="24898571" w14:textId="77777777" w:rsidR="00D76BE1" w:rsidRPr="00834436" w:rsidRDefault="00D76BE1" w:rsidP="00834436">
            <w:pPr>
              <w:jc w:val="center"/>
              <w:rPr>
                <w:rFonts w:ascii="Arial" w:hAnsi="Arial" w:cs="FrankRuehl"/>
                <w:bCs/>
                <w:sz w:val="32"/>
                <w:szCs w:val="32"/>
                <w:u w:val="single"/>
                <w:rtl/>
              </w:rPr>
            </w:pPr>
          </w:p>
        </w:tc>
      </w:tr>
      <w:bookmarkEnd w:id="2"/>
    </w:tbl>
    <w:p w14:paraId="4E5D453B" w14:textId="77777777" w:rsidR="00D76BE1" w:rsidRDefault="00D76BE1">
      <w:pPr>
        <w:jc w:val="both"/>
        <w:rPr>
          <w:rFonts w:ascii="Arial" w:hAnsi="Arial"/>
          <w:rtl/>
        </w:rPr>
      </w:pPr>
    </w:p>
    <w:p w14:paraId="6B35C09F" w14:textId="77777777" w:rsidR="00D76BE1" w:rsidRDefault="00834436">
      <w:pPr>
        <w:spacing w:line="360" w:lineRule="auto"/>
        <w:jc w:val="both"/>
        <w:rPr>
          <w:rFonts w:ascii="Arial" w:hAnsi="Arial"/>
          <w:b/>
          <w:bCs/>
          <w:u w:val="single"/>
          <w:rtl/>
        </w:rPr>
      </w:pPr>
      <w:r>
        <w:rPr>
          <w:rFonts w:ascii="Arial" w:hAnsi="Arial" w:hint="cs"/>
          <w:b/>
          <w:bCs/>
          <w:u w:val="single"/>
          <w:rtl/>
        </w:rPr>
        <w:t>כללי</w:t>
      </w:r>
    </w:p>
    <w:p w14:paraId="082B8BF3" w14:textId="77777777" w:rsidR="00D76BE1" w:rsidRDefault="00834436">
      <w:pPr>
        <w:pStyle w:val="ListParagraph"/>
        <w:numPr>
          <w:ilvl w:val="0"/>
          <w:numId w:val="1"/>
        </w:numPr>
        <w:spacing w:line="360" w:lineRule="auto"/>
        <w:ind w:hanging="720"/>
        <w:jc w:val="both"/>
      </w:pPr>
      <w:bookmarkStart w:id="5" w:name="ABSTRACT_START"/>
      <w:bookmarkEnd w:id="5"/>
      <w:r>
        <w:rPr>
          <w:rFonts w:hint="cs"/>
          <w:rtl/>
        </w:rPr>
        <w:t>הנאשם הורשע, על פי הודאתו, במסגרת הסדר טיעון במסגרתו תוקן כתב האישום, בשלוש עבירות של סחר בסם מסוכן ובעבירה אחת של סיוע בסחר מסוכן. לא נערך הסדר לעניין העונש.</w:t>
      </w:r>
    </w:p>
    <w:p w14:paraId="09A4AA3E" w14:textId="77777777" w:rsidR="00D76BE1" w:rsidRDefault="00D76BE1">
      <w:pPr>
        <w:pStyle w:val="ListParagraph"/>
        <w:spacing w:line="360" w:lineRule="auto"/>
        <w:jc w:val="both"/>
      </w:pPr>
      <w:bookmarkStart w:id="6" w:name="ABSTRACT_END"/>
      <w:bookmarkEnd w:id="6"/>
    </w:p>
    <w:p w14:paraId="0D23D283" w14:textId="77777777" w:rsidR="00D76BE1" w:rsidRDefault="00834436">
      <w:pPr>
        <w:pStyle w:val="ListParagraph"/>
        <w:numPr>
          <w:ilvl w:val="0"/>
          <w:numId w:val="1"/>
        </w:numPr>
        <w:spacing w:line="360" w:lineRule="auto"/>
        <w:ind w:hanging="720"/>
        <w:jc w:val="both"/>
      </w:pPr>
      <w:r>
        <w:rPr>
          <w:rFonts w:hint="cs"/>
          <w:rtl/>
        </w:rPr>
        <w:t xml:space="preserve">על פי עובדות כתב האישום המתוקן, ביום 18.2.15, סייע הנאשם לאחר למכור לסוכן משטרתי סמוי סם מסוכן מסוג חשיש במשקל 3.52 גרם נטו תמורת 200 ₪. ביום 24.2.15, מכר הנאשם לסוכן סם מסוכן מסוג חשיש במשקל 3.01 גרם נטו תמורת 200 ₪ וביום 4.3.15, מכר לסוכן סם מסוכן מסוג חשיש במשקל 6.8 גרם נטו תמורת 500 ₪. </w:t>
      </w:r>
    </w:p>
    <w:p w14:paraId="324F91BB" w14:textId="77777777" w:rsidR="00D76BE1" w:rsidRDefault="00D76BE1">
      <w:pPr>
        <w:pStyle w:val="ListParagraph"/>
        <w:spacing w:line="360" w:lineRule="auto"/>
        <w:jc w:val="both"/>
      </w:pPr>
    </w:p>
    <w:p w14:paraId="319677DE" w14:textId="77777777" w:rsidR="00D76BE1" w:rsidRDefault="00834436">
      <w:pPr>
        <w:pStyle w:val="ListParagraph"/>
        <w:numPr>
          <w:ilvl w:val="0"/>
          <w:numId w:val="1"/>
        </w:numPr>
        <w:spacing w:line="360" w:lineRule="auto"/>
        <w:ind w:hanging="720"/>
        <w:jc w:val="both"/>
      </w:pPr>
      <w:r>
        <w:rPr>
          <w:rFonts w:hint="cs"/>
          <w:rtl/>
        </w:rPr>
        <w:t xml:space="preserve">הנאשם בן 22 ואין לו הרשעות קודמות. </w:t>
      </w:r>
      <w:r>
        <w:rPr>
          <w:rFonts w:hint="cs"/>
          <w:rtl/>
        </w:rPr>
        <w:tab/>
      </w:r>
    </w:p>
    <w:p w14:paraId="74815DAE" w14:textId="77777777" w:rsidR="00D76BE1" w:rsidRDefault="00D76BE1">
      <w:pPr>
        <w:pStyle w:val="ListParagraph"/>
        <w:spacing w:line="360" w:lineRule="auto"/>
        <w:jc w:val="both"/>
      </w:pPr>
    </w:p>
    <w:p w14:paraId="21F3DAD8" w14:textId="77777777" w:rsidR="00D76BE1" w:rsidRDefault="00834436">
      <w:pPr>
        <w:pStyle w:val="ListParagraph"/>
        <w:numPr>
          <w:ilvl w:val="0"/>
          <w:numId w:val="1"/>
        </w:numPr>
        <w:spacing w:line="360" w:lineRule="auto"/>
        <w:ind w:hanging="720"/>
        <w:jc w:val="both"/>
      </w:pPr>
      <w:r>
        <w:rPr>
          <w:rFonts w:hint="cs"/>
          <w:rtl/>
        </w:rPr>
        <w:t xml:space="preserve">תסקיר המבחן שהוגש בעניינו של הנאשם מתאר כי הנאשם בן למשפחה המונה 9 ילדים, סיים 9 שנות לימוד והפסיק לימודיו על מנת לסייע בפרנסת המשפחה ובמימון צרכיו. </w:t>
      </w:r>
      <w:r>
        <w:rPr>
          <w:rFonts w:hint="cs"/>
          <w:rtl/>
        </w:rPr>
        <w:lastRenderedPageBreak/>
        <w:t xml:space="preserve">הנאשם עבד במשך מספר שנים אך התחבר לחברה שולית והחל להשתמש בסמים בתדירות גבוהה בגיל 19. בעקבות מעצרו, הנאשם הפסיק להשתמש בסמים והוא מוסר בדיקות שתן נקיות מאז מעצרו. התסקיר מתאר כי הנאשם נטל אחריות על מעשיו והסביר אותם בכניעה ללחץ של אחיו שהשתחרר מבית הסוהר. קצינת המבחן התרשמה כי החרטה שהביע הנאשם כנה וכי ההליך המשפטי חידד עבורו את האבחנה בין מותר לאסור והיווה עבורו גורם מרתיע. עוד תואר בתסקיר כי הנאשם השתתף בהצלחה בקבוצה של שירות המבחן לעצורי בית ושם לעצמו למטרה ללמוד גבולות לאחר שהבין והפנים את הנסיבות שהובילו למעצרו עד היום. שירות המבחן התרשם עוד, כי הנאשם הסתייע בהליך השיקומי ועשה ככל יכולתו כדי להצליח בו. שירות המבחן עמד על מאפיינים באישיותו של הנאשם המהווים גורמי סיכון, אך סבור כי הגבולות שהציב ההליך המשפטי נותנים פתח לתקווה כי הנאשם אכן עלה על דרך חדשה. שירות המבחן המליץ להימנע מהטלת מאסר בפועל כדי למנוע הדרדרות במצבו של הנאשם ולמנוע פגיעה בהליך השיקומי שעבר, והמליץ על הטלת מאסר בעבודות שירות, מאסר על תנאי וצו מבחן למשך שנה. </w:t>
      </w:r>
    </w:p>
    <w:p w14:paraId="231F430C" w14:textId="77777777" w:rsidR="00D76BE1" w:rsidRDefault="00D76BE1">
      <w:pPr>
        <w:pStyle w:val="ListParagraph"/>
        <w:spacing w:line="360" w:lineRule="auto"/>
        <w:jc w:val="both"/>
      </w:pPr>
    </w:p>
    <w:p w14:paraId="015BEE24" w14:textId="77777777" w:rsidR="00D76BE1" w:rsidRDefault="00834436">
      <w:pPr>
        <w:pStyle w:val="ListParagraph"/>
        <w:numPr>
          <w:ilvl w:val="0"/>
          <w:numId w:val="1"/>
        </w:numPr>
        <w:spacing w:line="360" w:lineRule="auto"/>
        <w:ind w:hanging="720"/>
        <w:jc w:val="both"/>
      </w:pPr>
      <w:r>
        <w:rPr>
          <w:rFonts w:hint="cs"/>
          <w:rtl/>
        </w:rPr>
        <w:t xml:space="preserve">המאשימה עתרה  להטיל על הנאשם עונש של מאסר בפועל, תוך קביעת מתחם עונש שבין         3-6 חודשים ביחס לאישום הראשון, וכן מתחם עונש שבין 6-12 חודשים לכל אחד מהאישומים האחרים וכן ביקשה לגזור על הנאשם מאסר על תנאי, קנס ופסילה מלקבל רישיון נהיגה. המאשימה הדגישה בטיעוניה את הנסיבות שבהן בוצעו העבירות, את העובדה כי מדובר במספר אירועים של סחר בסמים, את חלקו המשמעותי של הנאשם בביצוע העבירה שבאישום הראשון וכן את התנהלות הנאשם כסוחר סמים לאחר שהסוכן הלין בפניו על כמויות הסם שקיבל בעסקה. עוד הדגישה המאשימה את הנגישות הרבה של הנאשם לסמים אותם סיפק בתוך פרקי זמן קצרים לאחר יצירת קשר עם הסוכן. </w:t>
      </w:r>
    </w:p>
    <w:p w14:paraId="3ECB9932" w14:textId="77777777" w:rsidR="00D76BE1" w:rsidRDefault="00D76BE1">
      <w:pPr>
        <w:pStyle w:val="ListParagraph"/>
        <w:spacing w:line="360" w:lineRule="auto"/>
        <w:jc w:val="both"/>
      </w:pPr>
    </w:p>
    <w:p w14:paraId="23C0DCE6" w14:textId="77777777" w:rsidR="00D76BE1" w:rsidRDefault="00834436">
      <w:pPr>
        <w:pStyle w:val="ListParagraph"/>
        <w:numPr>
          <w:ilvl w:val="0"/>
          <w:numId w:val="1"/>
        </w:numPr>
        <w:spacing w:line="360" w:lineRule="auto"/>
        <w:ind w:hanging="720"/>
        <w:jc w:val="both"/>
      </w:pPr>
      <w:r>
        <w:rPr>
          <w:rFonts w:hint="cs"/>
          <w:rtl/>
        </w:rPr>
        <w:t xml:space="preserve">ב"כ הנאשם התייחס לתסקיר המבחן, וטען כי יש לאמץ את המלצת שירות המבחן תוך שהדגיש כי הנאשם עבר כברת דרך של שינוי ושיקום, ואת חרטתו של הנאשם על מעשיו כן את נטילת האחריות על ידי הנאשם ואת העובדה כי הנאשם ביצע את העבירות בצלו של אחיו שעזב את הבית ועבר להתגורר בעיר אחרת. </w:t>
      </w:r>
    </w:p>
    <w:p w14:paraId="38E7184E" w14:textId="77777777" w:rsidR="00D76BE1" w:rsidRDefault="00D76BE1">
      <w:pPr>
        <w:pStyle w:val="ListParagraph"/>
        <w:spacing w:line="360" w:lineRule="auto"/>
        <w:jc w:val="both"/>
      </w:pPr>
    </w:p>
    <w:p w14:paraId="149C3D62" w14:textId="77777777" w:rsidR="00D76BE1" w:rsidRDefault="00834436">
      <w:pPr>
        <w:pStyle w:val="ListParagraph"/>
        <w:numPr>
          <w:ilvl w:val="0"/>
          <w:numId w:val="1"/>
        </w:numPr>
        <w:spacing w:line="360" w:lineRule="auto"/>
        <w:ind w:hanging="720"/>
        <w:jc w:val="both"/>
        <w:rPr>
          <w:rFonts w:hint="cs"/>
        </w:rPr>
      </w:pPr>
      <w:r>
        <w:rPr>
          <w:rFonts w:hint="cs"/>
          <w:rtl/>
        </w:rPr>
        <w:t>הנאשם בדברו האחרון אמר כי טעה במעשיו ונגרר לאחר ששמע בקול אחיו. לאחר שחווה טעמו של בית סוהר, הבטיח כי לא יחזור על המעשים ואמר כי ההליך הפלילי, המעצר ומעצר הבית, הביאו אותו לכלל הבנה כי מעשיו היו שגויים.</w:t>
      </w:r>
    </w:p>
    <w:p w14:paraId="48EB924C" w14:textId="77777777" w:rsidR="008D5976" w:rsidRDefault="008D5976">
      <w:pPr>
        <w:spacing w:line="360" w:lineRule="auto"/>
        <w:jc w:val="both"/>
        <w:rPr>
          <w:rFonts w:hint="cs"/>
          <w:b/>
          <w:bCs/>
          <w:u w:val="single"/>
          <w:rtl/>
        </w:rPr>
      </w:pPr>
    </w:p>
    <w:p w14:paraId="10584235" w14:textId="77777777" w:rsidR="008D5976" w:rsidRDefault="008D5976">
      <w:pPr>
        <w:spacing w:line="360" w:lineRule="auto"/>
        <w:jc w:val="both"/>
        <w:rPr>
          <w:rFonts w:hint="cs"/>
          <w:b/>
          <w:bCs/>
          <w:u w:val="single"/>
          <w:rtl/>
        </w:rPr>
      </w:pPr>
    </w:p>
    <w:p w14:paraId="24F0A181" w14:textId="77777777" w:rsidR="008D5976" w:rsidRDefault="008D5976">
      <w:pPr>
        <w:spacing w:line="360" w:lineRule="auto"/>
        <w:jc w:val="both"/>
        <w:rPr>
          <w:rFonts w:hint="cs"/>
          <w:b/>
          <w:bCs/>
          <w:u w:val="single"/>
          <w:rtl/>
        </w:rPr>
      </w:pPr>
    </w:p>
    <w:p w14:paraId="3E7098D2" w14:textId="77777777" w:rsidR="00D76BE1" w:rsidRDefault="00834436">
      <w:pPr>
        <w:spacing w:line="360" w:lineRule="auto"/>
        <w:jc w:val="both"/>
        <w:rPr>
          <w:b/>
          <w:bCs/>
          <w:u w:val="single"/>
        </w:rPr>
      </w:pPr>
      <w:r>
        <w:rPr>
          <w:rFonts w:hint="cs"/>
          <w:b/>
          <w:bCs/>
          <w:u w:val="single"/>
          <w:rtl/>
        </w:rPr>
        <w:lastRenderedPageBreak/>
        <w:t>קביעת מתחם העונש ההולם</w:t>
      </w:r>
    </w:p>
    <w:p w14:paraId="00A38AA8" w14:textId="77777777" w:rsidR="00D76BE1" w:rsidRDefault="00834436">
      <w:pPr>
        <w:pStyle w:val="ListParagraph"/>
        <w:numPr>
          <w:ilvl w:val="0"/>
          <w:numId w:val="1"/>
        </w:numPr>
        <w:spacing w:line="360" w:lineRule="auto"/>
        <w:ind w:hanging="720"/>
        <w:jc w:val="both"/>
      </w:pPr>
      <w:r>
        <w:rPr>
          <w:rFonts w:hint="cs"/>
          <w:rtl/>
        </w:rPr>
        <w:t xml:space="preserve">הערך המוגן בעבירות הסמים הוא הגנה על הציבור מפני הנזקים החברתיים הישירים והעקיפים אשר נגרמים כתוצאה משימוש בסמים, לרבות ביצוע עבירות נלוות על ידי המשתמשים בסמים כדי לממן את צריכת הסם. השימוש בסמים אינו פוגע רק פגיעה פיזית ונפשית במשתמש עצמו, אלא יש לו השלכות פוגעות גם על  בני משפחותיהם של המשתמשים, על סביבתם הקרובה ולבסוף יש בו פגיעה אף בחברה כולה (ראו </w:t>
      </w:r>
      <w:hyperlink r:id="rId8" w:history="1">
        <w:r w:rsidRPr="00834436">
          <w:rPr>
            <w:rStyle w:val="Hyperlink"/>
            <w:rFonts w:hint="eastAsia"/>
            <w:rtl/>
          </w:rPr>
          <w:t>ע</w:t>
        </w:r>
        <w:r w:rsidRPr="00834436">
          <w:rPr>
            <w:rStyle w:val="Hyperlink"/>
            <w:rtl/>
          </w:rPr>
          <w:t>"פ 1635/14</w:t>
        </w:r>
      </w:hyperlink>
      <w:r>
        <w:rPr>
          <w:rFonts w:hint="cs"/>
          <w:rtl/>
        </w:rPr>
        <w:t xml:space="preserve"> </w:t>
      </w:r>
      <w:r>
        <w:rPr>
          <w:rFonts w:hint="cs"/>
          <w:b/>
          <w:bCs/>
          <w:rtl/>
        </w:rPr>
        <w:t>שי</w:t>
      </w:r>
      <w:r>
        <w:rPr>
          <w:rFonts w:hint="cs"/>
          <w:rtl/>
        </w:rPr>
        <w:t xml:space="preserve"> </w:t>
      </w:r>
      <w:r>
        <w:rPr>
          <w:rFonts w:hint="cs"/>
          <w:b/>
          <w:bCs/>
          <w:rtl/>
        </w:rPr>
        <w:t xml:space="preserve">יהודה נ' מדינת ישראל </w:t>
      </w:r>
      <w:r>
        <w:rPr>
          <w:rFonts w:hint="cs"/>
          <w:rtl/>
        </w:rPr>
        <w:t xml:space="preserve">[פורסם בנבו 21.8.14]).  </w:t>
      </w:r>
    </w:p>
    <w:p w14:paraId="1D0B04C2" w14:textId="77777777" w:rsidR="00D76BE1" w:rsidRDefault="00D76BE1">
      <w:pPr>
        <w:pStyle w:val="ListParagraph"/>
        <w:spacing w:line="360" w:lineRule="auto"/>
        <w:jc w:val="both"/>
      </w:pPr>
    </w:p>
    <w:p w14:paraId="4AC24305" w14:textId="77777777" w:rsidR="00D76BE1" w:rsidRDefault="00834436">
      <w:pPr>
        <w:pStyle w:val="ListParagraph"/>
        <w:numPr>
          <w:ilvl w:val="0"/>
          <w:numId w:val="1"/>
        </w:numPr>
        <w:spacing w:line="360" w:lineRule="auto"/>
        <w:ind w:hanging="720"/>
        <w:jc w:val="both"/>
      </w:pPr>
      <w:r>
        <w:rPr>
          <w:rFonts w:hint="cs"/>
          <w:rtl/>
        </w:rPr>
        <w:t>מעבר לפגיעה בערכים המוגנים, אשקול בעת קביעת מתחם העונש ההולם גם את הנתונים הבאים:</w:t>
      </w:r>
    </w:p>
    <w:p w14:paraId="1991F32B" w14:textId="77777777" w:rsidR="00D76BE1" w:rsidRDefault="00834436">
      <w:pPr>
        <w:pStyle w:val="ListParagraph"/>
        <w:numPr>
          <w:ilvl w:val="0"/>
          <w:numId w:val="3"/>
        </w:numPr>
        <w:spacing w:line="360" w:lineRule="auto"/>
        <w:jc w:val="both"/>
      </w:pPr>
      <w:r>
        <w:rPr>
          <w:rFonts w:hint="cs"/>
          <w:rtl/>
        </w:rPr>
        <w:t xml:space="preserve">סוג הסם וכמותו </w:t>
      </w:r>
      <w:r>
        <w:rPr>
          <w:rtl/>
        </w:rPr>
        <w:t>–</w:t>
      </w:r>
      <w:r>
        <w:rPr>
          <w:rFonts w:hint="cs"/>
          <w:rtl/>
        </w:rPr>
        <w:t xml:space="preserve"> מדובר בסם מסוכן מסוג חשיש שאינו נמנה על קבוצת הסמים "הקשים" ובמכירה של כמויות קטנות של כ- 3.5 </w:t>
      </w:r>
      <w:r>
        <w:rPr>
          <w:rtl/>
        </w:rPr>
        <w:t>–</w:t>
      </w:r>
      <w:r>
        <w:rPr>
          <w:rFonts w:hint="cs"/>
          <w:rtl/>
        </w:rPr>
        <w:t xml:space="preserve"> 3.5 גרם בכל עסקה. </w:t>
      </w:r>
    </w:p>
    <w:p w14:paraId="0F2A7A69" w14:textId="77777777" w:rsidR="00D76BE1" w:rsidRDefault="00D76BE1">
      <w:pPr>
        <w:pStyle w:val="ListParagraph"/>
        <w:spacing w:line="360" w:lineRule="auto"/>
        <w:ind w:left="1440"/>
        <w:jc w:val="both"/>
      </w:pPr>
    </w:p>
    <w:p w14:paraId="6BA6D40D" w14:textId="77777777" w:rsidR="00D76BE1" w:rsidRDefault="00834436">
      <w:pPr>
        <w:pStyle w:val="ListParagraph"/>
        <w:numPr>
          <w:ilvl w:val="0"/>
          <w:numId w:val="3"/>
        </w:numPr>
        <w:spacing w:line="360" w:lineRule="auto"/>
        <w:jc w:val="both"/>
      </w:pPr>
      <w:r>
        <w:rPr>
          <w:rFonts w:hint="cs"/>
          <w:rtl/>
        </w:rPr>
        <w:t xml:space="preserve">חלקו של הנאשם בכל אחד מהאירועים </w:t>
      </w:r>
      <w:r>
        <w:rPr>
          <w:rtl/>
        </w:rPr>
        <w:t>–</w:t>
      </w:r>
      <w:r>
        <w:rPr>
          <w:rFonts w:hint="cs"/>
          <w:rtl/>
        </w:rPr>
        <w:t xml:space="preserve"> באירוע הראשון הנאשם היה מסייע בלבד, וכאן המקום לציין כי האחר שלו סייע הנאשם (על פי דברי הסניגור מדובר באחיו של הנאשם) לא נתפס ולא הועמד לדין, אם כי חלקו כמסייע לא היה שולי ותפקידו היה משמעותי: לקבל לידיו את הכסף ולהעביר לסוכן את הסם. בשלושת האירועים האחרים עבר הנאשם ל"קדמת הבמה" וביצע את העסקאות בעצמו. </w:t>
      </w:r>
    </w:p>
    <w:p w14:paraId="7A21E29E" w14:textId="77777777" w:rsidR="00D76BE1" w:rsidRDefault="00D76BE1">
      <w:pPr>
        <w:pStyle w:val="ListParagraph"/>
        <w:spacing w:line="360" w:lineRule="auto"/>
        <w:ind w:left="1440"/>
        <w:jc w:val="both"/>
      </w:pPr>
    </w:p>
    <w:p w14:paraId="00FFB6D2" w14:textId="77777777" w:rsidR="00D76BE1" w:rsidRDefault="00834436">
      <w:pPr>
        <w:pStyle w:val="ListParagraph"/>
        <w:numPr>
          <w:ilvl w:val="0"/>
          <w:numId w:val="3"/>
        </w:numPr>
        <w:spacing w:line="360" w:lineRule="auto"/>
        <w:jc w:val="both"/>
      </w:pPr>
      <w:r>
        <w:rPr>
          <w:rFonts w:hint="cs"/>
          <w:rtl/>
        </w:rPr>
        <w:t xml:space="preserve">מידת התכנון- אין מדובר בעבירות שבוצעו באופן ספונטאני אלא במכירות מתוכננות, שקדמו להן שיחות טלפון עם הסוכן, ולצורך ביצוע העבירה שבאישום הראשון נדרש הנאשם גם לביצוע התיאומים עם האחר. המועדים שבהם בוצעו העסקאות, ופרקי הזמן הקצרים שנדרשו לנאשם מהרגע שבו הסוכן פנה אליו ועד שמכר לו את הסמים, מלמדים על נגישות גבוהה לסמים. המתואר באישומים השלישי והרביעי לפיו הנאשם "פיצה" את הסוכן בגין העסקה המתוארת באישום השני, מלמד על כך שגם הוא ראה את עצמו כמי שמנהל עסק ומודע לצורך להשביע את רצון הלקוחות.  </w:t>
      </w:r>
    </w:p>
    <w:p w14:paraId="6D154DA9" w14:textId="77777777" w:rsidR="00D76BE1" w:rsidRDefault="00D76BE1">
      <w:pPr>
        <w:pStyle w:val="ListParagraph"/>
        <w:spacing w:line="360" w:lineRule="auto"/>
        <w:ind w:left="1440"/>
        <w:jc w:val="both"/>
      </w:pPr>
    </w:p>
    <w:p w14:paraId="65512F26" w14:textId="77777777" w:rsidR="00D76BE1" w:rsidRDefault="00834436">
      <w:pPr>
        <w:pStyle w:val="ListParagraph"/>
        <w:numPr>
          <w:ilvl w:val="0"/>
          <w:numId w:val="3"/>
        </w:numPr>
        <w:spacing w:line="360" w:lineRule="auto"/>
        <w:jc w:val="both"/>
        <w:rPr>
          <w:rtl/>
        </w:rPr>
      </w:pPr>
      <w:r>
        <w:rPr>
          <w:rFonts w:hint="cs"/>
          <w:rtl/>
        </w:rPr>
        <w:t xml:space="preserve">הנזק הצפוי מביצוע עבירות של סחר בסמים הוא פגיעה בציבור משתמשי הסמים. במקרה שבהם הסמים נמכרים לסוכן משטרתי, מובן כי הנזק קטן יותר שכן הסמים אינם מופצים לציבור. מידת הפגיעה, אם כן, בערך המוגן על ידי העבירה, היא בינונית. </w:t>
      </w:r>
    </w:p>
    <w:p w14:paraId="768AB99D" w14:textId="77777777" w:rsidR="00D76BE1" w:rsidRDefault="00D76BE1">
      <w:pPr>
        <w:rPr>
          <w:rFonts w:cs="Times New Roman"/>
        </w:rPr>
      </w:pPr>
    </w:p>
    <w:p w14:paraId="42FFC30E" w14:textId="77777777" w:rsidR="00D76BE1" w:rsidRDefault="00834436">
      <w:pPr>
        <w:pStyle w:val="ListParagraph"/>
        <w:numPr>
          <w:ilvl w:val="0"/>
          <w:numId w:val="1"/>
        </w:numPr>
        <w:spacing w:line="360" w:lineRule="auto"/>
        <w:ind w:hanging="720"/>
        <w:jc w:val="both"/>
      </w:pPr>
      <w:r>
        <w:rPr>
          <w:rFonts w:hint="cs"/>
          <w:rtl/>
        </w:rPr>
        <w:t>אשר לפסיקה הנוהגת מצאתי כרלוונטיים את פסקי הדין הבאים: ב</w:t>
      </w:r>
      <w:hyperlink r:id="rId9" w:history="1">
        <w:r w:rsidRPr="00834436">
          <w:rPr>
            <w:rStyle w:val="Hyperlink"/>
            <w:rtl/>
          </w:rPr>
          <w:t>רע"פ 7996/12</w:t>
        </w:r>
      </w:hyperlink>
      <w:r>
        <w:t xml:space="preserve"> </w:t>
      </w:r>
      <w:r>
        <w:rPr>
          <w:b/>
          <w:bCs/>
          <w:rtl/>
        </w:rPr>
        <w:t>יוסף</w:t>
      </w:r>
      <w:r>
        <w:rPr>
          <w:b/>
          <w:bCs/>
        </w:rPr>
        <w:t xml:space="preserve"> </w:t>
      </w:r>
      <w:r>
        <w:rPr>
          <w:b/>
          <w:bCs/>
          <w:rtl/>
        </w:rPr>
        <w:t>נ</w:t>
      </w:r>
      <w:r>
        <w:rPr>
          <w:rFonts w:hint="cs"/>
          <w:b/>
          <w:bCs/>
          <w:rtl/>
        </w:rPr>
        <w:t xml:space="preserve">' </w:t>
      </w:r>
      <w:r>
        <w:rPr>
          <w:b/>
          <w:bCs/>
          <w:rtl/>
        </w:rPr>
        <w:t>מדינת</w:t>
      </w:r>
      <w:r>
        <w:rPr>
          <w:b/>
          <w:bCs/>
        </w:rPr>
        <w:t xml:space="preserve"> </w:t>
      </w:r>
      <w:r>
        <w:rPr>
          <w:b/>
          <w:bCs/>
          <w:rtl/>
        </w:rPr>
        <w:t>ישראל</w:t>
      </w:r>
      <w:r>
        <w:rPr>
          <w:rFonts w:hint="cs"/>
          <w:b/>
          <w:bCs/>
          <w:rtl/>
        </w:rPr>
        <w:t xml:space="preserve"> </w:t>
      </w:r>
      <w:r>
        <w:rPr>
          <w:rFonts w:hint="cs"/>
          <w:rtl/>
        </w:rPr>
        <w:t xml:space="preserve">[פורסם בנבו 23.1.13] </w:t>
      </w:r>
      <w:r>
        <w:t xml:space="preserve"> </w:t>
      </w:r>
      <w:r>
        <w:rPr>
          <w:rtl/>
        </w:rPr>
        <w:t>דחה</w:t>
      </w:r>
      <w:r>
        <w:t xml:space="preserve"> </w:t>
      </w:r>
      <w:r>
        <w:rPr>
          <w:rtl/>
        </w:rPr>
        <w:t>בית</w:t>
      </w:r>
      <w:r>
        <w:t>-</w:t>
      </w:r>
      <w:r>
        <w:rPr>
          <w:rtl/>
        </w:rPr>
        <w:t>המשפט</w:t>
      </w:r>
      <w:r>
        <w:t xml:space="preserve"> </w:t>
      </w:r>
      <w:r>
        <w:rPr>
          <w:rtl/>
        </w:rPr>
        <w:t>העליון</w:t>
      </w:r>
      <w:r>
        <w:t xml:space="preserve"> </w:t>
      </w:r>
      <w:r>
        <w:rPr>
          <w:rtl/>
        </w:rPr>
        <w:t>בקשת</w:t>
      </w:r>
      <w:r>
        <w:t xml:space="preserve"> </w:t>
      </w:r>
      <w:r>
        <w:rPr>
          <w:rtl/>
        </w:rPr>
        <w:t>רשות</w:t>
      </w:r>
      <w:r>
        <w:t xml:space="preserve"> </w:t>
      </w:r>
      <w:r>
        <w:rPr>
          <w:rtl/>
        </w:rPr>
        <w:t>ערעור</w:t>
      </w:r>
      <w:r>
        <w:t xml:space="preserve"> </w:t>
      </w:r>
      <w:r>
        <w:rPr>
          <w:rtl/>
        </w:rPr>
        <w:t>של</w:t>
      </w:r>
      <w:r>
        <w:t xml:space="preserve"> </w:t>
      </w:r>
      <w:r>
        <w:rPr>
          <w:rtl/>
        </w:rPr>
        <w:t>נאשם</w:t>
      </w:r>
      <w:r>
        <w:t xml:space="preserve"> </w:t>
      </w:r>
      <w:r>
        <w:rPr>
          <w:rFonts w:hint="cs"/>
          <w:rtl/>
        </w:rPr>
        <w:t xml:space="preserve">צעיר, שלא ריצה בעבר עונש מאסר, </w:t>
      </w:r>
      <w:r>
        <w:rPr>
          <w:rtl/>
        </w:rPr>
        <w:t>אשר</w:t>
      </w:r>
      <w:r>
        <w:t xml:space="preserve"> </w:t>
      </w:r>
      <w:r>
        <w:rPr>
          <w:rtl/>
        </w:rPr>
        <w:t>הורשע</w:t>
      </w:r>
      <w:r>
        <w:t xml:space="preserve"> </w:t>
      </w:r>
      <w:r>
        <w:rPr>
          <w:rtl/>
        </w:rPr>
        <w:t>בביצוע</w:t>
      </w:r>
      <w:r>
        <w:t xml:space="preserve"> </w:t>
      </w:r>
      <w:r>
        <w:rPr>
          <w:rtl/>
        </w:rPr>
        <w:t>שלוש</w:t>
      </w:r>
      <w:r>
        <w:t xml:space="preserve"> </w:t>
      </w:r>
      <w:r>
        <w:rPr>
          <w:rtl/>
        </w:rPr>
        <w:t>עבירות</w:t>
      </w:r>
      <w:r>
        <w:t xml:space="preserve"> </w:t>
      </w:r>
      <w:r>
        <w:rPr>
          <w:rtl/>
        </w:rPr>
        <w:t>של</w:t>
      </w:r>
      <w:r>
        <w:t xml:space="preserve"> </w:t>
      </w:r>
      <w:r>
        <w:rPr>
          <w:rtl/>
        </w:rPr>
        <w:t>סחר</w:t>
      </w:r>
      <w:r>
        <w:t xml:space="preserve"> </w:t>
      </w:r>
      <w:r>
        <w:rPr>
          <w:rtl/>
        </w:rPr>
        <w:t>ותיווך</w:t>
      </w:r>
      <w:r>
        <w:t xml:space="preserve"> </w:t>
      </w:r>
      <w:r>
        <w:rPr>
          <w:rtl/>
        </w:rPr>
        <w:t>בסם</w:t>
      </w:r>
      <w:r>
        <w:t xml:space="preserve"> </w:t>
      </w:r>
      <w:r>
        <w:rPr>
          <w:rtl/>
        </w:rPr>
        <w:t>מסוג</w:t>
      </w:r>
      <w:r>
        <w:t xml:space="preserve"> </w:t>
      </w:r>
      <w:r>
        <w:rPr>
          <w:rtl/>
        </w:rPr>
        <w:t>חשיש</w:t>
      </w:r>
      <w:r>
        <w:t xml:space="preserve"> </w:t>
      </w:r>
      <w:r>
        <w:rPr>
          <w:rtl/>
        </w:rPr>
        <w:t>במשקל</w:t>
      </w:r>
      <w:r>
        <w:t xml:space="preserve"> </w:t>
      </w:r>
      <w:r>
        <w:rPr>
          <w:rFonts w:hint="cs"/>
          <w:rtl/>
        </w:rPr>
        <w:t xml:space="preserve">של גרמים בודדים </w:t>
      </w:r>
      <w:r>
        <w:rPr>
          <w:rtl/>
        </w:rPr>
        <w:t>וכן</w:t>
      </w:r>
      <w:r>
        <w:t xml:space="preserve"> </w:t>
      </w:r>
      <w:r>
        <w:rPr>
          <w:rtl/>
        </w:rPr>
        <w:t>בעבירה</w:t>
      </w:r>
      <w:r>
        <w:t xml:space="preserve"> </w:t>
      </w:r>
      <w:r>
        <w:rPr>
          <w:rtl/>
        </w:rPr>
        <w:t>של</w:t>
      </w:r>
      <w:r>
        <w:t xml:space="preserve"> </w:t>
      </w:r>
      <w:r>
        <w:rPr>
          <w:rtl/>
        </w:rPr>
        <w:t>החזקת</w:t>
      </w:r>
      <w:r>
        <w:t xml:space="preserve"> </w:t>
      </w:r>
      <w:r>
        <w:rPr>
          <w:rtl/>
        </w:rPr>
        <w:t>סם</w:t>
      </w:r>
      <w:r>
        <w:t xml:space="preserve"> </w:t>
      </w:r>
      <w:r>
        <w:rPr>
          <w:rtl/>
        </w:rPr>
        <w:t>מסוג</w:t>
      </w:r>
      <w:r>
        <w:t xml:space="preserve"> </w:t>
      </w:r>
      <w:r>
        <w:rPr>
          <w:rtl/>
        </w:rPr>
        <w:t>קוקאין</w:t>
      </w:r>
      <w:r>
        <w:t xml:space="preserve"> </w:t>
      </w:r>
      <w:r>
        <w:rPr>
          <w:rtl/>
        </w:rPr>
        <w:t>לצריכה</w:t>
      </w:r>
      <w:r>
        <w:t xml:space="preserve"> </w:t>
      </w:r>
      <w:r>
        <w:rPr>
          <w:rtl/>
        </w:rPr>
        <w:t>עצמית</w:t>
      </w:r>
      <w:r>
        <w:rPr>
          <w:rFonts w:hint="cs"/>
          <w:rtl/>
        </w:rPr>
        <w:t xml:space="preserve"> ונ</w:t>
      </w:r>
      <w:r>
        <w:rPr>
          <w:rtl/>
        </w:rPr>
        <w:t>דון</w:t>
      </w:r>
      <w:r>
        <w:t xml:space="preserve"> </w:t>
      </w:r>
      <w:r>
        <w:rPr>
          <w:rtl/>
        </w:rPr>
        <w:t>ל</w:t>
      </w:r>
      <w:r>
        <w:rPr>
          <w:rFonts w:hint="cs"/>
          <w:rtl/>
        </w:rPr>
        <w:t xml:space="preserve">- 21 </w:t>
      </w:r>
      <w:r>
        <w:rPr>
          <w:rtl/>
        </w:rPr>
        <w:t>חודשי</w:t>
      </w:r>
      <w:r>
        <w:t xml:space="preserve"> </w:t>
      </w:r>
      <w:r>
        <w:rPr>
          <w:rtl/>
        </w:rPr>
        <w:t>מאסר</w:t>
      </w:r>
      <w:r>
        <w:t xml:space="preserve"> </w:t>
      </w:r>
      <w:r>
        <w:rPr>
          <w:rtl/>
        </w:rPr>
        <w:t>בפועל</w:t>
      </w:r>
      <w:r>
        <w:rPr>
          <w:rFonts w:hint="cs"/>
          <w:rtl/>
        </w:rPr>
        <w:t>; ב</w:t>
      </w:r>
      <w:hyperlink r:id="rId10" w:history="1">
        <w:r w:rsidRPr="00834436">
          <w:rPr>
            <w:rStyle w:val="Hyperlink"/>
            <w:rtl/>
          </w:rPr>
          <w:t>רע"פ7275/11</w:t>
        </w:r>
      </w:hyperlink>
      <w:r>
        <w:t xml:space="preserve"> </w:t>
      </w:r>
      <w:r>
        <w:rPr>
          <w:rFonts w:hint="cs"/>
          <w:rtl/>
        </w:rPr>
        <w:t xml:space="preserve"> </w:t>
      </w:r>
      <w:r>
        <w:rPr>
          <w:b/>
          <w:bCs/>
          <w:rtl/>
        </w:rPr>
        <w:t>נאסר</w:t>
      </w:r>
      <w:r>
        <w:rPr>
          <w:b/>
          <w:bCs/>
        </w:rPr>
        <w:t xml:space="preserve"> </w:t>
      </w:r>
      <w:r>
        <w:rPr>
          <w:b/>
          <w:bCs/>
          <w:rtl/>
        </w:rPr>
        <w:t>נ</w:t>
      </w:r>
      <w:r>
        <w:rPr>
          <w:rFonts w:hint="cs"/>
          <w:b/>
          <w:bCs/>
          <w:rtl/>
        </w:rPr>
        <w:t xml:space="preserve">' </w:t>
      </w:r>
      <w:r>
        <w:rPr>
          <w:b/>
          <w:bCs/>
          <w:rtl/>
        </w:rPr>
        <w:t>מדינת</w:t>
      </w:r>
      <w:r>
        <w:rPr>
          <w:b/>
          <w:bCs/>
        </w:rPr>
        <w:t xml:space="preserve"> </w:t>
      </w:r>
      <w:r>
        <w:rPr>
          <w:b/>
          <w:bCs/>
          <w:rtl/>
        </w:rPr>
        <w:t>ישראל</w:t>
      </w:r>
      <w:r>
        <w:rPr>
          <w:rFonts w:hint="cs"/>
          <w:b/>
          <w:bCs/>
          <w:rtl/>
        </w:rPr>
        <w:t xml:space="preserve"> </w:t>
      </w:r>
      <w:r>
        <w:rPr>
          <w:rFonts w:hint="cs"/>
          <w:rtl/>
        </w:rPr>
        <w:t xml:space="preserve">[פורסם בנבו 11.10.11] </w:t>
      </w:r>
      <w:r>
        <w:rPr>
          <w:rtl/>
        </w:rPr>
        <w:t>דחה</w:t>
      </w:r>
      <w:r>
        <w:t xml:space="preserve"> </w:t>
      </w:r>
      <w:r>
        <w:rPr>
          <w:rtl/>
        </w:rPr>
        <w:t>בית</w:t>
      </w:r>
      <w:r>
        <w:t>-</w:t>
      </w:r>
      <w:r>
        <w:rPr>
          <w:rtl/>
        </w:rPr>
        <w:t>המשפט</w:t>
      </w:r>
      <w:r>
        <w:t xml:space="preserve"> </w:t>
      </w:r>
      <w:r>
        <w:rPr>
          <w:rtl/>
        </w:rPr>
        <w:t>העליון</w:t>
      </w:r>
      <w:r>
        <w:rPr>
          <w:rFonts w:hint="cs"/>
          <w:rtl/>
        </w:rPr>
        <w:t xml:space="preserve"> בקשת רשות ערעור של </w:t>
      </w:r>
      <w:r>
        <w:rPr>
          <w:rtl/>
        </w:rPr>
        <w:t>נאשם</w:t>
      </w:r>
      <w:r>
        <w:t xml:space="preserve"> </w:t>
      </w:r>
      <w:r>
        <w:rPr>
          <w:rFonts w:hint="cs"/>
          <w:rtl/>
        </w:rPr>
        <w:t xml:space="preserve">ללא עבר פלילי </w:t>
      </w:r>
      <w:r>
        <w:rPr>
          <w:rtl/>
        </w:rPr>
        <w:t>שהורשע</w:t>
      </w:r>
      <w:r>
        <w:t xml:space="preserve"> </w:t>
      </w:r>
      <w:r>
        <w:rPr>
          <w:rtl/>
        </w:rPr>
        <w:t>בעבירות</w:t>
      </w:r>
      <w:r>
        <w:t xml:space="preserve"> </w:t>
      </w:r>
      <w:r>
        <w:rPr>
          <w:rtl/>
        </w:rPr>
        <w:t>סחר</w:t>
      </w:r>
      <w:r>
        <w:t xml:space="preserve"> </w:t>
      </w:r>
      <w:r>
        <w:rPr>
          <w:rtl/>
        </w:rPr>
        <w:t>בסמים</w:t>
      </w:r>
      <w:r>
        <w:t xml:space="preserve"> </w:t>
      </w:r>
      <w:r>
        <w:rPr>
          <w:rtl/>
        </w:rPr>
        <w:t>מול</w:t>
      </w:r>
      <w:r>
        <w:t xml:space="preserve"> </w:t>
      </w:r>
      <w:r>
        <w:rPr>
          <w:rtl/>
        </w:rPr>
        <w:t>סוכן</w:t>
      </w:r>
      <w:r>
        <w:t xml:space="preserve"> </w:t>
      </w:r>
      <w:r>
        <w:rPr>
          <w:rtl/>
        </w:rPr>
        <w:t>משטרתי</w:t>
      </w:r>
      <w:r>
        <w:t xml:space="preserve"> </w:t>
      </w:r>
      <w:r>
        <w:rPr>
          <w:rtl/>
        </w:rPr>
        <w:t>במספר</w:t>
      </w:r>
      <w:r>
        <w:t xml:space="preserve"> </w:t>
      </w:r>
      <w:r>
        <w:rPr>
          <w:rtl/>
        </w:rPr>
        <w:t>מקרים</w:t>
      </w:r>
      <w:r>
        <w:rPr>
          <w:rFonts w:hint="cs"/>
          <w:rtl/>
        </w:rPr>
        <w:t xml:space="preserve">, </w:t>
      </w:r>
      <w:r>
        <w:rPr>
          <w:rtl/>
        </w:rPr>
        <w:t>ונדון</w:t>
      </w:r>
      <w:r>
        <w:t xml:space="preserve"> </w:t>
      </w:r>
      <w:r>
        <w:rPr>
          <w:rtl/>
        </w:rPr>
        <w:t>ל</w:t>
      </w:r>
      <w:r>
        <w:rPr>
          <w:rFonts w:hint="cs"/>
          <w:rtl/>
        </w:rPr>
        <w:t xml:space="preserve">חמישה </w:t>
      </w:r>
      <w:r>
        <w:rPr>
          <w:rtl/>
        </w:rPr>
        <w:t>חודשי</w:t>
      </w:r>
      <w:r>
        <w:t xml:space="preserve"> </w:t>
      </w:r>
      <w:r>
        <w:rPr>
          <w:rtl/>
        </w:rPr>
        <w:t>מאסר</w:t>
      </w:r>
      <w:r>
        <w:t xml:space="preserve"> </w:t>
      </w:r>
      <w:r>
        <w:rPr>
          <w:rtl/>
        </w:rPr>
        <w:t>בפועל</w:t>
      </w:r>
      <w:r>
        <w:rPr>
          <w:rFonts w:hint="cs"/>
          <w:rtl/>
        </w:rPr>
        <w:t>;</w:t>
      </w:r>
      <w:r>
        <w:t xml:space="preserve"> </w:t>
      </w:r>
      <w:r>
        <w:rPr>
          <w:rtl/>
        </w:rPr>
        <w:t>ב</w:t>
      </w:r>
      <w:hyperlink r:id="rId11" w:history="1">
        <w:r w:rsidRPr="00834436">
          <w:rPr>
            <w:rStyle w:val="Hyperlink"/>
            <w:rtl/>
          </w:rPr>
          <w:t>ת"פ 27086-06-14</w:t>
        </w:r>
      </w:hyperlink>
      <w:r>
        <w:t xml:space="preserve"> </w:t>
      </w:r>
      <w:r>
        <w:rPr>
          <w:b/>
          <w:bCs/>
          <w:rtl/>
        </w:rPr>
        <w:t>מדינת</w:t>
      </w:r>
      <w:r>
        <w:rPr>
          <w:b/>
          <w:bCs/>
        </w:rPr>
        <w:t xml:space="preserve"> </w:t>
      </w:r>
      <w:r>
        <w:rPr>
          <w:b/>
          <w:bCs/>
          <w:rtl/>
        </w:rPr>
        <w:t>ישראל</w:t>
      </w:r>
      <w:r>
        <w:rPr>
          <w:b/>
          <w:bCs/>
        </w:rPr>
        <w:t xml:space="preserve"> </w:t>
      </w:r>
      <w:r>
        <w:rPr>
          <w:b/>
          <w:bCs/>
          <w:rtl/>
        </w:rPr>
        <w:t>נ</w:t>
      </w:r>
      <w:r>
        <w:rPr>
          <w:b/>
          <w:bCs/>
        </w:rPr>
        <w:t>'</w:t>
      </w:r>
      <w:r>
        <w:rPr>
          <w:rFonts w:hint="cs"/>
          <w:b/>
          <w:bCs/>
          <w:rtl/>
        </w:rPr>
        <w:t xml:space="preserve"> </w:t>
      </w:r>
      <w:r>
        <w:rPr>
          <w:b/>
          <w:bCs/>
          <w:rtl/>
        </w:rPr>
        <w:t>דיבפקר</w:t>
      </w:r>
      <w:r>
        <w:t xml:space="preserve"> (11.9.14) </w:t>
      </w:r>
      <w:r>
        <w:rPr>
          <w:rtl/>
        </w:rPr>
        <w:t>הורשע</w:t>
      </w:r>
      <w:r>
        <w:t xml:space="preserve"> </w:t>
      </w:r>
      <w:r>
        <w:rPr>
          <w:rtl/>
        </w:rPr>
        <w:t>נאשם</w:t>
      </w:r>
      <w:r>
        <w:t xml:space="preserve"> 1</w:t>
      </w:r>
      <w:r>
        <w:rPr>
          <w:rFonts w:hint="cs"/>
          <w:rtl/>
        </w:rPr>
        <w:t xml:space="preserve">, נטול עבר פלילי, </w:t>
      </w:r>
      <w:r>
        <w:rPr>
          <w:rtl/>
        </w:rPr>
        <w:t>בשלושה</w:t>
      </w:r>
      <w:r>
        <w:t xml:space="preserve"> </w:t>
      </w:r>
      <w:r>
        <w:rPr>
          <w:rtl/>
        </w:rPr>
        <w:t>אישומים</w:t>
      </w:r>
      <w:r>
        <w:t>,</w:t>
      </w:r>
      <w:r>
        <w:rPr>
          <w:rFonts w:hint="cs"/>
          <w:rtl/>
        </w:rPr>
        <w:t xml:space="preserve"> </w:t>
      </w:r>
      <w:r>
        <w:rPr>
          <w:rtl/>
        </w:rPr>
        <w:t>ובכל</w:t>
      </w:r>
      <w:r>
        <w:t xml:space="preserve"> </w:t>
      </w:r>
      <w:r>
        <w:rPr>
          <w:rtl/>
        </w:rPr>
        <w:t>אחד</w:t>
      </w:r>
      <w:r>
        <w:t xml:space="preserve"> </w:t>
      </w:r>
      <w:r>
        <w:rPr>
          <w:rtl/>
        </w:rPr>
        <w:t>מהם</w:t>
      </w:r>
      <w:r>
        <w:t xml:space="preserve"> </w:t>
      </w:r>
      <w:r>
        <w:rPr>
          <w:rtl/>
        </w:rPr>
        <w:t>בעבירה</w:t>
      </w:r>
      <w:r>
        <w:t xml:space="preserve"> </w:t>
      </w:r>
      <w:r>
        <w:rPr>
          <w:rtl/>
        </w:rPr>
        <w:t>של</w:t>
      </w:r>
      <w:r>
        <w:t xml:space="preserve"> </w:t>
      </w:r>
      <w:r>
        <w:rPr>
          <w:rtl/>
        </w:rPr>
        <w:t>סחר</w:t>
      </w:r>
      <w:r>
        <w:t xml:space="preserve"> </w:t>
      </w:r>
      <w:r>
        <w:rPr>
          <w:rtl/>
        </w:rPr>
        <w:t>בס</w:t>
      </w:r>
      <w:r>
        <w:rPr>
          <w:rFonts w:hint="cs"/>
          <w:rtl/>
        </w:rPr>
        <w:t xml:space="preserve">ם מסוג </w:t>
      </w:r>
      <w:r>
        <w:rPr>
          <w:rtl/>
        </w:rPr>
        <w:t>חשיש</w:t>
      </w:r>
      <w:r>
        <w:t xml:space="preserve"> </w:t>
      </w:r>
      <w:r>
        <w:rPr>
          <w:rtl/>
        </w:rPr>
        <w:t>במשקלים</w:t>
      </w:r>
      <w:r>
        <w:t xml:space="preserve"> </w:t>
      </w:r>
      <w:r>
        <w:rPr>
          <w:rtl/>
        </w:rPr>
        <w:t>של</w:t>
      </w:r>
      <w:r>
        <w:t xml:space="preserve"> 0.64 </w:t>
      </w:r>
      <w:r>
        <w:rPr>
          <w:rtl/>
        </w:rPr>
        <w:t>גר</w:t>
      </w:r>
      <w:r>
        <w:rPr>
          <w:rFonts w:hint="cs"/>
          <w:rtl/>
        </w:rPr>
        <w:t>'</w:t>
      </w:r>
      <w:r>
        <w:t xml:space="preserve"> 3.13 </w:t>
      </w:r>
      <w:r>
        <w:rPr>
          <w:rtl/>
        </w:rPr>
        <w:t>גר</w:t>
      </w:r>
      <w:r>
        <w:rPr>
          <w:rFonts w:hint="cs"/>
          <w:rtl/>
        </w:rPr>
        <w:t xml:space="preserve">' ו- </w:t>
      </w:r>
      <w:r>
        <w:t>2.82</w:t>
      </w:r>
      <w:r>
        <w:rPr>
          <w:rFonts w:hint="cs"/>
          <w:rtl/>
        </w:rPr>
        <w:t xml:space="preserve"> </w:t>
      </w:r>
      <w:r>
        <w:t xml:space="preserve"> </w:t>
      </w:r>
      <w:r>
        <w:rPr>
          <w:rtl/>
        </w:rPr>
        <w:t>גר</w:t>
      </w:r>
      <w:r>
        <w:rPr>
          <w:rFonts w:hint="cs"/>
          <w:rtl/>
        </w:rPr>
        <w:t>' ונדון לעשרה</w:t>
      </w:r>
      <w:r>
        <w:t xml:space="preserve"> </w:t>
      </w:r>
      <w:r>
        <w:rPr>
          <w:rtl/>
        </w:rPr>
        <w:t>חודשי</w:t>
      </w:r>
      <w:r>
        <w:t xml:space="preserve"> </w:t>
      </w:r>
      <w:r>
        <w:rPr>
          <w:rtl/>
        </w:rPr>
        <w:t>מאסר</w:t>
      </w:r>
      <w:r>
        <w:t xml:space="preserve"> </w:t>
      </w:r>
      <w:r>
        <w:rPr>
          <w:rtl/>
        </w:rPr>
        <w:t>בפועל</w:t>
      </w:r>
      <w:r>
        <w:rPr>
          <w:rFonts w:hint="cs"/>
          <w:rtl/>
        </w:rPr>
        <w:t>; ב</w:t>
      </w:r>
      <w:hyperlink r:id="rId12" w:history="1">
        <w:r w:rsidRPr="00834436">
          <w:rPr>
            <w:rStyle w:val="Hyperlink"/>
            <w:rFonts w:hint="eastAsia"/>
            <w:rtl/>
          </w:rPr>
          <w:t>ת</w:t>
        </w:r>
        <w:r w:rsidRPr="00834436">
          <w:rPr>
            <w:rStyle w:val="Hyperlink"/>
            <w:rtl/>
          </w:rPr>
          <w:t>"פ 26709-06-14</w:t>
        </w:r>
      </w:hyperlink>
      <w:r>
        <w:rPr>
          <w:rFonts w:hint="cs"/>
          <w:rtl/>
        </w:rPr>
        <w:t xml:space="preserve"> </w:t>
      </w:r>
      <w:r>
        <w:rPr>
          <w:rFonts w:hint="cs"/>
          <w:b/>
          <w:bCs/>
          <w:rtl/>
        </w:rPr>
        <w:t xml:space="preserve"> מדינת ישראל נ' ישראלוב </w:t>
      </w:r>
      <w:r>
        <w:rPr>
          <w:rFonts w:hint="cs"/>
          <w:rtl/>
        </w:rPr>
        <w:t>[פורסם בנבו 26.10.14] הורשע הנאשם ב- 3 עבירות של סחר בסמים מסוג חשיש במשקלים של 7.54 גר, 21.89 גר' ו- 9.44 גר' ונדון ל- 11 חודשי מאסר בפועל; ב</w:t>
      </w:r>
      <w:hyperlink r:id="rId13" w:history="1">
        <w:r w:rsidRPr="00834436">
          <w:rPr>
            <w:rStyle w:val="Hyperlink"/>
            <w:rFonts w:hint="eastAsia"/>
            <w:rtl/>
          </w:rPr>
          <w:t>ת</w:t>
        </w:r>
        <w:r w:rsidRPr="00834436">
          <w:rPr>
            <w:rStyle w:val="Hyperlink"/>
            <w:rtl/>
          </w:rPr>
          <w:t>"פ 44321-09-11</w:t>
        </w:r>
      </w:hyperlink>
      <w:r>
        <w:rPr>
          <w:rFonts w:hint="cs"/>
          <w:rtl/>
        </w:rPr>
        <w:t xml:space="preserve"> </w:t>
      </w:r>
      <w:r>
        <w:rPr>
          <w:rFonts w:hint="cs"/>
          <w:b/>
          <w:bCs/>
          <w:rtl/>
        </w:rPr>
        <w:t>מדינת ישראל נ' יוסף איפרגן</w:t>
      </w:r>
      <w:r>
        <w:rPr>
          <w:rFonts w:hint="cs"/>
          <w:rtl/>
        </w:rPr>
        <w:t xml:space="preserve"> הורשע הנאשם בשתי עבירות של סחר בסם מסוכן ובעבירה אחת של ניסיון לסחר בסם מסוכן מסוג חשיש בכמויות קטנות ונידון לעונש של 8 חודשי מאסר בפועל. </w:t>
      </w:r>
    </w:p>
    <w:p w14:paraId="68EAD636" w14:textId="77777777" w:rsidR="00D76BE1" w:rsidRDefault="00D76BE1">
      <w:pPr>
        <w:pStyle w:val="ListParagraph"/>
        <w:spacing w:line="360" w:lineRule="auto"/>
        <w:jc w:val="both"/>
      </w:pPr>
    </w:p>
    <w:p w14:paraId="1428C590" w14:textId="77777777" w:rsidR="00D76BE1" w:rsidRDefault="00834436">
      <w:pPr>
        <w:pStyle w:val="ListParagraph"/>
        <w:numPr>
          <w:ilvl w:val="0"/>
          <w:numId w:val="1"/>
        </w:numPr>
        <w:spacing w:line="360" w:lineRule="auto"/>
        <w:ind w:hanging="720"/>
        <w:jc w:val="both"/>
      </w:pPr>
      <w:r>
        <w:rPr>
          <w:rFonts w:hint="cs"/>
          <w:rtl/>
        </w:rPr>
        <w:t xml:space="preserve">כתב האישום המתוקן מתייחס לארבע עסקאות סמים שבהן היה מעורב הנאשם, 3 כסוחר והאחת כמסייע. מדובר בעסקאות שבוצעו במועדים שונים והגם שמדובר במועדים קרובים, העובדה כי אלה עסקאות נפרדות שאינן תלויות האחת בשנייה מחייבת לקבוע מתחם עונש הולם נפרד לכל אחת מהעסקאות. </w:t>
      </w:r>
    </w:p>
    <w:p w14:paraId="7B2FE705" w14:textId="77777777" w:rsidR="00D76BE1" w:rsidRDefault="00D76BE1">
      <w:pPr>
        <w:pStyle w:val="ListParagraph"/>
        <w:spacing w:line="360" w:lineRule="auto"/>
        <w:jc w:val="both"/>
      </w:pPr>
    </w:p>
    <w:p w14:paraId="77BEB67B" w14:textId="77777777" w:rsidR="00D76BE1" w:rsidRDefault="00834436">
      <w:pPr>
        <w:pStyle w:val="ListParagraph"/>
        <w:numPr>
          <w:ilvl w:val="0"/>
          <w:numId w:val="1"/>
        </w:numPr>
        <w:spacing w:line="360" w:lineRule="auto"/>
        <w:ind w:hanging="720"/>
        <w:jc w:val="both"/>
      </w:pPr>
      <w:r>
        <w:rPr>
          <w:rFonts w:hint="cs"/>
          <w:rtl/>
        </w:rPr>
        <w:t xml:space="preserve">לאחר ששקלתי נתונים אלה מצאתי כי מתחם העונש ההולם לעבירת הסיוע לסחר שבאישום הראשון מתחיל בעונש של מאסר בעבודות שירות ומסתיים בעונש של 7 חודשי מאסר בפועל, ומתחם העונש ההולם לכל אחת מהעסקאות המתוארות באישומים השני, השלישי והרביעי הוא שישה- ארבעה עשר חודשי מאסר בפועל. </w:t>
      </w:r>
    </w:p>
    <w:p w14:paraId="6A6B7CB3" w14:textId="77777777" w:rsidR="00D76BE1" w:rsidRDefault="00D76BE1">
      <w:pPr>
        <w:spacing w:line="360" w:lineRule="auto"/>
        <w:jc w:val="both"/>
        <w:rPr>
          <w:rtl/>
        </w:rPr>
      </w:pPr>
    </w:p>
    <w:p w14:paraId="389BCE26" w14:textId="77777777" w:rsidR="00D76BE1" w:rsidRDefault="00834436">
      <w:pPr>
        <w:spacing w:line="360" w:lineRule="auto"/>
        <w:jc w:val="both"/>
        <w:rPr>
          <w:b/>
          <w:bCs/>
          <w:u w:val="single"/>
        </w:rPr>
      </w:pPr>
      <w:r>
        <w:rPr>
          <w:rFonts w:hint="cs"/>
          <w:b/>
          <w:bCs/>
          <w:u w:val="single"/>
          <w:rtl/>
        </w:rPr>
        <w:t>השיקולים לקביעת העונש המתאים</w:t>
      </w:r>
    </w:p>
    <w:p w14:paraId="4C404997" w14:textId="77777777" w:rsidR="00D76BE1" w:rsidRDefault="00834436">
      <w:pPr>
        <w:pStyle w:val="ListParagraph"/>
        <w:numPr>
          <w:ilvl w:val="0"/>
          <w:numId w:val="1"/>
        </w:numPr>
        <w:spacing w:line="360" w:lineRule="auto"/>
        <w:ind w:hanging="720"/>
        <w:jc w:val="both"/>
      </w:pPr>
      <w:r>
        <w:rPr>
          <w:rFonts w:hint="cs"/>
          <w:rtl/>
        </w:rPr>
        <w:t xml:space="preserve">הנאשם נטל אחריות מלאה על מעשיו והודה במיוחס לו בכתב האישום המתוקן. נטילת האחריות היא כנה ואמיתית על פי התרשמות שירות המבחן וכן על פי התרשמותי מהדברים שאמר הנאשם בבית המשפט. מתוך התסקיר עולה, כי הנאשם הבין והפנים את הפסול שבמעשיו, ואת השפעתם הרעה על חייו. </w:t>
      </w:r>
    </w:p>
    <w:p w14:paraId="59541220" w14:textId="77777777" w:rsidR="00D76BE1" w:rsidRDefault="00D76BE1">
      <w:pPr>
        <w:pStyle w:val="ListParagraph"/>
        <w:spacing w:line="360" w:lineRule="auto"/>
        <w:jc w:val="both"/>
      </w:pPr>
    </w:p>
    <w:p w14:paraId="09484187" w14:textId="77777777" w:rsidR="00D76BE1" w:rsidRDefault="00834436">
      <w:pPr>
        <w:pStyle w:val="ListParagraph"/>
        <w:numPr>
          <w:ilvl w:val="0"/>
          <w:numId w:val="1"/>
        </w:numPr>
        <w:spacing w:line="360" w:lineRule="auto"/>
        <w:ind w:hanging="720"/>
        <w:jc w:val="both"/>
      </w:pPr>
      <w:r>
        <w:rPr>
          <w:rFonts w:hint="cs"/>
          <w:rtl/>
        </w:rPr>
        <w:t xml:space="preserve">מתוך תסקיר המבחן עולה עוד כי מאז מעצרו עשה הנאשם כברת דרך משמעותית, הן במישור המעשי של הפסקת השימוש בסמים העולה מתוך מסירת בדיקות שתן נקיות לאורך תקופה ארוכה, הן במישור ההכרה של הנאשם בבעייתיות שבהתנהגותו, הבנת הצורך בטיפול והירתמות להליך הטיפולי שהובילה את הנאשם להבנה של חומרת המעשים והצורך להימנע מחזרה עליהם בעתיד. אינני סבורה שההליך הטיפולי אליו מתייחס שירות המבחן הוא דבר של מה בכך, כפי שטענה המאשימה, אלא שמדובר בתהליך אמיתי שעובר הנאשם, שהחליט לפתוח פרק חדש בחייו ולחזור למוטב. </w:t>
      </w:r>
    </w:p>
    <w:p w14:paraId="34067ABC" w14:textId="77777777" w:rsidR="00D76BE1" w:rsidRDefault="00D76BE1">
      <w:pPr>
        <w:pStyle w:val="ListParagraph"/>
        <w:spacing w:line="360" w:lineRule="auto"/>
        <w:jc w:val="both"/>
      </w:pPr>
    </w:p>
    <w:p w14:paraId="779F5BF4" w14:textId="77777777" w:rsidR="00D76BE1" w:rsidRDefault="00834436">
      <w:pPr>
        <w:pStyle w:val="ListParagraph"/>
        <w:numPr>
          <w:ilvl w:val="0"/>
          <w:numId w:val="1"/>
        </w:numPr>
        <w:spacing w:line="360" w:lineRule="auto"/>
        <w:ind w:hanging="720"/>
        <w:jc w:val="both"/>
      </w:pPr>
      <w:r>
        <w:rPr>
          <w:rFonts w:hint="cs"/>
          <w:rtl/>
        </w:rPr>
        <w:t xml:space="preserve">עם הגשת כתב האישום, בחודש אוגוסט 2015 התבקש מעצרו של הנאשם עד תום ההליכים. ביום 10.9.15 הוא שוחרר לחלופת מעצר של מעצר בית מלא. בחודש ינואר 2016 הקל בית המשפט בתנאי השחרור ואפשר לנאשם לצאת לעבודה, תחילה בבית קפה ולאחר מכן במלון. במסגרת הטיעונים לעונש התברר כי הנאשם פוטר מבית המלון לפני כחודש ימים ומאז הוא מצוי במעצר בית מלא.  מתוך השתלשלות הדברים עולה כי יציאתו של הנאשם לעבודה יש לה חלק בשיקומו ובחזרתו לאורח חיים נורמטיבי. </w:t>
      </w:r>
    </w:p>
    <w:p w14:paraId="3797A1CB" w14:textId="77777777" w:rsidR="00D76BE1" w:rsidRDefault="00D76BE1">
      <w:pPr>
        <w:pStyle w:val="ListParagraph"/>
        <w:spacing w:line="360" w:lineRule="auto"/>
        <w:jc w:val="both"/>
      </w:pPr>
    </w:p>
    <w:p w14:paraId="4F26AFDA" w14:textId="77777777" w:rsidR="00D76BE1" w:rsidRDefault="00834436">
      <w:pPr>
        <w:pStyle w:val="ListParagraph"/>
        <w:numPr>
          <w:ilvl w:val="0"/>
          <w:numId w:val="1"/>
        </w:numPr>
        <w:spacing w:line="360" w:lineRule="auto"/>
        <w:ind w:hanging="720"/>
        <w:jc w:val="both"/>
      </w:pPr>
      <w:r>
        <w:rPr>
          <w:rFonts w:hint="cs"/>
          <w:rtl/>
        </w:rPr>
        <w:t xml:space="preserve">עניינו של הנאשם מעורר התלבטות לא מעטה. העבירות שביצע הן חמורות וראויות לענישה מחמירה בדמות מאסר בפועל. אין מדובר במעידה חד פעמית, אלא במעשים שחזרו על עצמם פעם אחר פעם בתוך פרקי זמן קצרים. מנגד, מסתבר, כי הנאשם קיבל החלטה לחזור למוטב והוא אף עסוק ביישומה מזה חודשים ארוכים. </w:t>
      </w:r>
    </w:p>
    <w:p w14:paraId="1A352680" w14:textId="77777777" w:rsidR="00D76BE1" w:rsidRDefault="00834436">
      <w:pPr>
        <w:pStyle w:val="ListParagraph"/>
        <w:spacing w:line="360" w:lineRule="auto"/>
        <w:jc w:val="both"/>
      </w:pPr>
      <w:r>
        <w:rPr>
          <w:rFonts w:hint="cs"/>
          <w:rtl/>
        </w:rPr>
        <w:t xml:space="preserve">בסופו של יום מצאתי כי העובדה שמדובר בצעיר ללא הרשעות קודמות, שביצע את העבירות חודשים ספורים לאחר שמלאו לו 20 שנה, על רקע השפעתו הרעה של אחיו, ואשר הכיר בפסול שבמעשים והראה נכונות לקחת על עצמו תהליך לא פשוט של שינוי ויציאה לדרך חדשה בה הוא מתמיד מאז מעצרו, יש בה כדי להביא למסקנה כי במקרה דנן יש להעניק לנאשם הזדמנות להשלים את ההליך השיקומי שהוא מצוי בעיצומו. מצאתי כי יש מקום לתת משקל להתרשמות שירות המבחן לפיה יש להימנע מלגזור על הנאשם עונש של מאסר בפועל לנוכח העובדה כי הוא טרם סיים גיבוש זהותו, וחשיפה לחברה עבריינית בבית הסוהר עלולה להשפיע עליו לרעה, לקטוע את ההליך החיובי שבו הוא נמצא ולחבל בהישגי השיקום. אני סבורה כי מטעמים אלה של שיקום, שהנאשם מצוי בעיצומו, יש מקום לחרוג לקולא ממתחם העונש העולם. </w:t>
      </w:r>
    </w:p>
    <w:p w14:paraId="0412A9FC" w14:textId="77777777" w:rsidR="00D76BE1" w:rsidRDefault="00D76BE1">
      <w:pPr>
        <w:pStyle w:val="ListParagraph"/>
        <w:spacing w:line="360" w:lineRule="auto"/>
        <w:jc w:val="both"/>
      </w:pPr>
    </w:p>
    <w:p w14:paraId="5B0FE5D6" w14:textId="77777777" w:rsidR="00D76BE1" w:rsidRDefault="00834436">
      <w:pPr>
        <w:pStyle w:val="ListParagraph"/>
        <w:numPr>
          <w:ilvl w:val="0"/>
          <w:numId w:val="1"/>
        </w:numPr>
        <w:spacing w:line="360" w:lineRule="auto"/>
        <w:ind w:hanging="720"/>
        <w:jc w:val="both"/>
      </w:pPr>
      <w:r>
        <w:rPr>
          <w:rFonts w:hint="cs"/>
          <w:rtl/>
        </w:rPr>
        <w:t xml:space="preserve">בין רכיבי הענישה שיוטלו על הנאשם, יש מקום לרכיב מאסר מותנה שירתיע את הנאשם מלחזור ולבצע עבירות דומות, ויהווה תמריץ נוסף לנאשם להתמיד בהליך בו הוא מצוי. </w:t>
      </w:r>
    </w:p>
    <w:p w14:paraId="0BF132EA" w14:textId="77777777" w:rsidR="00D76BE1" w:rsidRDefault="00D76BE1">
      <w:pPr>
        <w:pStyle w:val="ListParagraph"/>
        <w:spacing w:line="360" w:lineRule="auto"/>
        <w:jc w:val="both"/>
      </w:pPr>
    </w:p>
    <w:p w14:paraId="3F3AEB43" w14:textId="77777777" w:rsidR="00D76BE1" w:rsidRDefault="00834436">
      <w:pPr>
        <w:pStyle w:val="ListParagraph"/>
        <w:numPr>
          <w:ilvl w:val="0"/>
          <w:numId w:val="1"/>
        </w:numPr>
        <w:spacing w:line="360" w:lineRule="auto"/>
        <w:ind w:hanging="720"/>
        <w:jc w:val="both"/>
      </w:pPr>
      <w:r>
        <w:rPr>
          <w:rFonts w:hint="cs"/>
          <w:rtl/>
        </w:rPr>
        <w:t xml:space="preserve">אשר לעונש הפסילה מלקבל או להחזיק רישיון נהיגה אותו עתרה המאשימה להטיל על הנאשם, יש לומר כי כלל מדובר בעמדה ראויה בכל הנוגע לנאשמים שהורשעו בעבירות סמים, שכן עונש זה יש בו כדי להוות אמצעי הגנה לציבור מפני מי שעושה שימוש בחומרים משני תודעה. עם זאת, במקרה דנן, סברתי כי אין מקום להטיל עונש פסילה, הן בשל העובדה כי מתוך התסקיר עולה שהנאשם אינו עושה שימוש בסמים מזה תקופה ארוכה, הן בשל כך שרישיון נהיגה הוא אמצעי רב חשיבות לצרכי עבודה שונים, וסברתי כי אין מקום לחסום את הנאשם מלקבל עבודות שבהן רישיון נהיגה יהא נחוץ. </w:t>
      </w:r>
    </w:p>
    <w:p w14:paraId="52604247" w14:textId="77777777" w:rsidR="00D76BE1" w:rsidRDefault="00D76BE1">
      <w:pPr>
        <w:pStyle w:val="ListParagraph"/>
        <w:spacing w:line="360" w:lineRule="auto"/>
        <w:jc w:val="both"/>
      </w:pPr>
    </w:p>
    <w:p w14:paraId="51DB8EEF" w14:textId="77777777" w:rsidR="00D76BE1" w:rsidRDefault="00834436">
      <w:pPr>
        <w:pStyle w:val="ListParagraph"/>
        <w:numPr>
          <w:ilvl w:val="0"/>
          <w:numId w:val="1"/>
        </w:numPr>
        <w:spacing w:line="360" w:lineRule="auto"/>
        <w:ind w:hanging="720"/>
        <w:jc w:val="both"/>
      </w:pPr>
      <w:r>
        <w:rPr>
          <w:rFonts w:hint="cs"/>
          <w:rtl/>
        </w:rPr>
        <w:t>לנוכח האמור לעיל, אני גוזרת על הנאשם את העונשים הבאים:</w:t>
      </w:r>
    </w:p>
    <w:p w14:paraId="6F074B4D" w14:textId="77777777" w:rsidR="00D76BE1" w:rsidRDefault="00834436">
      <w:pPr>
        <w:pStyle w:val="ListParagraph"/>
        <w:numPr>
          <w:ilvl w:val="0"/>
          <w:numId w:val="2"/>
        </w:numPr>
        <w:spacing w:line="360" w:lineRule="auto"/>
        <w:jc w:val="both"/>
      </w:pPr>
      <w:r>
        <w:rPr>
          <w:rFonts w:hint="cs"/>
          <w:rtl/>
        </w:rPr>
        <w:t>שישה חודשי מאסר בפועל, שירוצו בעבודות שירות בהתאם לחוות דעת הממונה על עבודות השירות, החל מיום 19.4.17.</w:t>
      </w:r>
    </w:p>
    <w:p w14:paraId="05E0B912" w14:textId="77777777" w:rsidR="00D76BE1" w:rsidRDefault="00D76BE1">
      <w:pPr>
        <w:pStyle w:val="ListParagraph"/>
        <w:spacing w:line="360" w:lineRule="auto"/>
        <w:ind w:left="1440"/>
        <w:jc w:val="both"/>
      </w:pPr>
    </w:p>
    <w:p w14:paraId="192890D4" w14:textId="77777777" w:rsidR="00D76BE1" w:rsidRDefault="00834436">
      <w:pPr>
        <w:pStyle w:val="ListParagraph"/>
        <w:numPr>
          <w:ilvl w:val="0"/>
          <w:numId w:val="2"/>
        </w:numPr>
        <w:spacing w:line="360" w:lineRule="auto"/>
        <w:jc w:val="both"/>
      </w:pPr>
      <w:r>
        <w:rPr>
          <w:rFonts w:hint="cs"/>
          <w:rtl/>
        </w:rPr>
        <w:t xml:space="preserve"> 10 חודשי מאסר על תנאי למשך שלוש שנים מהיום, שלא יעבור עבירה לפי </w:t>
      </w:r>
      <w:hyperlink r:id="rId14" w:history="1">
        <w:r w:rsidRPr="00834436">
          <w:rPr>
            <w:rStyle w:val="Hyperlink"/>
            <w:rFonts w:hint="eastAsia"/>
            <w:rtl/>
          </w:rPr>
          <w:t>פקודת</w:t>
        </w:r>
        <w:r w:rsidRPr="00834436">
          <w:rPr>
            <w:rStyle w:val="Hyperlink"/>
            <w:rtl/>
          </w:rPr>
          <w:t xml:space="preserve"> הסמים המסוכנים</w:t>
        </w:r>
      </w:hyperlink>
      <w:r>
        <w:rPr>
          <w:rFonts w:hint="cs"/>
          <w:rtl/>
        </w:rPr>
        <w:t xml:space="preserve">, למעט החזקת סמים לצריכה עצמית. </w:t>
      </w:r>
    </w:p>
    <w:p w14:paraId="4448CBB7" w14:textId="77777777" w:rsidR="00D76BE1" w:rsidRDefault="00D76BE1">
      <w:pPr>
        <w:pStyle w:val="ListParagraph"/>
        <w:spacing w:line="360" w:lineRule="auto"/>
        <w:ind w:left="1440"/>
        <w:jc w:val="both"/>
      </w:pPr>
    </w:p>
    <w:p w14:paraId="37BBF5E3" w14:textId="77777777" w:rsidR="00D76BE1" w:rsidRDefault="00834436">
      <w:pPr>
        <w:pStyle w:val="ListParagraph"/>
        <w:numPr>
          <w:ilvl w:val="0"/>
          <w:numId w:val="2"/>
        </w:numPr>
        <w:spacing w:line="360" w:lineRule="auto"/>
        <w:jc w:val="both"/>
      </w:pPr>
      <w:r>
        <w:rPr>
          <w:rFonts w:hint="cs"/>
          <w:rtl/>
        </w:rPr>
        <w:t xml:space="preserve">4 חודשי מאסר על תנאי למשך שלוש שנים מהיום, שלא יעבור עבירה של החזקת סמים לצריכה עצמית. </w:t>
      </w:r>
    </w:p>
    <w:p w14:paraId="40D4C71A" w14:textId="77777777" w:rsidR="00D76BE1" w:rsidRDefault="00D76BE1">
      <w:pPr>
        <w:pStyle w:val="ListParagraph"/>
        <w:spacing w:line="360" w:lineRule="auto"/>
        <w:ind w:left="1440"/>
        <w:jc w:val="both"/>
      </w:pPr>
    </w:p>
    <w:p w14:paraId="3DE70EC8" w14:textId="77777777" w:rsidR="00D76BE1" w:rsidRDefault="00834436">
      <w:pPr>
        <w:pStyle w:val="ListParagraph"/>
        <w:numPr>
          <w:ilvl w:val="0"/>
          <w:numId w:val="2"/>
        </w:numPr>
        <w:spacing w:line="360" w:lineRule="auto"/>
        <w:jc w:val="both"/>
      </w:pPr>
      <w:r>
        <w:rPr>
          <w:rFonts w:hint="cs"/>
          <w:rtl/>
        </w:rPr>
        <w:t xml:space="preserve">קנס בסך 2,000 ₪ או 20 ימי מאסר תמורתו. הקנס ישולם ב- 5 תשלומים שווים ורצופים. התשלום הראשון ביום 1.6.17 והתשלומים הנוספים ב- 1 בכל חודש עוקב. </w:t>
      </w:r>
    </w:p>
    <w:p w14:paraId="642EDC6E" w14:textId="77777777" w:rsidR="00D76BE1" w:rsidRDefault="00D76BE1">
      <w:pPr>
        <w:pStyle w:val="ListParagraph"/>
        <w:spacing w:line="360" w:lineRule="auto"/>
        <w:ind w:left="1440"/>
        <w:jc w:val="both"/>
      </w:pPr>
    </w:p>
    <w:p w14:paraId="74CB56A1" w14:textId="77777777" w:rsidR="00D76BE1" w:rsidRDefault="00834436">
      <w:pPr>
        <w:pStyle w:val="ListParagraph"/>
        <w:numPr>
          <w:ilvl w:val="0"/>
          <w:numId w:val="2"/>
        </w:numPr>
        <w:spacing w:line="360" w:lineRule="auto"/>
        <w:jc w:val="both"/>
      </w:pPr>
      <w:r>
        <w:rPr>
          <w:rFonts w:hint="cs"/>
          <w:rtl/>
        </w:rPr>
        <w:t xml:space="preserve">צו מבחן למשך שנתיים מהיום. </w:t>
      </w:r>
    </w:p>
    <w:p w14:paraId="37C74331" w14:textId="77777777" w:rsidR="00D76BE1" w:rsidRDefault="00D76BE1">
      <w:pPr>
        <w:pStyle w:val="ListParagraph"/>
        <w:spacing w:line="360" w:lineRule="auto"/>
        <w:ind w:left="1440"/>
        <w:jc w:val="both"/>
      </w:pPr>
    </w:p>
    <w:p w14:paraId="72698D6F" w14:textId="77777777" w:rsidR="00D76BE1" w:rsidRDefault="00834436">
      <w:pPr>
        <w:pStyle w:val="ListParagraph"/>
        <w:spacing w:line="360" w:lineRule="auto"/>
        <w:jc w:val="both"/>
        <w:rPr>
          <w:b/>
          <w:bCs/>
        </w:rPr>
      </w:pPr>
      <w:r>
        <w:rPr>
          <w:rFonts w:hint="cs"/>
          <w:b/>
          <w:bCs/>
          <w:rtl/>
        </w:rPr>
        <w:t xml:space="preserve">זכות ערעור לבית המשפט המחוזי בתוך 45 ימים מהיום. </w:t>
      </w:r>
    </w:p>
    <w:p w14:paraId="5663C4F9" w14:textId="77777777" w:rsidR="00D76BE1" w:rsidRDefault="00D76BE1">
      <w:pPr>
        <w:spacing w:line="360" w:lineRule="auto"/>
        <w:jc w:val="both"/>
        <w:rPr>
          <w:rtl/>
        </w:rPr>
      </w:pPr>
    </w:p>
    <w:p w14:paraId="4C8862CB" w14:textId="77777777" w:rsidR="00D76BE1" w:rsidRDefault="00D76BE1">
      <w:pPr>
        <w:spacing w:line="360" w:lineRule="auto"/>
        <w:jc w:val="both"/>
        <w:rPr>
          <w:rtl/>
        </w:rPr>
      </w:pPr>
    </w:p>
    <w:p w14:paraId="2742D386" w14:textId="77777777" w:rsidR="00D76BE1" w:rsidRPr="00834436" w:rsidRDefault="00834436">
      <w:pPr>
        <w:spacing w:line="360" w:lineRule="auto"/>
        <w:rPr>
          <w:color w:val="FFFFFF"/>
          <w:sz w:val="2"/>
          <w:szCs w:val="2"/>
          <w:rtl/>
        </w:rPr>
      </w:pPr>
      <w:r w:rsidRPr="00834436">
        <w:rPr>
          <w:color w:val="FFFFFF"/>
          <w:sz w:val="2"/>
          <w:szCs w:val="2"/>
          <w:rtl/>
        </w:rPr>
        <w:t>5129371</w:t>
      </w:r>
    </w:p>
    <w:p w14:paraId="49B983FC" w14:textId="77777777" w:rsidR="00D76BE1" w:rsidRDefault="00834436">
      <w:pPr>
        <w:rPr>
          <w:rFonts w:cs="FrankRuehl"/>
          <w:sz w:val="28"/>
          <w:szCs w:val="28"/>
          <w:rtl/>
        </w:rPr>
      </w:pPr>
      <w:r w:rsidRPr="00834436">
        <w:rPr>
          <w:rFonts w:ascii="Arial" w:hAnsi="Arial"/>
          <w:color w:val="FFFFFF"/>
          <w:sz w:val="2"/>
          <w:szCs w:val="2"/>
          <w:rtl/>
        </w:rPr>
        <w:t>54678313</w:t>
      </w:r>
      <w:r>
        <w:rPr>
          <w:rFonts w:ascii="Arial" w:hAnsi="Arial"/>
          <w:rtl/>
        </w:rPr>
        <w:t xml:space="preserve">ניתן היום,  ה' כסלו תשע"ז, 05 דצמבר 2016, במעמד הצדדים. </w:t>
      </w:r>
    </w:p>
    <w:p w14:paraId="6D093F40" w14:textId="77777777" w:rsidR="00D76BE1" w:rsidRDefault="0083443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6CC58E3" w14:textId="77777777" w:rsidR="00D76BE1" w:rsidRDefault="00D76BE1">
      <w:pPr>
        <w:jc w:val="center"/>
        <w:rPr>
          <w:rFonts w:ascii="Arial" w:hAnsi="Arial" w:cs="FrankRuehl"/>
          <w:sz w:val="28"/>
          <w:szCs w:val="28"/>
          <w:rtl/>
        </w:rPr>
      </w:pPr>
    </w:p>
    <w:p w14:paraId="387ABFD3" w14:textId="77777777" w:rsidR="00D76BE1" w:rsidRPr="008926A8" w:rsidRDefault="008926A8">
      <w:pPr>
        <w:pStyle w:val="a3"/>
        <w:jc w:val="center"/>
        <w:rPr>
          <w:color w:val="FFFFFF"/>
          <w:sz w:val="2"/>
          <w:szCs w:val="2"/>
          <w:rtl/>
        </w:rPr>
      </w:pPr>
      <w:r w:rsidRPr="008926A8">
        <w:rPr>
          <w:color w:val="FFFFFF"/>
          <w:sz w:val="2"/>
          <w:szCs w:val="2"/>
          <w:rtl/>
        </w:rPr>
        <w:t>5129371</w:t>
      </w:r>
    </w:p>
    <w:p w14:paraId="581DE6CE" w14:textId="77777777" w:rsidR="00834436" w:rsidRPr="008926A8" w:rsidRDefault="008926A8" w:rsidP="00834436">
      <w:pPr>
        <w:keepNext/>
        <w:rPr>
          <w:rFonts w:ascii="David" w:hAnsi="David"/>
          <w:color w:val="FFFFFF"/>
          <w:sz w:val="2"/>
          <w:szCs w:val="2"/>
          <w:rtl/>
        </w:rPr>
      </w:pPr>
      <w:r w:rsidRPr="008926A8">
        <w:rPr>
          <w:rFonts w:ascii="David" w:hAnsi="David"/>
          <w:color w:val="FFFFFF"/>
          <w:sz w:val="2"/>
          <w:szCs w:val="2"/>
          <w:rtl/>
        </w:rPr>
        <w:t>54678313</w:t>
      </w:r>
    </w:p>
    <w:p w14:paraId="0E2C4EEC" w14:textId="77777777" w:rsidR="00834436" w:rsidRPr="00834436" w:rsidRDefault="00834436" w:rsidP="00834436">
      <w:pPr>
        <w:keepNext/>
        <w:rPr>
          <w:rFonts w:ascii="David" w:hAnsi="David"/>
          <w:color w:val="000000"/>
          <w:sz w:val="22"/>
          <w:szCs w:val="22"/>
          <w:rtl/>
        </w:rPr>
      </w:pPr>
      <w:r w:rsidRPr="00834436">
        <w:rPr>
          <w:rFonts w:ascii="David" w:hAnsi="David"/>
          <w:color w:val="000000"/>
          <w:sz w:val="22"/>
          <w:szCs w:val="22"/>
          <w:rtl/>
        </w:rPr>
        <w:t>ג'ויה סקפה שפירא 54678313</w:t>
      </w:r>
    </w:p>
    <w:p w14:paraId="54DC5E4B" w14:textId="77777777" w:rsidR="00834436" w:rsidRDefault="00834436" w:rsidP="00834436">
      <w:pPr>
        <w:rPr>
          <w:color w:val="000000"/>
          <w:rtl/>
        </w:rPr>
      </w:pPr>
      <w:r w:rsidRPr="00834436">
        <w:rPr>
          <w:color w:val="000000"/>
          <w:rtl/>
        </w:rPr>
        <w:t>נוסח מסמך זה כפוף לשינויי ניסוח ועריכה</w:t>
      </w:r>
    </w:p>
    <w:p w14:paraId="251A43AE" w14:textId="77777777" w:rsidR="00834436" w:rsidRDefault="00834436" w:rsidP="00834436">
      <w:pPr>
        <w:rPr>
          <w:rtl/>
        </w:rPr>
      </w:pPr>
    </w:p>
    <w:p w14:paraId="7BA33B48" w14:textId="77777777" w:rsidR="00834436" w:rsidRDefault="00834436" w:rsidP="00834436">
      <w:pPr>
        <w:jc w:val="center"/>
        <w:rPr>
          <w:color w:val="0000FF"/>
          <w:u w:val="single"/>
          <w:rtl/>
        </w:rPr>
      </w:pPr>
      <w:hyperlink r:id="rId15" w:history="1">
        <w:r>
          <w:rPr>
            <w:rStyle w:val="Hyperlink"/>
            <w:rtl/>
          </w:rPr>
          <w:t>בעניין עריכה ושינויים במסמכי פסיקה, חקיקה ועוד באתר נבו – הקש כאן</w:t>
        </w:r>
      </w:hyperlink>
      <w:r w:rsidR="00ED51D6">
        <w:rPr>
          <w:rFonts w:hint="cs"/>
          <w:color w:val="0000FF"/>
          <w:u w:val="single"/>
          <w:rtl/>
        </w:rPr>
        <w:t xml:space="preserve"> </w:t>
      </w:r>
    </w:p>
    <w:p w14:paraId="40262787" w14:textId="77777777" w:rsidR="008926A8" w:rsidRPr="008926A8" w:rsidRDefault="008926A8" w:rsidP="008926A8">
      <w:pPr>
        <w:keepNext/>
        <w:rPr>
          <w:rFonts w:ascii="David" w:hAnsi="David"/>
          <w:color w:val="000000"/>
          <w:sz w:val="22"/>
          <w:szCs w:val="22"/>
          <w:rtl/>
        </w:rPr>
      </w:pPr>
    </w:p>
    <w:sectPr w:rsidR="008926A8" w:rsidRPr="008926A8" w:rsidSect="008926A8">
      <w:headerReference w:type="even" r:id="rId16"/>
      <w:headerReference w:type="default" r:id="rId17"/>
      <w:footerReference w:type="even" r:id="rId18"/>
      <w:footerReference w:type="default" r:id="rId1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576A44" w14:textId="77777777" w:rsidR="00A478C7" w:rsidRDefault="00A478C7">
      <w:r>
        <w:separator/>
      </w:r>
    </w:p>
  </w:endnote>
  <w:endnote w:type="continuationSeparator" w:id="0">
    <w:p w14:paraId="46C957B1" w14:textId="77777777" w:rsidR="00A478C7" w:rsidRDefault="00A47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45095" w14:textId="77777777" w:rsidR="00952AE7" w:rsidRDefault="00952AE7" w:rsidP="008926A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0C4258B" w14:textId="77777777" w:rsidR="00952AE7" w:rsidRPr="008926A8" w:rsidRDefault="00952AE7" w:rsidP="008926A8">
    <w:pPr>
      <w:pStyle w:val="a4"/>
      <w:pBdr>
        <w:top w:val="single" w:sz="4" w:space="1" w:color="auto"/>
        <w:between w:val="single" w:sz="4" w:space="0" w:color="auto"/>
      </w:pBdr>
      <w:spacing w:after="60"/>
      <w:jc w:val="center"/>
      <w:rPr>
        <w:rFonts w:ascii="FrankRuehl" w:hAnsi="FrankRuehl" w:cs="FrankRuehl"/>
        <w:color w:val="000000"/>
      </w:rPr>
    </w:pPr>
    <w:r w:rsidRPr="008926A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6743D" w14:textId="77777777" w:rsidR="00952AE7" w:rsidRDefault="00952AE7" w:rsidP="008926A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C7C8F">
      <w:rPr>
        <w:rFonts w:ascii="FrankRuehl" w:hAnsi="FrankRuehl" w:cs="FrankRuehl"/>
        <w:noProof/>
        <w:rtl/>
      </w:rPr>
      <w:t>2</w:t>
    </w:r>
    <w:r>
      <w:rPr>
        <w:rFonts w:ascii="FrankRuehl" w:hAnsi="FrankRuehl" w:cs="FrankRuehl"/>
        <w:rtl/>
      </w:rPr>
      <w:fldChar w:fldCharType="end"/>
    </w:r>
  </w:p>
  <w:p w14:paraId="7AA60F57" w14:textId="77777777" w:rsidR="00952AE7" w:rsidRPr="008926A8" w:rsidRDefault="00952AE7" w:rsidP="008926A8">
    <w:pPr>
      <w:pStyle w:val="a4"/>
      <w:pBdr>
        <w:top w:val="single" w:sz="4" w:space="1" w:color="auto"/>
        <w:between w:val="single" w:sz="4" w:space="0" w:color="auto"/>
      </w:pBdr>
      <w:spacing w:after="60"/>
      <w:jc w:val="center"/>
      <w:rPr>
        <w:rFonts w:ascii="FrankRuehl" w:hAnsi="FrankRuehl" w:cs="FrankRuehl"/>
        <w:color w:val="000000"/>
      </w:rPr>
    </w:pPr>
    <w:r w:rsidRPr="008926A8">
      <w:rPr>
        <w:rFonts w:ascii="FrankRuehl" w:hAnsi="FrankRuehl" w:cs="FrankRuehl"/>
        <w:color w:val="000000"/>
      </w:rPr>
      <w:pict w14:anchorId="56C4C2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60EFFF" w14:textId="77777777" w:rsidR="00A478C7" w:rsidRDefault="00A478C7">
      <w:r>
        <w:separator/>
      </w:r>
    </w:p>
  </w:footnote>
  <w:footnote w:type="continuationSeparator" w:id="0">
    <w:p w14:paraId="33E13D44" w14:textId="77777777" w:rsidR="00A478C7" w:rsidRDefault="00A478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6F2BC" w14:textId="77777777" w:rsidR="00952AE7" w:rsidRPr="008926A8" w:rsidRDefault="00952AE7" w:rsidP="008926A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29832-08-15</w:t>
    </w:r>
    <w:r>
      <w:rPr>
        <w:rFonts w:ascii="David" w:hAnsi="David"/>
        <w:color w:val="000000"/>
        <w:sz w:val="22"/>
        <w:szCs w:val="22"/>
        <w:rtl/>
      </w:rPr>
      <w:tab/>
      <w:t xml:space="preserve"> מדינת ישראל נ' חמד סוליימה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ED511D" w14:textId="77777777" w:rsidR="00952AE7" w:rsidRPr="008926A8" w:rsidRDefault="00952AE7" w:rsidP="008926A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29832-08-15</w:t>
    </w:r>
    <w:r>
      <w:rPr>
        <w:rFonts w:ascii="David" w:hAnsi="David"/>
        <w:color w:val="000000"/>
        <w:sz w:val="22"/>
        <w:szCs w:val="22"/>
        <w:rtl/>
      </w:rPr>
      <w:tab/>
      <w:t xml:space="preserve"> מדינת ישראל נ' חמד סוליימה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D41B9"/>
    <w:multiLevelType w:val="hybridMultilevel"/>
    <w:tmpl w:val="3216E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751E9"/>
    <w:multiLevelType w:val="hybridMultilevel"/>
    <w:tmpl w:val="5802A874"/>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F7D41A9"/>
    <w:multiLevelType w:val="hybridMultilevel"/>
    <w:tmpl w:val="3EEA0244"/>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62734498">
    <w:abstractNumId w:val="0"/>
  </w:num>
  <w:num w:numId="2" w16cid:durableId="671567049">
    <w:abstractNumId w:val="2"/>
  </w:num>
  <w:num w:numId="3" w16cid:durableId="59139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76BE1"/>
    <w:rsid w:val="003E1B14"/>
    <w:rsid w:val="0065564F"/>
    <w:rsid w:val="00834436"/>
    <w:rsid w:val="008926A8"/>
    <w:rsid w:val="008D5976"/>
    <w:rsid w:val="00952AE7"/>
    <w:rsid w:val="00A478C7"/>
    <w:rsid w:val="00BD54F4"/>
    <w:rsid w:val="00D76BE1"/>
    <w:rsid w:val="00EA6B32"/>
    <w:rsid w:val="00ED51D6"/>
    <w:rsid w:val="00F46EC4"/>
    <w:rsid w:val="00FC7C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DF6AB82"/>
  <w15:chartTrackingRefBased/>
  <w15:docId w15:val="{14D67A73-296C-4937-A1C2-34981CB2F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76BE1"/>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76BE1"/>
    <w:pPr>
      <w:tabs>
        <w:tab w:val="center" w:pos="4153"/>
        <w:tab w:val="right" w:pos="8306"/>
      </w:tabs>
    </w:pPr>
  </w:style>
  <w:style w:type="paragraph" w:styleId="a4">
    <w:name w:val="footer"/>
    <w:basedOn w:val="a"/>
    <w:rsid w:val="00D76BE1"/>
    <w:pPr>
      <w:tabs>
        <w:tab w:val="center" w:pos="4153"/>
        <w:tab w:val="right" w:pos="8306"/>
      </w:tabs>
    </w:pPr>
  </w:style>
  <w:style w:type="character" w:styleId="a5">
    <w:name w:val="page number"/>
    <w:basedOn w:val="a0"/>
    <w:rsid w:val="00D76BE1"/>
  </w:style>
  <w:style w:type="paragraph" w:customStyle="1" w:styleId="ListParagraph">
    <w:name w:val="List Paragraph"/>
    <w:basedOn w:val="a"/>
    <w:rsid w:val="00D76BE1"/>
    <w:pPr>
      <w:ind w:left="720"/>
      <w:contextualSpacing/>
    </w:pPr>
  </w:style>
  <w:style w:type="character" w:styleId="Hyperlink">
    <w:name w:val="Hyperlink"/>
    <w:rsid w:val="008344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13022249" TargetMode="External"/><Relationship Id="rId13" Type="http://schemas.openxmlformats.org/officeDocument/2006/relationships/hyperlink" Target="http://www.nevo.co.il/case/4626995"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case/17011278"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17011707" TargetMode="External"/><Relationship Id="rId5" Type="http://schemas.openxmlformats.org/officeDocument/2006/relationships/footnotes" Target="foot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case/5600751"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case/5605484" TargetMode="External"/><Relationship Id="rId14"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1736</Words>
  <Characters>8683</Characters>
  <Application>Microsoft Office Word</Application>
  <DocSecurity>0</DocSecurity>
  <Lines>72</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10399</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8257637</vt:i4>
      </vt:variant>
      <vt:variant>
        <vt:i4>21</vt:i4>
      </vt:variant>
      <vt:variant>
        <vt:i4>0</vt:i4>
      </vt:variant>
      <vt:variant>
        <vt:i4>5</vt:i4>
      </vt:variant>
      <vt:variant>
        <vt:lpwstr>http://www.nevo.co.il/law/4216</vt:lpwstr>
      </vt:variant>
      <vt:variant>
        <vt:lpwstr/>
      </vt:variant>
      <vt:variant>
        <vt:i4>3801213</vt:i4>
      </vt:variant>
      <vt:variant>
        <vt:i4>18</vt:i4>
      </vt:variant>
      <vt:variant>
        <vt:i4>0</vt:i4>
      </vt:variant>
      <vt:variant>
        <vt:i4>5</vt:i4>
      </vt:variant>
      <vt:variant>
        <vt:lpwstr>http://www.nevo.co.il/case/4626995</vt:lpwstr>
      </vt:variant>
      <vt:variant>
        <vt:lpwstr/>
      </vt:variant>
      <vt:variant>
        <vt:i4>3604592</vt:i4>
      </vt:variant>
      <vt:variant>
        <vt:i4>15</vt:i4>
      </vt:variant>
      <vt:variant>
        <vt:i4>0</vt:i4>
      </vt:variant>
      <vt:variant>
        <vt:i4>5</vt:i4>
      </vt:variant>
      <vt:variant>
        <vt:lpwstr>http://www.nevo.co.il/case/17011278</vt:lpwstr>
      </vt:variant>
      <vt:variant>
        <vt:lpwstr/>
      </vt:variant>
      <vt:variant>
        <vt:i4>3145845</vt:i4>
      </vt:variant>
      <vt:variant>
        <vt:i4>12</vt:i4>
      </vt:variant>
      <vt:variant>
        <vt:i4>0</vt:i4>
      </vt:variant>
      <vt:variant>
        <vt:i4>5</vt:i4>
      </vt:variant>
      <vt:variant>
        <vt:lpwstr>http://www.nevo.co.il/case/17011707</vt:lpwstr>
      </vt:variant>
      <vt:variant>
        <vt:lpwstr/>
      </vt:variant>
      <vt:variant>
        <vt:i4>3342455</vt:i4>
      </vt:variant>
      <vt:variant>
        <vt:i4>9</vt:i4>
      </vt:variant>
      <vt:variant>
        <vt:i4>0</vt:i4>
      </vt:variant>
      <vt:variant>
        <vt:i4>5</vt:i4>
      </vt:variant>
      <vt:variant>
        <vt:lpwstr>http://www.nevo.co.il/case/5600751</vt:lpwstr>
      </vt:variant>
      <vt:variant>
        <vt:lpwstr/>
      </vt:variant>
      <vt:variant>
        <vt:i4>3473535</vt:i4>
      </vt:variant>
      <vt:variant>
        <vt:i4>6</vt:i4>
      </vt:variant>
      <vt:variant>
        <vt:i4>0</vt:i4>
      </vt:variant>
      <vt:variant>
        <vt:i4>5</vt:i4>
      </vt:variant>
      <vt:variant>
        <vt:lpwstr>http://www.nevo.co.il/case/5605484</vt:lpwstr>
      </vt:variant>
      <vt:variant>
        <vt:lpwstr/>
      </vt:variant>
      <vt:variant>
        <vt:i4>3604599</vt:i4>
      </vt:variant>
      <vt:variant>
        <vt:i4>3</vt:i4>
      </vt:variant>
      <vt:variant>
        <vt:i4>0</vt:i4>
      </vt:variant>
      <vt:variant>
        <vt:i4>5</vt:i4>
      </vt:variant>
      <vt:variant>
        <vt:lpwstr>http://www.nevo.co.il/case/13022249</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2025-04-22T22:49:00Z</dcterms:created>
  <dcterms:modified xsi:type="dcterms:W3CDTF">2025-04-22T22:49:00Z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29832</vt:lpwstr>
  </property>
  <property fmtid="{D5CDD505-2E9C-101B-9397-08002B2CF9AE}" pid="6" name="NEWPARTB">
    <vt:lpwstr>08</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חמד סוליימה </vt:lpwstr>
  </property>
  <property fmtid="{D5CDD505-2E9C-101B-9397-08002B2CF9AE}" pid="10" name="JUDGE">
    <vt:lpwstr>ג'ויה סקפה שפירא</vt:lpwstr>
  </property>
  <property fmtid="{D5CDD505-2E9C-101B-9397-08002B2CF9AE}" pid="11" name="CITY">
    <vt:lpwstr>י-ם</vt:lpwstr>
  </property>
  <property fmtid="{D5CDD505-2E9C-101B-9397-08002B2CF9AE}" pid="12" name="DATE">
    <vt:lpwstr>20161205</vt:lpwstr>
  </property>
  <property fmtid="{D5CDD505-2E9C-101B-9397-08002B2CF9AE}" pid="13" name="TYPE_N_DATE">
    <vt:lpwstr>38020161205</vt:lpwstr>
  </property>
  <property fmtid="{D5CDD505-2E9C-101B-9397-08002B2CF9AE}" pid="14" name="CASESLISTTMP1">
    <vt:lpwstr>13022249;5605484;5600751;17011707;17011278;4626995</vt:lpwstr>
  </property>
  <property fmtid="{D5CDD505-2E9C-101B-9397-08002B2CF9AE}" pid="15" name="WORDNUMPAGES">
    <vt:lpwstr>6</vt:lpwstr>
  </property>
  <property fmtid="{D5CDD505-2E9C-101B-9397-08002B2CF9AE}" pid="16" name="TYPE_ABS_DATE">
    <vt:lpwstr>380020161205</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vt:lpwstr>
  </property>
</Properties>
</file>