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50859" w:rsidRPr="008D2021" w14:paraId="2A5B1E55" w14:textId="77777777" w:rsidTr="00B873F1">
        <w:trPr>
          <w:trHeight w:hRule="exact" w:val="716"/>
          <w:jc w:val="center"/>
        </w:trPr>
        <w:tc>
          <w:tcPr>
            <w:tcW w:w="8721" w:type="dxa"/>
            <w:gridSpan w:val="2"/>
          </w:tcPr>
          <w:p w14:paraId="3A0840FB" w14:textId="77777777" w:rsidR="00850859" w:rsidRPr="008D2021" w:rsidRDefault="00850859" w:rsidP="008D2021">
            <w:pPr>
              <w:pStyle w:val="a3"/>
              <w:tabs>
                <w:tab w:val="clear" w:pos="4153"/>
                <w:tab w:val="left" w:pos="1794"/>
                <w:tab w:val="center" w:pos="4144"/>
              </w:tabs>
              <w:rPr>
                <w:rFonts w:ascii="Tahoma" w:hAnsi="Tahoma" w:cs="Tahoma"/>
                <w:b/>
                <w:bCs/>
                <w:color w:val="000080"/>
                <w:rtl/>
              </w:rPr>
            </w:pPr>
            <w:r w:rsidRPr="008D2021">
              <w:rPr>
                <w:rtl/>
              </w:rPr>
              <w:tab/>
            </w:r>
            <w:r w:rsidRPr="008D2021">
              <w:rPr>
                <w:rtl/>
              </w:rPr>
              <w:tab/>
            </w:r>
            <w:r w:rsidRPr="008D2021">
              <w:rPr>
                <w:rFonts w:ascii="Tahoma" w:hAnsi="Tahoma" w:cs="Tahoma"/>
                <w:b/>
                <w:bCs/>
                <w:color w:val="000080"/>
                <w:rtl/>
              </w:rPr>
              <w:t>בית משפט השלום בראשון לציון</w:t>
            </w:r>
          </w:p>
          <w:p w14:paraId="69B1AC3B" w14:textId="77777777" w:rsidR="00850859" w:rsidRPr="008D2021" w:rsidRDefault="00850859" w:rsidP="008D2021">
            <w:pPr>
              <w:pStyle w:val="a3"/>
              <w:tabs>
                <w:tab w:val="clear" w:pos="4153"/>
                <w:tab w:val="left" w:pos="1794"/>
                <w:tab w:val="center" w:pos="4144"/>
              </w:tabs>
              <w:jc w:val="center"/>
              <w:rPr>
                <w:rFonts w:ascii="Tahoma" w:hAnsi="Tahoma" w:cs="Tahoma"/>
                <w:b/>
                <w:bCs/>
                <w:color w:val="000080"/>
                <w:rtl/>
              </w:rPr>
            </w:pPr>
            <w:r w:rsidRPr="008D2021">
              <w:rPr>
                <w:rFonts w:ascii="Tahoma" w:hAnsi="Tahoma" w:cs="Tahoma" w:hint="cs"/>
                <w:b/>
                <w:bCs/>
                <w:color w:val="000080"/>
                <w:rtl/>
              </w:rPr>
              <w:t>בפני כב' השופט רפי ארניה</w:t>
            </w:r>
          </w:p>
          <w:p w14:paraId="60294579" w14:textId="77777777" w:rsidR="00850859" w:rsidRPr="008D2021" w:rsidRDefault="00850859" w:rsidP="008D2021">
            <w:pPr>
              <w:pStyle w:val="a3"/>
              <w:tabs>
                <w:tab w:val="clear" w:pos="4153"/>
                <w:tab w:val="left" w:pos="1794"/>
                <w:tab w:val="center" w:pos="4144"/>
              </w:tabs>
              <w:rPr>
                <w:rFonts w:ascii="Tahoma" w:hAnsi="Tahoma" w:cs="Tahoma"/>
                <w:color w:val="000080"/>
                <w:rtl/>
              </w:rPr>
            </w:pPr>
          </w:p>
        </w:tc>
      </w:tr>
      <w:tr w:rsidR="00850859" w:rsidRPr="008D2021" w14:paraId="2454FF77" w14:textId="77777777" w:rsidTr="00B873F1">
        <w:trPr>
          <w:trHeight w:hRule="exact" w:val="418"/>
          <w:jc w:val="center"/>
        </w:trPr>
        <w:tc>
          <w:tcPr>
            <w:tcW w:w="8721" w:type="dxa"/>
            <w:gridSpan w:val="2"/>
          </w:tcPr>
          <w:p w14:paraId="04A76186" w14:textId="77777777" w:rsidR="00850859" w:rsidRPr="008D2021" w:rsidRDefault="00850859" w:rsidP="008D2021">
            <w:pPr>
              <w:pStyle w:val="a3"/>
              <w:tabs>
                <w:tab w:val="clear" w:pos="4153"/>
                <w:tab w:val="left" w:pos="1794"/>
                <w:tab w:val="center" w:pos="4144"/>
              </w:tabs>
              <w:rPr>
                <w:rtl/>
              </w:rPr>
            </w:pPr>
          </w:p>
        </w:tc>
      </w:tr>
      <w:tr w:rsidR="00850859" w:rsidRPr="008D2021" w14:paraId="00138C2F" w14:textId="77777777" w:rsidTr="00B873F1">
        <w:trPr>
          <w:trHeight w:val="337"/>
          <w:jc w:val="center"/>
        </w:trPr>
        <w:tc>
          <w:tcPr>
            <w:tcW w:w="5054" w:type="dxa"/>
          </w:tcPr>
          <w:p w14:paraId="6BD92B08" w14:textId="77777777" w:rsidR="00850859" w:rsidRPr="008D2021" w:rsidRDefault="00850859" w:rsidP="008D2021">
            <w:pPr>
              <w:rPr>
                <w:b/>
                <w:bCs/>
                <w:rtl/>
              </w:rPr>
            </w:pPr>
            <w:r w:rsidRPr="008D2021">
              <w:rPr>
                <w:b/>
                <w:bCs/>
                <w:rtl/>
              </w:rPr>
              <w:t>ת"פ</w:t>
            </w:r>
            <w:r w:rsidRPr="008D2021">
              <w:rPr>
                <w:rFonts w:hint="cs"/>
                <w:b/>
                <w:bCs/>
                <w:rtl/>
              </w:rPr>
              <w:t xml:space="preserve"> </w:t>
            </w:r>
            <w:r w:rsidRPr="008D2021">
              <w:rPr>
                <w:b/>
                <w:bCs/>
                <w:rtl/>
              </w:rPr>
              <w:t>33932-08-15</w:t>
            </w:r>
            <w:r w:rsidRPr="008D2021">
              <w:rPr>
                <w:rFonts w:hint="cs"/>
                <w:b/>
                <w:bCs/>
                <w:rtl/>
              </w:rPr>
              <w:t xml:space="preserve"> </w:t>
            </w:r>
            <w:r w:rsidRPr="008D2021">
              <w:rPr>
                <w:b/>
                <w:bCs/>
                <w:rtl/>
              </w:rPr>
              <w:t>מדינת ישראל נ' איפרגן</w:t>
            </w:r>
          </w:p>
          <w:p w14:paraId="0554B198" w14:textId="77777777" w:rsidR="00850859" w:rsidRPr="008D2021" w:rsidRDefault="00850859" w:rsidP="008D2021">
            <w:pPr>
              <w:pStyle w:val="a3"/>
              <w:rPr>
                <w:rFonts w:cs="FrankRuehl"/>
                <w:sz w:val="28"/>
                <w:szCs w:val="28"/>
                <w:rtl/>
              </w:rPr>
            </w:pPr>
          </w:p>
        </w:tc>
        <w:tc>
          <w:tcPr>
            <w:tcW w:w="3667" w:type="dxa"/>
          </w:tcPr>
          <w:p w14:paraId="1D2DC60C" w14:textId="77777777" w:rsidR="00850859" w:rsidRPr="008D2021" w:rsidRDefault="00850859" w:rsidP="008D2021">
            <w:pPr>
              <w:pStyle w:val="a3"/>
              <w:jc w:val="right"/>
              <w:rPr>
                <w:rFonts w:cs="FrankRuehl"/>
                <w:sz w:val="28"/>
                <w:szCs w:val="28"/>
                <w:rtl/>
              </w:rPr>
            </w:pPr>
          </w:p>
        </w:tc>
      </w:tr>
    </w:tbl>
    <w:p w14:paraId="08F5A80A" w14:textId="77777777" w:rsidR="00850859" w:rsidRPr="008D2021" w:rsidRDefault="00850859" w:rsidP="00850859">
      <w:pPr>
        <w:pStyle w:val="a3"/>
        <w:rPr>
          <w:rtl/>
        </w:rPr>
      </w:pPr>
      <w:r w:rsidRPr="008D2021">
        <w:rPr>
          <w:rFonts w:hint="cs"/>
          <w:rtl/>
        </w:rPr>
        <w:t xml:space="preserve"> </w:t>
      </w:r>
    </w:p>
    <w:p w14:paraId="533C4D9E" w14:textId="77777777" w:rsidR="00850859" w:rsidRPr="008D2021" w:rsidRDefault="00850859" w:rsidP="0085085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50859" w:rsidRPr="008D2021" w14:paraId="3CDDCFD6" w14:textId="77777777" w:rsidTr="008D2021">
        <w:trPr>
          <w:trHeight w:val="295"/>
          <w:jc w:val="center"/>
        </w:trPr>
        <w:tc>
          <w:tcPr>
            <w:tcW w:w="923" w:type="dxa"/>
            <w:tcBorders>
              <w:top w:val="nil"/>
              <w:left w:val="nil"/>
              <w:bottom w:val="nil"/>
              <w:right w:val="nil"/>
            </w:tcBorders>
            <w:shd w:val="clear" w:color="auto" w:fill="auto"/>
          </w:tcPr>
          <w:p w14:paraId="4B7A808E" w14:textId="77777777" w:rsidR="00850859" w:rsidRPr="008D2021" w:rsidRDefault="00850859" w:rsidP="008D2021">
            <w:pPr>
              <w:jc w:val="both"/>
              <w:rPr>
                <w:rFonts w:ascii="Arial" w:hAnsi="Arial" w:cs="FrankRuehl"/>
                <w:sz w:val="28"/>
                <w:szCs w:val="28"/>
              </w:rPr>
            </w:pPr>
          </w:p>
        </w:tc>
        <w:tc>
          <w:tcPr>
            <w:tcW w:w="7897" w:type="dxa"/>
            <w:gridSpan w:val="2"/>
            <w:tcBorders>
              <w:top w:val="nil"/>
              <w:left w:val="nil"/>
              <w:bottom w:val="nil"/>
              <w:right w:val="nil"/>
            </w:tcBorders>
            <w:shd w:val="clear" w:color="auto" w:fill="auto"/>
          </w:tcPr>
          <w:p w14:paraId="35A2AD44" w14:textId="77777777" w:rsidR="00850859" w:rsidRPr="008D2021" w:rsidRDefault="00850859" w:rsidP="008D2021">
            <w:pPr>
              <w:jc w:val="both"/>
              <w:rPr>
                <w:rFonts w:ascii="Arial" w:hAnsi="Arial" w:cs="FrankRuehl"/>
                <w:sz w:val="28"/>
                <w:szCs w:val="28"/>
              </w:rPr>
            </w:pPr>
          </w:p>
        </w:tc>
      </w:tr>
      <w:tr w:rsidR="00850859" w:rsidRPr="008D2021" w14:paraId="07AABE23" w14:textId="77777777" w:rsidTr="008D2021">
        <w:trPr>
          <w:trHeight w:val="355"/>
          <w:jc w:val="center"/>
        </w:trPr>
        <w:tc>
          <w:tcPr>
            <w:tcW w:w="923" w:type="dxa"/>
            <w:tcBorders>
              <w:top w:val="nil"/>
              <w:left w:val="nil"/>
              <w:bottom w:val="nil"/>
              <w:right w:val="nil"/>
            </w:tcBorders>
            <w:shd w:val="clear" w:color="auto" w:fill="auto"/>
          </w:tcPr>
          <w:p w14:paraId="247B1F2F" w14:textId="77777777" w:rsidR="00850859" w:rsidRPr="008D2021" w:rsidRDefault="00850859" w:rsidP="008D2021">
            <w:pPr>
              <w:spacing w:after="120"/>
              <w:jc w:val="both"/>
              <w:rPr>
                <w:rFonts w:ascii="Arial" w:hAnsi="Arial"/>
                <w:b/>
                <w:bCs/>
              </w:rPr>
            </w:pPr>
            <w:bookmarkStart w:id="0" w:name="FirstAppellant"/>
            <w:r w:rsidRPr="008D2021">
              <w:rPr>
                <w:rFonts w:ascii="Arial" w:hAnsi="Arial" w:hint="cs"/>
                <w:b/>
                <w:bCs/>
                <w:rtl/>
              </w:rPr>
              <w:t>בעניין:</w:t>
            </w:r>
          </w:p>
        </w:tc>
        <w:tc>
          <w:tcPr>
            <w:tcW w:w="4126" w:type="dxa"/>
            <w:tcBorders>
              <w:top w:val="nil"/>
              <w:left w:val="nil"/>
              <w:bottom w:val="nil"/>
              <w:right w:val="nil"/>
            </w:tcBorders>
            <w:shd w:val="clear" w:color="auto" w:fill="auto"/>
          </w:tcPr>
          <w:p w14:paraId="22680AC5" w14:textId="77777777" w:rsidR="00850859" w:rsidRPr="008D2021" w:rsidRDefault="00850859" w:rsidP="008D2021">
            <w:pPr>
              <w:spacing w:after="120"/>
              <w:rPr>
                <w:b/>
                <w:bCs/>
              </w:rPr>
            </w:pPr>
            <w:r w:rsidRPr="008D2021">
              <w:rPr>
                <w:rFonts w:ascii="Arial" w:hAnsi="Arial"/>
                <w:b/>
                <w:bCs/>
                <w:rtl/>
              </w:rPr>
              <w:t>מדינת ישראל</w:t>
            </w:r>
            <w:r w:rsidRPr="008D2021">
              <w:rPr>
                <w:rFonts w:hint="cs"/>
                <w:b/>
                <w:bCs/>
                <w:rtl/>
              </w:rPr>
              <w:t xml:space="preserve"> </w:t>
            </w:r>
            <w:r w:rsidRPr="008D2021">
              <w:rPr>
                <w:b/>
                <w:bCs/>
                <w:rtl/>
              </w:rPr>
              <w:t>–</w:t>
            </w:r>
            <w:r w:rsidRPr="008D2021">
              <w:rPr>
                <w:rFonts w:hint="cs"/>
                <w:b/>
                <w:bCs/>
                <w:rtl/>
              </w:rPr>
              <w:t xml:space="preserve"> תביעות שפלה</w:t>
            </w:r>
          </w:p>
        </w:tc>
        <w:tc>
          <w:tcPr>
            <w:tcW w:w="3771" w:type="dxa"/>
            <w:tcBorders>
              <w:top w:val="nil"/>
              <w:left w:val="nil"/>
              <w:bottom w:val="nil"/>
              <w:right w:val="nil"/>
            </w:tcBorders>
            <w:shd w:val="clear" w:color="auto" w:fill="auto"/>
          </w:tcPr>
          <w:p w14:paraId="0C71DFFE" w14:textId="77777777" w:rsidR="00850859" w:rsidRPr="008D2021" w:rsidRDefault="00850859" w:rsidP="008D2021">
            <w:pPr>
              <w:spacing w:after="120"/>
              <w:jc w:val="both"/>
              <w:rPr>
                <w:rFonts w:ascii="Arial" w:hAnsi="Arial"/>
                <w:b/>
                <w:bCs/>
              </w:rPr>
            </w:pPr>
          </w:p>
        </w:tc>
      </w:tr>
      <w:tr w:rsidR="00850859" w:rsidRPr="008D2021" w14:paraId="56771216" w14:textId="77777777" w:rsidTr="008D2021">
        <w:trPr>
          <w:trHeight w:val="355"/>
          <w:jc w:val="center"/>
        </w:trPr>
        <w:tc>
          <w:tcPr>
            <w:tcW w:w="923" w:type="dxa"/>
            <w:tcBorders>
              <w:top w:val="nil"/>
              <w:left w:val="nil"/>
              <w:bottom w:val="nil"/>
              <w:right w:val="nil"/>
            </w:tcBorders>
            <w:shd w:val="clear" w:color="auto" w:fill="auto"/>
          </w:tcPr>
          <w:p w14:paraId="3C4CF44B" w14:textId="77777777" w:rsidR="00850859" w:rsidRPr="008D2021" w:rsidRDefault="00850859" w:rsidP="008D2021">
            <w:pPr>
              <w:spacing w:after="120"/>
              <w:jc w:val="both"/>
              <w:rPr>
                <w:rFonts w:ascii="Arial" w:hAnsi="Arial"/>
                <w:b/>
                <w:bCs/>
                <w:rtl/>
              </w:rPr>
            </w:pPr>
            <w:bookmarkStart w:id="1" w:name="FirstLawyer"/>
            <w:bookmarkEnd w:id="0"/>
          </w:p>
        </w:tc>
        <w:tc>
          <w:tcPr>
            <w:tcW w:w="4126" w:type="dxa"/>
            <w:tcBorders>
              <w:top w:val="nil"/>
              <w:left w:val="nil"/>
              <w:bottom w:val="nil"/>
              <w:right w:val="nil"/>
            </w:tcBorders>
            <w:shd w:val="clear" w:color="auto" w:fill="auto"/>
          </w:tcPr>
          <w:p w14:paraId="6F44C832" w14:textId="77777777" w:rsidR="00850859" w:rsidRPr="008D2021" w:rsidRDefault="00850859" w:rsidP="008D2021">
            <w:pPr>
              <w:spacing w:after="120"/>
              <w:jc w:val="both"/>
              <w:rPr>
                <w:b/>
                <w:bCs/>
                <w:rtl/>
              </w:rPr>
            </w:pPr>
            <w:r w:rsidRPr="008D2021">
              <w:rPr>
                <w:rFonts w:hint="cs"/>
                <w:b/>
                <w:bCs/>
                <w:rtl/>
              </w:rPr>
              <w:t>ע"י ב"כ עו"ד איתי שמואלי</w:t>
            </w:r>
          </w:p>
        </w:tc>
        <w:tc>
          <w:tcPr>
            <w:tcW w:w="3771" w:type="dxa"/>
            <w:tcBorders>
              <w:top w:val="nil"/>
              <w:left w:val="nil"/>
              <w:bottom w:val="nil"/>
              <w:right w:val="nil"/>
            </w:tcBorders>
            <w:shd w:val="clear" w:color="auto" w:fill="auto"/>
          </w:tcPr>
          <w:p w14:paraId="3CC11608" w14:textId="77777777" w:rsidR="00850859" w:rsidRPr="008D2021" w:rsidRDefault="00850859" w:rsidP="008D2021">
            <w:pPr>
              <w:spacing w:after="120"/>
              <w:jc w:val="right"/>
              <w:rPr>
                <w:rFonts w:ascii="Arial" w:hAnsi="Arial"/>
                <w:b/>
                <w:bCs/>
                <w:rtl/>
              </w:rPr>
            </w:pPr>
            <w:r w:rsidRPr="008D2021">
              <w:rPr>
                <w:rFonts w:ascii="Arial" w:hAnsi="Arial" w:hint="cs"/>
                <w:b/>
                <w:bCs/>
                <w:rtl/>
              </w:rPr>
              <w:t>ה</w:t>
            </w:r>
            <w:r w:rsidRPr="008D2021">
              <w:rPr>
                <w:b/>
                <w:bCs/>
                <w:rtl/>
              </w:rPr>
              <w:t>מאשימה</w:t>
            </w:r>
            <w:r w:rsidRPr="008D2021">
              <w:rPr>
                <w:b/>
                <w:bCs/>
                <w:rtl/>
              </w:rPr>
              <w:br/>
            </w:r>
          </w:p>
        </w:tc>
      </w:tr>
      <w:bookmarkEnd w:id="1"/>
      <w:tr w:rsidR="00850859" w:rsidRPr="008D2021" w14:paraId="596CC8A9" w14:textId="77777777" w:rsidTr="008D2021">
        <w:trPr>
          <w:trHeight w:val="355"/>
          <w:jc w:val="center"/>
        </w:trPr>
        <w:tc>
          <w:tcPr>
            <w:tcW w:w="923" w:type="dxa"/>
            <w:tcBorders>
              <w:top w:val="nil"/>
              <w:left w:val="nil"/>
              <w:bottom w:val="nil"/>
              <w:right w:val="nil"/>
            </w:tcBorders>
            <w:shd w:val="clear" w:color="auto" w:fill="auto"/>
          </w:tcPr>
          <w:p w14:paraId="30FDC663" w14:textId="77777777" w:rsidR="00850859" w:rsidRPr="008D2021" w:rsidRDefault="00850859" w:rsidP="008D2021">
            <w:pPr>
              <w:spacing w:after="120"/>
              <w:jc w:val="both"/>
              <w:rPr>
                <w:rFonts w:ascii="Arial" w:hAnsi="Arial"/>
                <w:b/>
                <w:bCs/>
                <w:rtl/>
              </w:rPr>
            </w:pPr>
          </w:p>
        </w:tc>
        <w:tc>
          <w:tcPr>
            <w:tcW w:w="7897" w:type="dxa"/>
            <w:gridSpan w:val="2"/>
            <w:tcBorders>
              <w:top w:val="nil"/>
              <w:left w:val="nil"/>
              <w:bottom w:val="nil"/>
              <w:right w:val="nil"/>
            </w:tcBorders>
            <w:shd w:val="clear" w:color="auto" w:fill="auto"/>
          </w:tcPr>
          <w:p w14:paraId="12B08920" w14:textId="77777777" w:rsidR="00850859" w:rsidRPr="008D2021" w:rsidRDefault="00850859" w:rsidP="008D2021">
            <w:pPr>
              <w:spacing w:after="120"/>
              <w:jc w:val="center"/>
              <w:rPr>
                <w:rFonts w:ascii="Arial" w:hAnsi="Arial"/>
                <w:b/>
                <w:bCs/>
                <w:rtl/>
              </w:rPr>
            </w:pPr>
          </w:p>
          <w:p w14:paraId="19895D34" w14:textId="77777777" w:rsidR="00850859" w:rsidRPr="008D2021" w:rsidRDefault="00850859" w:rsidP="008D2021">
            <w:pPr>
              <w:spacing w:after="120"/>
              <w:jc w:val="center"/>
              <w:rPr>
                <w:rFonts w:ascii="Arial" w:hAnsi="Arial"/>
                <w:b/>
                <w:bCs/>
                <w:rtl/>
              </w:rPr>
            </w:pPr>
            <w:r w:rsidRPr="008D2021">
              <w:rPr>
                <w:rFonts w:ascii="Arial" w:hAnsi="Arial"/>
                <w:b/>
                <w:bCs/>
                <w:rtl/>
              </w:rPr>
              <w:t>נגד</w:t>
            </w:r>
          </w:p>
          <w:p w14:paraId="45C95FCB" w14:textId="77777777" w:rsidR="00850859" w:rsidRPr="008D2021" w:rsidRDefault="00850859" w:rsidP="008D2021">
            <w:pPr>
              <w:spacing w:after="120"/>
              <w:jc w:val="both"/>
              <w:rPr>
                <w:rFonts w:ascii="Arial" w:hAnsi="Arial"/>
                <w:b/>
                <w:bCs/>
              </w:rPr>
            </w:pPr>
          </w:p>
        </w:tc>
      </w:tr>
      <w:tr w:rsidR="00850859" w:rsidRPr="008D2021" w14:paraId="3EBA12C7" w14:textId="77777777" w:rsidTr="008D2021">
        <w:trPr>
          <w:trHeight w:val="355"/>
          <w:jc w:val="center"/>
        </w:trPr>
        <w:tc>
          <w:tcPr>
            <w:tcW w:w="923" w:type="dxa"/>
            <w:tcBorders>
              <w:top w:val="nil"/>
              <w:left w:val="nil"/>
              <w:bottom w:val="nil"/>
              <w:right w:val="nil"/>
            </w:tcBorders>
            <w:shd w:val="clear" w:color="auto" w:fill="auto"/>
          </w:tcPr>
          <w:p w14:paraId="3D5AD409" w14:textId="77777777" w:rsidR="00850859" w:rsidRPr="008D2021" w:rsidRDefault="00850859" w:rsidP="008D2021">
            <w:pPr>
              <w:spacing w:after="120"/>
              <w:rPr>
                <w:rFonts w:ascii="Arial" w:hAnsi="Arial"/>
                <w:b/>
                <w:bCs/>
                <w:rtl/>
              </w:rPr>
            </w:pPr>
          </w:p>
        </w:tc>
        <w:tc>
          <w:tcPr>
            <w:tcW w:w="4126" w:type="dxa"/>
            <w:tcBorders>
              <w:top w:val="nil"/>
              <w:left w:val="nil"/>
              <w:bottom w:val="nil"/>
              <w:right w:val="nil"/>
            </w:tcBorders>
            <w:shd w:val="clear" w:color="auto" w:fill="auto"/>
          </w:tcPr>
          <w:p w14:paraId="60853289" w14:textId="77777777" w:rsidR="00850859" w:rsidRPr="008D2021" w:rsidRDefault="00850859" w:rsidP="008D2021">
            <w:pPr>
              <w:spacing w:after="120"/>
              <w:rPr>
                <w:rFonts w:ascii="Arial" w:hAnsi="Arial"/>
                <w:b/>
                <w:bCs/>
                <w:rtl/>
              </w:rPr>
            </w:pPr>
          </w:p>
          <w:p w14:paraId="70F0A6BB" w14:textId="77777777" w:rsidR="00850859" w:rsidRPr="008D2021" w:rsidRDefault="00850859" w:rsidP="008D2021">
            <w:pPr>
              <w:spacing w:after="120"/>
              <w:rPr>
                <w:b/>
                <w:bCs/>
                <w:rtl/>
              </w:rPr>
            </w:pPr>
            <w:r w:rsidRPr="008D2021">
              <w:rPr>
                <w:rFonts w:ascii="Arial" w:hAnsi="Arial"/>
                <w:b/>
                <w:bCs/>
                <w:rtl/>
              </w:rPr>
              <w:t>אלירן איפרגן</w:t>
            </w:r>
          </w:p>
        </w:tc>
        <w:tc>
          <w:tcPr>
            <w:tcW w:w="3771" w:type="dxa"/>
            <w:tcBorders>
              <w:top w:val="nil"/>
              <w:left w:val="nil"/>
              <w:bottom w:val="nil"/>
              <w:right w:val="nil"/>
            </w:tcBorders>
            <w:shd w:val="clear" w:color="auto" w:fill="auto"/>
          </w:tcPr>
          <w:p w14:paraId="5B394287" w14:textId="77777777" w:rsidR="00850859" w:rsidRPr="008D2021" w:rsidRDefault="00850859" w:rsidP="008D2021">
            <w:pPr>
              <w:spacing w:after="120"/>
              <w:jc w:val="right"/>
              <w:rPr>
                <w:rFonts w:ascii="Arial" w:hAnsi="Arial"/>
                <w:b/>
                <w:bCs/>
              </w:rPr>
            </w:pPr>
          </w:p>
        </w:tc>
      </w:tr>
      <w:tr w:rsidR="00850859" w:rsidRPr="008D2021" w14:paraId="08232266" w14:textId="77777777" w:rsidTr="008D2021">
        <w:trPr>
          <w:trHeight w:val="355"/>
          <w:jc w:val="center"/>
        </w:trPr>
        <w:tc>
          <w:tcPr>
            <w:tcW w:w="923" w:type="dxa"/>
            <w:tcBorders>
              <w:top w:val="nil"/>
              <w:left w:val="nil"/>
              <w:bottom w:val="nil"/>
              <w:right w:val="nil"/>
            </w:tcBorders>
            <w:shd w:val="clear" w:color="auto" w:fill="auto"/>
          </w:tcPr>
          <w:p w14:paraId="036F3F0D" w14:textId="77777777" w:rsidR="00850859" w:rsidRPr="008D2021" w:rsidRDefault="00850859" w:rsidP="008D2021">
            <w:pPr>
              <w:spacing w:after="120"/>
              <w:jc w:val="both"/>
              <w:rPr>
                <w:rFonts w:ascii="Arial" w:hAnsi="Arial"/>
                <w:b/>
                <w:bCs/>
                <w:rtl/>
              </w:rPr>
            </w:pPr>
          </w:p>
        </w:tc>
        <w:tc>
          <w:tcPr>
            <w:tcW w:w="4126" w:type="dxa"/>
            <w:tcBorders>
              <w:top w:val="nil"/>
              <w:left w:val="nil"/>
              <w:bottom w:val="nil"/>
              <w:right w:val="nil"/>
            </w:tcBorders>
            <w:shd w:val="clear" w:color="auto" w:fill="auto"/>
          </w:tcPr>
          <w:p w14:paraId="5DD298A2" w14:textId="77777777" w:rsidR="00850859" w:rsidRPr="008D2021" w:rsidRDefault="00850859" w:rsidP="008D2021">
            <w:pPr>
              <w:spacing w:after="120"/>
              <w:jc w:val="both"/>
              <w:rPr>
                <w:b/>
                <w:bCs/>
                <w:rtl/>
              </w:rPr>
            </w:pPr>
            <w:r w:rsidRPr="008D2021">
              <w:rPr>
                <w:rFonts w:hint="cs"/>
                <w:b/>
                <w:bCs/>
                <w:rtl/>
              </w:rPr>
              <w:t>ע"י ב"כ עו"ד שי גבאי</w:t>
            </w:r>
          </w:p>
        </w:tc>
        <w:tc>
          <w:tcPr>
            <w:tcW w:w="3771" w:type="dxa"/>
            <w:tcBorders>
              <w:top w:val="nil"/>
              <w:left w:val="nil"/>
              <w:bottom w:val="nil"/>
              <w:right w:val="nil"/>
            </w:tcBorders>
            <w:shd w:val="clear" w:color="auto" w:fill="auto"/>
          </w:tcPr>
          <w:p w14:paraId="7336608E" w14:textId="77777777" w:rsidR="00850859" w:rsidRPr="008D2021" w:rsidRDefault="00850859" w:rsidP="008D2021">
            <w:pPr>
              <w:spacing w:after="120"/>
              <w:jc w:val="right"/>
              <w:rPr>
                <w:rFonts w:ascii="Arial" w:hAnsi="Arial"/>
                <w:b/>
                <w:bCs/>
              </w:rPr>
            </w:pPr>
            <w:r w:rsidRPr="008D2021">
              <w:rPr>
                <w:rFonts w:ascii="Arial" w:hAnsi="Arial" w:hint="cs"/>
                <w:b/>
                <w:bCs/>
                <w:rtl/>
              </w:rPr>
              <w:t>ה</w:t>
            </w:r>
            <w:r w:rsidRPr="008D2021">
              <w:rPr>
                <w:b/>
                <w:bCs/>
                <w:rtl/>
              </w:rPr>
              <w:t>נאשם</w:t>
            </w:r>
            <w:r w:rsidRPr="008D2021">
              <w:rPr>
                <w:b/>
                <w:bCs/>
                <w:rtl/>
              </w:rPr>
              <w:br/>
            </w:r>
          </w:p>
        </w:tc>
      </w:tr>
    </w:tbl>
    <w:p w14:paraId="46EB4B71" w14:textId="77777777" w:rsidR="00B873F1" w:rsidRDefault="00B873F1" w:rsidP="00850859">
      <w:pPr>
        <w:rPr>
          <w:rtl/>
        </w:rPr>
      </w:pPr>
      <w:bookmarkStart w:id="2" w:name="LawTable"/>
      <w:bookmarkEnd w:id="2"/>
    </w:p>
    <w:p w14:paraId="4BBA0438" w14:textId="77777777" w:rsidR="00B873F1" w:rsidRPr="00B873F1" w:rsidRDefault="00B873F1" w:rsidP="00B873F1">
      <w:pPr>
        <w:spacing w:after="120" w:line="240" w:lineRule="exact"/>
        <w:ind w:left="283" w:hanging="283"/>
        <w:jc w:val="both"/>
        <w:rPr>
          <w:rFonts w:ascii="FrankRuehl" w:hAnsi="FrankRuehl" w:cs="FrankRuehl"/>
          <w:rtl/>
        </w:rPr>
      </w:pPr>
      <w:r w:rsidRPr="00B873F1">
        <w:rPr>
          <w:rFonts w:ascii="FrankRuehl" w:hAnsi="FrankRuehl" w:cs="FrankRuehl"/>
          <w:rtl/>
        </w:rPr>
        <w:t xml:space="preserve">חקיקה שאוזכרה: </w:t>
      </w:r>
    </w:p>
    <w:p w14:paraId="3A40ADD6" w14:textId="77777777" w:rsidR="00B873F1" w:rsidRPr="00B873F1" w:rsidRDefault="00B873F1" w:rsidP="00B873F1">
      <w:pPr>
        <w:spacing w:after="120" w:line="240" w:lineRule="exact"/>
        <w:ind w:left="283" w:hanging="283"/>
        <w:jc w:val="both"/>
        <w:rPr>
          <w:rFonts w:ascii="FrankRuehl" w:hAnsi="FrankRuehl" w:cs="FrankRuehl"/>
          <w:rtl/>
        </w:rPr>
      </w:pPr>
      <w:hyperlink r:id="rId6" w:history="1">
        <w:r w:rsidRPr="00B873F1">
          <w:rPr>
            <w:rFonts w:ascii="FrankRuehl" w:hAnsi="FrankRuehl" w:cs="FrankRuehl"/>
            <w:color w:val="0000FF"/>
            <w:u w:val="single"/>
            <w:rtl/>
          </w:rPr>
          <w:t>פקודת הסמים המסוכנים [נוסח חדש], תשל"ג-1973</w:t>
        </w:r>
      </w:hyperlink>
      <w:r w:rsidRPr="00B873F1">
        <w:rPr>
          <w:rFonts w:ascii="FrankRuehl" w:hAnsi="FrankRuehl" w:cs="FrankRuehl"/>
          <w:rtl/>
        </w:rPr>
        <w:t xml:space="preserve">: סע'  </w:t>
      </w:r>
      <w:hyperlink r:id="rId7" w:history="1">
        <w:r w:rsidRPr="00B873F1">
          <w:rPr>
            <w:rFonts w:ascii="FrankRuehl" w:hAnsi="FrankRuehl" w:cs="FrankRuehl"/>
            <w:color w:val="0000FF"/>
            <w:u w:val="single"/>
            <w:rtl/>
          </w:rPr>
          <w:t>6</w:t>
        </w:r>
      </w:hyperlink>
      <w:r w:rsidRPr="00B873F1">
        <w:rPr>
          <w:rFonts w:ascii="FrankRuehl" w:hAnsi="FrankRuehl" w:cs="FrankRuehl"/>
          <w:rtl/>
        </w:rPr>
        <w:t xml:space="preserve">, </w:t>
      </w:r>
      <w:hyperlink r:id="rId8" w:history="1">
        <w:r w:rsidRPr="00B873F1">
          <w:rPr>
            <w:rFonts w:ascii="FrankRuehl" w:hAnsi="FrankRuehl" w:cs="FrankRuehl"/>
            <w:color w:val="0000FF"/>
            <w:u w:val="single"/>
            <w:rtl/>
          </w:rPr>
          <w:t>10</w:t>
        </w:r>
      </w:hyperlink>
    </w:p>
    <w:p w14:paraId="5E59CE3F" w14:textId="77777777" w:rsidR="00B873F1" w:rsidRPr="00B873F1" w:rsidRDefault="00B873F1" w:rsidP="00B873F1">
      <w:pPr>
        <w:spacing w:after="120" w:line="240" w:lineRule="exact"/>
        <w:ind w:left="283" w:hanging="283"/>
        <w:jc w:val="both"/>
        <w:rPr>
          <w:rFonts w:ascii="FrankRuehl" w:hAnsi="FrankRuehl" w:cs="FrankRuehl"/>
          <w:rtl/>
        </w:rPr>
      </w:pPr>
      <w:hyperlink r:id="rId9" w:history="1">
        <w:r w:rsidRPr="00B873F1">
          <w:rPr>
            <w:rFonts w:ascii="FrankRuehl" w:hAnsi="FrankRuehl" w:cs="FrankRuehl"/>
            <w:color w:val="0000FF"/>
            <w:u w:val="single"/>
            <w:rtl/>
          </w:rPr>
          <w:t>חוק העונשין, תשל"ז-1977</w:t>
        </w:r>
      </w:hyperlink>
      <w:r w:rsidRPr="00B873F1">
        <w:rPr>
          <w:rFonts w:ascii="FrankRuehl" w:hAnsi="FrankRuehl" w:cs="FrankRuehl"/>
          <w:rtl/>
        </w:rPr>
        <w:t xml:space="preserve">: סע'  </w:t>
      </w:r>
      <w:hyperlink r:id="rId10" w:history="1">
        <w:r w:rsidRPr="00B873F1">
          <w:rPr>
            <w:rFonts w:ascii="FrankRuehl" w:hAnsi="FrankRuehl" w:cs="FrankRuehl"/>
            <w:color w:val="0000FF"/>
            <w:u w:val="single"/>
            <w:rtl/>
          </w:rPr>
          <w:t>40ב</w:t>
        </w:r>
      </w:hyperlink>
      <w:r w:rsidRPr="00B873F1">
        <w:rPr>
          <w:rFonts w:ascii="FrankRuehl" w:hAnsi="FrankRuehl" w:cs="FrankRuehl"/>
          <w:rtl/>
        </w:rPr>
        <w:t xml:space="preserve">, </w:t>
      </w:r>
      <w:hyperlink r:id="rId11" w:history="1">
        <w:r w:rsidRPr="00B873F1">
          <w:rPr>
            <w:rFonts w:ascii="FrankRuehl" w:hAnsi="FrankRuehl" w:cs="FrankRuehl"/>
            <w:color w:val="0000FF"/>
            <w:u w:val="single"/>
            <w:rtl/>
          </w:rPr>
          <w:t>40ג(א)</w:t>
        </w:r>
      </w:hyperlink>
    </w:p>
    <w:p w14:paraId="364A291E" w14:textId="77777777" w:rsidR="00B873F1" w:rsidRPr="00B873F1" w:rsidRDefault="00B873F1" w:rsidP="00B873F1">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50859" w:rsidRPr="003550EB" w14:paraId="71E245F1" w14:textId="77777777" w:rsidTr="008D2021">
        <w:trPr>
          <w:trHeight w:val="355"/>
          <w:jc w:val="center"/>
        </w:trPr>
        <w:tc>
          <w:tcPr>
            <w:tcW w:w="8820" w:type="dxa"/>
            <w:tcBorders>
              <w:top w:val="nil"/>
              <w:left w:val="nil"/>
              <w:bottom w:val="nil"/>
              <w:right w:val="nil"/>
            </w:tcBorders>
            <w:shd w:val="clear" w:color="auto" w:fill="auto"/>
          </w:tcPr>
          <w:p w14:paraId="561842C2" w14:textId="77777777" w:rsidR="008D2021" w:rsidRPr="008D2021" w:rsidRDefault="008D2021" w:rsidP="008D2021">
            <w:pPr>
              <w:spacing w:after="120" w:line="360" w:lineRule="auto"/>
              <w:jc w:val="center"/>
              <w:rPr>
                <w:rFonts w:ascii="Arial" w:hAnsi="Arial"/>
                <w:b/>
                <w:bCs/>
                <w:sz w:val="40"/>
                <w:szCs w:val="40"/>
                <w:u w:val="single"/>
                <w:rtl/>
              </w:rPr>
            </w:pPr>
            <w:bookmarkStart w:id="3" w:name="LawTable_End"/>
            <w:bookmarkStart w:id="4" w:name="PsakDin" w:colFirst="0" w:colLast="0"/>
            <w:bookmarkEnd w:id="3"/>
            <w:r w:rsidRPr="008D2021">
              <w:rPr>
                <w:rFonts w:ascii="Arial" w:hAnsi="Arial"/>
                <w:b/>
                <w:bCs/>
                <w:sz w:val="40"/>
                <w:szCs w:val="40"/>
                <w:u w:val="single"/>
                <w:rtl/>
              </w:rPr>
              <w:t>גזר דין</w:t>
            </w:r>
          </w:p>
          <w:p w14:paraId="7BC5E4AA" w14:textId="77777777" w:rsidR="00850859" w:rsidRPr="008D2021" w:rsidRDefault="00850859" w:rsidP="008D2021">
            <w:pPr>
              <w:spacing w:after="120" w:line="360" w:lineRule="auto"/>
              <w:jc w:val="center"/>
              <w:rPr>
                <w:rFonts w:ascii="Arial" w:hAnsi="Arial"/>
                <w:b/>
                <w:bCs/>
                <w:sz w:val="40"/>
                <w:szCs w:val="40"/>
                <w:u w:val="single"/>
                <w:rtl/>
              </w:rPr>
            </w:pPr>
          </w:p>
        </w:tc>
      </w:tr>
      <w:bookmarkEnd w:id="4"/>
    </w:tbl>
    <w:p w14:paraId="10A215E1" w14:textId="77777777" w:rsidR="00850859" w:rsidRDefault="00850859" w:rsidP="00850859">
      <w:pPr>
        <w:spacing w:after="120" w:line="360" w:lineRule="auto"/>
        <w:jc w:val="both"/>
        <w:rPr>
          <w:rtl/>
        </w:rPr>
      </w:pPr>
    </w:p>
    <w:p w14:paraId="352E1ECC" w14:textId="77777777" w:rsidR="00850859" w:rsidRDefault="00850859" w:rsidP="00850859">
      <w:pPr>
        <w:spacing w:after="120" w:line="360" w:lineRule="auto"/>
        <w:jc w:val="both"/>
        <w:rPr>
          <w:rtl/>
        </w:rPr>
      </w:pPr>
      <w:bookmarkStart w:id="5" w:name="ABSTRACT_START"/>
      <w:bookmarkEnd w:id="5"/>
      <w:r>
        <w:rPr>
          <w:rFonts w:hint="cs"/>
          <w:rtl/>
        </w:rPr>
        <w:t xml:space="preserve">הנאשם הודה והורשע על פי הודייתו בכתב אישום מתוקן המייחס לו עבירות של גידול ויצור סמים מסוכנים, עבירה לפי </w:t>
      </w:r>
      <w:hyperlink r:id="rId12" w:history="1">
        <w:r w:rsidR="00B873F1" w:rsidRPr="00B873F1">
          <w:rPr>
            <w:color w:val="0000FF"/>
            <w:u w:val="single"/>
            <w:rtl/>
          </w:rPr>
          <w:t>סעיף 6</w:t>
        </w:r>
      </w:hyperlink>
      <w:r>
        <w:rPr>
          <w:rFonts w:hint="cs"/>
          <w:rtl/>
        </w:rPr>
        <w:t xml:space="preserve"> ל</w:t>
      </w:r>
      <w:hyperlink r:id="rId13" w:history="1">
        <w:r w:rsidR="008D2021" w:rsidRPr="008D2021">
          <w:rPr>
            <w:color w:val="0000FF"/>
            <w:u w:val="single"/>
            <w:rtl/>
          </w:rPr>
          <w:t>פקודת הסמים המסוכנים</w:t>
        </w:r>
      </w:hyperlink>
      <w:r>
        <w:rPr>
          <w:rFonts w:hint="cs"/>
          <w:rtl/>
        </w:rPr>
        <w:t xml:space="preserve"> (נוסח חדש) תשל"ג </w:t>
      </w:r>
      <w:r>
        <w:rPr>
          <w:rtl/>
        </w:rPr>
        <w:t>–</w:t>
      </w:r>
      <w:r>
        <w:rPr>
          <w:rFonts w:hint="cs"/>
          <w:rtl/>
        </w:rPr>
        <w:t xml:space="preserve"> 1973, ועבירת החזקת כלים להכנת סם שלא לצריכה עצמית  - עבירה לפי </w:t>
      </w:r>
      <w:hyperlink r:id="rId14" w:history="1">
        <w:r w:rsidR="00B873F1" w:rsidRPr="00B873F1">
          <w:rPr>
            <w:color w:val="0000FF"/>
            <w:u w:val="single"/>
            <w:rtl/>
          </w:rPr>
          <w:t>סעיף 10</w:t>
        </w:r>
      </w:hyperlink>
      <w:r>
        <w:rPr>
          <w:rFonts w:hint="cs"/>
          <w:rtl/>
        </w:rPr>
        <w:t xml:space="preserve"> רישא לפקודת הסמים המסוכנים (נוסח חדש) תשל"ג </w:t>
      </w:r>
      <w:r>
        <w:rPr>
          <w:rtl/>
        </w:rPr>
        <w:t>–</w:t>
      </w:r>
      <w:r>
        <w:rPr>
          <w:rFonts w:hint="cs"/>
          <w:rtl/>
        </w:rPr>
        <w:t xml:space="preserve"> 1973.</w:t>
      </w:r>
    </w:p>
    <w:p w14:paraId="45604B94" w14:textId="77777777" w:rsidR="00850859" w:rsidRDefault="00850859" w:rsidP="00850859">
      <w:pPr>
        <w:spacing w:after="120" w:line="360" w:lineRule="auto"/>
        <w:jc w:val="both"/>
        <w:rPr>
          <w:rtl/>
        </w:rPr>
      </w:pPr>
      <w:bookmarkStart w:id="6" w:name="ABSTRACT_END"/>
      <w:bookmarkEnd w:id="6"/>
      <w:r>
        <w:rPr>
          <w:rFonts w:hint="cs"/>
          <w:rtl/>
        </w:rPr>
        <w:t>בהתאם לכתב האישום, בתאריך 27.11.2014 שכר הנאשם מחסן ברח' דרך המכבים 16, בעיר ראשון לציון.</w:t>
      </w:r>
    </w:p>
    <w:p w14:paraId="1A4053F2" w14:textId="77777777" w:rsidR="00850859" w:rsidRDefault="00850859" w:rsidP="00850859">
      <w:pPr>
        <w:spacing w:after="120" w:line="360" w:lineRule="auto"/>
        <w:jc w:val="both"/>
        <w:rPr>
          <w:rtl/>
        </w:rPr>
      </w:pPr>
      <w:r>
        <w:rPr>
          <w:rFonts w:hint="cs"/>
          <w:rtl/>
        </w:rPr>
        <w:t>בתאריך 12.8.2015, בשעה 15.15 או בסמוך לכך בוצע חיפוש במחסן ובמסגרתו נתפסו הדברים הבאים:</w:t>
      </w:r>
    </w:p>
    <w:p w14:paraId="30E122F6" w14:textId="77777777" w:rsidR="00850859" w:rsidRDefault="00850859" w:rsidP="00850859">
      <w:pPr>
        <w:spacing w:after="120" w:line="360" w:lineRule="auto"/>
        <w:jc w:val="both"/>
        <w:rPr>
          <w:rtl/>
        </w:rPr>
      </w:pPr>
      <w:r>
        <w:rPr>
          <w:rFonts w:hint="cs"/>
          <w:rtl/>
        </w:rPr>
        <w:lastRenderedPageBreak/>
        <w:t>216 שתילים של סם מסוכן מסוג קנבוס במשקל נטו של 4,250 ג';</w:t>
      </w:r>
    </w:p>
    <w:p w14:paraId="48070C1C" w14:textId="77777777" w:rsidR="00850859" w:rsidRDefault="00850859" w:rsidP="00850859">
      <w:pPr>
        <w:spacing w:after="120" w:line="360" w:lineRule="auto"/>
        <w:jc w:val="both"/>
        <w:rPr>
          <w:rtl/>
        </w:rPr>
      </w:pPr>
      <w:r>
        <w:rPr>
          <w:rFonts w:hint="cs"/>
          <w:rtl/>
        </w:rPr>
        <w:t>אינקובטור ובו 221 שתילים של סם מסוכן מסוג קנבוס במשקל נטו של 89 ג';</w:t>
      </w:r>
    </w:p>
    <w:p w14:paraId="516878B8" w14:textId="77777777" w:rsidR="00850859" w:rsidRDefault="00850859" w:rsidP="00850859">
      <w:pPr>
        <w:spacing w:after="120" w:line="360" w:lineRule="auto"/>
        <w:jc w:val="both"/>
        <w:rPr>
          <w:rtl/>
        </w:rPr>
      </w:pPr>
      <w:r>
        <w:rPr>
          <w:rFonts w:hint="cs"/>
          <w:rtl/>
        </w:rPr>
        <w:t>4 שתילים של סם מסוכן מסוג קנבוס במשקל נטו של 71.40 ג';</w:t>
      </w:r>
    </w:p>
    <w:p w14:paraId="2FEC0FEC" w14:textId="77777777" w:rsidR="00850859" w:rsidRDefault="00850859" w:rsidP="00850859">
      <w:pPr>
        <w:spacing w:after="120" w:line="360" w:lineRule="auto"/>
        <w:jc w:val="both"/>
        <w:rPr>
          <w:rtl/>
        </w:rPr>
      </w:pPr>
      <w:r>
        <w:rPr>
          <w:rFonts w:hint="cs"/>
          <w:rtl/>
        </w:rPr>
        <w:t>נורות גדולות, מאווררים, אדניות, דשן וכלי גינון ששימשו לגידול הסמים.</w:t>
      </w:r>
    </w:p>
    <w:p w14:paraId="0E2BABDA" w14:textId="77777777" w:rsidR="00850859" w:rsidRDefault="00850859" w:rsidP="00850859">
      <w:pPr>
        <w:spacing w:after="120" w:line="360" w:lineRule="auto"/>
        <w:jc w:val="both"/>
        <w:rPr>
          <w:b/>
          <w:bCs/>
          <w:u w:val="single"/>
          <w:rtl/>
        </w:rPr>
      </w:pPr>
    </w:p>
    <w:p w14:paraId="3C6C78E0" w14:textId="77777777" w:rsidR="00850859" w:rsidRDefault="00850859" w:rsidP="00850859">
      <w:pPr>
        <w:spacing w:after="120" w:line="360" w:lineRule="auto"/>
        <w:jc w:val="both"/>
        <w:rPr>
          <w:b/>
          <w:bCs/>
          <w:u w:val="single"/>
          <w:rtl/>
        </w:rPr>
      </w:pPr>
    </w:p>
    <w:p w14:paraId="2866096F" w14:textId="77777777" w:rsidR="00850859" w:rsidRPr="00C80DC9" w:rsidRDefault="00850859" w:rsidP="00850859">
      <w:pPr>
        <w:spacing w:after="120" w:line="360" w:lineRule="auto"/>
        <w:jc w:val="both"/>
        <w:rPr>
          <w:b/>
          <w:bCs/>
          <w:u w:val="single"/>
          <w:rtl/>
        </w:rPr>
      </w:pPr>
      <w:r w:rsidRPr="00C80DC9">
        <w:rPr>
          <w:rFonts w:hint="cs"/>
          <w:b/>
          <w:bCs/>
          <w:u w:val="single"/>
          <w:rtl/>
        </w:rPr>
        <w:t>תסקירי שירות המבחן</w:t>
      </w:r>
    </w:p>
    <w:p w14:paraId="6D84BBEA" w14:textId="77777777" w:rsidR="00850859" w:rsidRDefault="00850859" w:rsidP="00850859">
      <w:pPr>
        <w:spacing w:after="120" w:line="360" w:lineRule="auto"/>
        <w:jc w:val="both"/>
        <w:rPr>
          <w:rtl/>
        </w:rPr>
      </w:pPr>
      <w:r w:rsidRPr="00C80DC9">
        <w:rPr>
          <w:rFonts w:hint="cs"/>
          <w:rtl/>
        </w:rPr>
        <w:t>בעניינו של הנאשם הוגשו שני תסקירים</w:t>
      </w:r>
      <w:r>
        <w:rPr>
          <w:rFonts w:hint="cs"/>
          <w:rtl/>
        </w:rPr>
        <w:t>.</w:t>
      </w:r>
    </w:p>
    <w:p w14:paraId="182A02FC" w14:textId="77777777" w:rsidR="00850859" w:rsidRDefault="00850859" w:rsidP="00850859">
      <w:pPr>
        <w:spacing w:after="120" w:line="360" w:lineRule="auto"/>
        <w:jc w:val="both"/>
        <w:rPr>
          <w:rtl/>
        </w:rPr>
      </w:pPr>
      <w:r>
        <w:rPr>
          <w:rFonts w:hint="cs"/>
          <w:rtl/>
        </w:rPr>
        <w:t>על פי התסקיר הראשון, הנאשם הוא רווק בן 32, בעל תעודת בגרות חלקית. הוא אובחן כסובל מהפרעות חרדה ודיכאון ונמצא בקשר מעקבי עם פסיכיאטר, בצירוף טיפול תרופתי.</w:t>
      </w:r>
    </w:p>
    <w:p w14:paraId="1EC14482" w14:textId="77777777" w:rsidR="00850859" w:rsidRDefault="00850859" w:rsidP="00850859">
      <w:pPr>
        <w:spacing w:after="120" w:line="360" w:lineRule="auto"/>
        <w:jc w:val="both"/>
        <w:rPr>
          <w:rtl/>
        </w:rPr>
      </w:pPr>
      <w:r>
        <w:rPr>
          <w:rFonts w:hint="cs"/>
          <w:rtl/>
        </w:rPr>
        <w:t>אין לנאשם כל עבר פלילי שהוא.</w:t>
      </w:r>
    </w:p>
    <w:p w14:paraId="776DE339" w14:textId="77777777" w:rsidR="00850859" w:rsidRDefault="00850859" w:rsidP="00850859">
      <w:pPr>
        <w:spacing w:after="120" w:line="360" w:lineRule="auto"/>
        <w:jc w:val="both"/>
        <w:rPr>
          <w:rtl/>
        </w:rPr>
      </w:pPr>
      <w:r>
        <w:rPr>
          <w:rFonts w:hint="cs"/>
          <w:rtl/>
        </w:rPr>
        <w:t xml:space="preserve">הרקע לביצוע העבירה היה כלכלי </w:t>
      </w:r>
      <w:r>
        <w:rPr>
          <w:rtl/>
        </w:rPr>
        <w:t>–</w:t>
      </w:r>
      <w:r>
        <w:rPr>
          <w:rFonts w:hint="cs"/>
          <w:rtl/>
        </w:rPr>
        <w:t xml:space="preserve"> עקב צבירת חובות משמעותיים לשוק האפור לצורך כיסוי חובותיו, כאשר הנאשם התקשה לשתף בקשייו את בני משפחתו.</w:t>
      </w:r>
    </w:p>
    <w:p w14:paraId="4DB30428" w14:textId="77777777" w:rsidR="00850859" w:rsidRDefault="00850859" w:rsidP="00850859">
      <w:pPr>
        <w:spacing w:after="120" w:line="360" w:lineRule="auto"/>
        <w:jc w:val="both"/>
        <w:rPr>
          <w:rtl/>
        </w:rPr>
      </w:pPr>
      <w:r>
        <w:rPr>
          <w:rFonts w:hint="cs"/>
          <w:rtl/>
        </w:rPr>
        <w:t>במסגרת פיקוח המעצר שולב הנאשם בקבוצה טיפולית ולקח בה חלק פעיל. השירות התרשם כי הנאשם עורך מאמצים לתיפקוד תקין, וכי המדובר בעבירה שבוצעה עקב נסיונו למצוא פיתרון מהיר לבעיותיו, וקשייו לשתף את בני משפחתו. הנאשם בעל יכולות ורבליות ותפקודיות טובות, מביע חרטה שנחזית להיות כנה, לוקח אחריות על מעשיו, מבין חומרתם, ונכון לשאת בתוצאות העבירה שביצע. ההליכים המשפטיים והמעצר מהווים גורם הרתעתי עבורו והוא נעזר היום בצורה מיטיבה עם בני משפחתו.</w:t>
      </w:r>
    </w:p>
    <w:p w14:paraId="67B35582" w14:textId="77777777" w:rsidR="00850859" w:rsidRDefault="00850859" w:rsidP="00850859">
      <w:pPr>
        <w:spacing w:after="120" w:line="360" w:lineRule="auto"/>
        <w:jc w:val="both"/>
        <w:rPr>
          <w:rtl/>
        </w:rPr>
      </w:pPr>
      <w:r>
        <w:rPr>
          <w:rFonts w:hint="cs"/>
          <w:rtl/>
        </w:rPr>
        <w:t>נוכח האמור העריך שירות המבחן כי הסיכון להישנות התנהגות בעייתית פחת, והמליץ להעמיד הנאשם בצו מבחן לצורך שילוב בטיפול ייעודי. כן המליץ השירות על ענישה חינוכית בדמות 300 שעות של"צ.</w:t>
      </w:r>
    </w:p>
    <w:p w14:paraId="65E45A67" w14:textId="77777777" w:rsidR="00850859" w:rsidRDefault="00850859" w:rsidP="00850859">
      <w:pPr>
        <w:spacing w:after="120" w:line="360" w:lineRule="auto"/>
        <w:jc w:val="both"/>
        <w:rPr>
          <w:rtl/>
        </w:rPr>
      </w:pPr>
      <w:r>
        <w:rPr>
          <w:rFonts w:hint="cs"/>
          <w:rtl/>
        </w:rPr>
        <w:t>בדיון שהתקיים לאחר קבלת תסקיר זה הוריתי על העמדת הנאשם בפיקוח שירות המבחן לתקופה של חצי שנה וקבלת תסקיר משלים.</w:t>
      </w:r>
    </w:p>
    <w:p w14:paraId="046D1D21" w14:textId="77777777" w:rsidR="00850859" w:rsidRDefault="00850859" w:rsidP="00850859">
      <w:pPr>
        <w:spacing w:after="120" w:line="360" w:lineRule="auto"/>
        <w:jc w:val="both"/>
        <w:rPr>
          <w:rtl/>
        </w:rPr>
      </w:pPr>
      <w:r>
        <w:rPr>
          <w:rFonts w:hint="cs"/>
          <w:rtl/>
        </w:rPr>
        <w:t>בתסקיר השני תיאר השירות כי הנאשם הגיע לפגישות פרטניות אחת לשבועיים באופן קבוע, במהלכן גילה התמדה ויכולת ראשונית לבחון דפוסיו השוליים ומצבי סיכון בחייו להמשך מעורבות שולית. הוא התראיין לקבוצה טיפולית "בחירה ושינוי" בשירות, אשר מטרתה העמקה בבחינת דפוסים שוליים ושינוי דרכי התמודדות בזמני משבר וסיכון. הנאשם התקבל לקבוצה ועתיד להתחיל השתתפותו בה בחודש אפריל.</w:t>
      </w:r>
    </w:p>
    <w:p w14:paraId="69032A31" w14:textId="77777777" w:rsidR="00850859" w:rsidRDefault="00850859" w:rsidP="00850859">
      <w:pPr>
        <w:spacing w:after="120" w:line="360" w:lineRule="auto"/>
        <w:jc w:val="both"/>
        <w:rPr>
          <w:rtl/>
        </w:rPr>
      </w:pPr>
      <w:r>
        <w:rPr>
          <w:rFonts w:hint="cs"/>
          <w:rtl/>
        </w:rPr>
        <w:lastRenderedPageBreak/>
        <w:t xml:space="preserve">נוכח התרשמות השירות מהמחוייבות אותה גילה הנאשם בהגעה לפגישות ובדיקות בשירות, יכולתו להתייחס </w:t>
      </w:r>
      <w:r w:rsidRPr="00890DEF">
        <w:rPr>
          <w:rFonts w:hint="cs"/>
          <w:u w:val="single"/>
          <w:rtl/>
        </w:rPr>
        <w:t>באופן ראשוני</w:t>
      </w:r>
      <w:r>
        <w:rPr>
          <w:rFonts w:hint="cs"/>
          <w:rtl/>
        </w:rPr>
        <w:t xml:space="preserve"> לדפוסיו והאחריות המלאה אותה נטל על העבירה שביצע שב השירות על המלצתו להטיל עליו עונש של של"צ והעמדתו בצו מבחן.</w:t>
      </w:r>
    </w:p>
    <w:p w14:paraId="39768446" w14:textId="77777777" w:rsidR="00850859" w:rsidRDefault="00850859" w:rsidP="00850859">
      <w:pPr>
        <w:spacing w:after="120" w:line="360" w:lineRule="auto"/>
        <w:jc w:val="both"/>
        <w:rPr>
          <w:rtl/>
        </w:rPr>
      </w:pPr>
      <w:r>
        <w:rPr>
          <w:rFonts w:hint="cs"/>
          <w:rtl/>
        </w:rPr>
        <w:t>יצויין כי לכל אורך הדרך, הנאשם שלל שימוש בסמים, ובדיקות שתן שערך נמצאו נקיות מסמים.</w:t>
      </w:r>
    </w:p>
    <w:p w14:paraId="12BD4F8B" w14:textId="77777777" w:rsidR="00850859" w:rsidRDefault="00850859" w:rsidP="00850859">
      <w:pPr>
        <w:spacing w:after="120" w:line="360" w:lineRule="auto"/>
        <w:rPr>
          <w:b/>
          <w:bCs/>
          <w:u w:val="single"/>
          <w:rtl/>
        </w:rPr>
      </w:pPr>
    </w:p>
    <w:p w14:paraId="03A1405F" w14:textId="77777777" w:rsidR="00850859" w:rsidRPr="00864D4E" w:rsidRDefault="00850859" w:rsidP="00850859">
      <w:pPr>
        <w:spacing w:after="120" w:line="360" w:lineRule="auto"/>
        <w:rPr>
          <w:b/>
          <w:bCs/>
          <w:u w:val="single"/>
          <w:rtl/>
        </w:rPr>
      </w:pPr>
      <w:r w:rsidRPr="00864D4E">
        <w:rPr>
          <w:rFonts w:hint="cs"/>
          <w:b/>
          <w:bCs/>
          <w:u w:val="single"/>
          <w:rtl/>
        </w:rPr>
        <w:t>טענות המאשימה</w:t>
      </w:r>
    </w:p>
    <w:p w14:paraId="5C2F2AD1" w14:textId="77777777" w:rsidR="00850859" w:rsidRDefault="00850859" w:rsidP="00850859">
      <w:pPr>
        <w:spacing w:after="120" w:line="360" w:lineRule="auto"/>
        <w:jc w:val="both"/>
      </w:pPr>
      <w:r>
        <w:rPr>
          <w:rFonts w:hint="cs"/>
          <w:rtl/>
        </w:rPr>
        <w:t xml:space="preserve">ב"כ המאשימה הדגיש בטיעוניו את חומרת מעשיו של הנאשם, תוך שפירט כי מדובר במי אשר גידל במעבדה במרתף ששכר 461 שתילים סם מסוכן מסוג קנבוס מתוכם 220 שתילים במשקל של כ </w:t>
      </w:r>
      <w:r>
        <w:rPr>
          <w:rtl/>
        </w:rPr>
        <w:t>–</w:t>
      </w:r>
      <w:r>
        <w:rPr>
          <w:rFonts w:hint="cs"/>
          <w:rtl/>
        </w:rPr>
        <w:t xml:space="preserve"> 4 ק"ג, המוכנים להפקה. </w:t>
      </w:r>
    </w:p>
    <w:p w14:paraId="188A7782" w14:textId="77777777" w:rsidR="00850859" w:rsidRDefault="00850859" w:rsidP="00850859">
      <w:pPr>
        <w:spacing w:after="120" w:line="360" w:lineRule="auto"/>
        <w:jc w:val="both"/>
        <w:rPr>
          <w:rtl/>
        </w:rPr>
      </w:pPr>
      <w:r>
        <w:rPr>
          <w:rFonts w:hint="cs"/>
          <w:rtl/>
        </w:rPr>
        <w:t xml:space="preserve">ב"כ המאשימה ביקש להדגיש כי עסקינן במעבדת סמים לכל דבר ועניין שהוקמה על ידי הנאשם בבניין משרדים, כאשר החצרים נשכרו לצורך זה באופן מיוחד,  בדמי שכירות של למעלה מ </w:t>
      </w:r>
      <w:r>
        <w:rPr>
          <w:rtl/>
        </w:rPr>
        <w:t>–</w:t>
      </w:r>
      <w:r>
        <w:rPr>
          <w:rFonts w:hint="cs"/>
          <w:rtl/>
        </w:rPr>
        <w:t xml:space="preserve"> 4,000 ₪ לחודש, וזאת להבדיל מגידול מזדמן או מאולתר בחצר של בית. המעבדה כללה ציוד ייעודי רב ומגוון, בו הצטייד הנאשם לצורך הקמת המעבדה, ואשר נרכש לצורך כך. לשיטתו, בהתחשב בכמות השתילים, בטיבם, בפוטנציאל הגלום בהם ובאופי המעבדה, ובשים לב לעובדה שהנאשם איננו צרכן סמים, הרי שאין ספק כי המדובר במעבדה שהוקמה לצורך הפצת סמים לציבור הרחב.</w:t>
      </w:r>
    </w:p>
    <w:p w14:paraId="13177911" w14:textId="77777777" w:rsidR="00850859" w:rsidRDefault="00850859" w:rsidP="00850859">
      <w:pPr>
        <w:spacing w:after="120" w:line="360" w:lineRule="auto"/>
        <w:jc w:val="both"/>
        <w:rPr>
          <w:rtl/>
        </w:rPr>
      </w:pPr>
      <w:r>
        <w:rPr>
          <w:rFonts w:hint="cs"/>
          <w:rtl/>
        </w:rPr>
        <w:t>בנסיבות הללו ובשים לב לכמויות הסם, טען ב"כ המאשימה כי מידת הפגיעה של הנאשם בערכים המוגנים הינה משמעותית.</w:t>
      </w:r>
    </w:p>
    <w:p w14:paraId="068C358E" w14:textId="77777777" w:rsidR="00850859" w:rsidRDefault="00850859" w:rsidP="00850859">
      <w:pPr>
        <w:spacing w:after="120" w:line="360" w:lineRule="auto"/>
        <w:jc w:val="both"/>
      </w:pPr>
      <w:r>
        <w:rPr>
          <w:rFonts w:hint="cs"/>
          <w:rtl/>
        </w:rPr>
        <w:t>זאת ועוד, חומרת המעשה אינה נבחנת במשקל הסם בלבד ובוודאי שלא בריכוז החומר הפעיל, אלא גם במספר השתילים המלמד על הפוטנציאל הטמון במעשה ועל כוונת העושה.</w:t>
      </w:r>
    </w:p>
    <w:p w14:paraId="4BEF3ACA" w14:textId="77777777" w:rsidR="00850859" w:rsidRDefault="00850859" w:rsidP="00850859">
      <w:pPr>
        <w:spacing w:after="120" w:line="360" w:lineRule="auto"/>
        <w:jc w:val="both"/>
        <w:rPr>
          <w:rtl/>
        </w:rPr>
      </w:pPr>
      <w:r>
        <w:rPr>
          <w:rFonts w:hint="cs"/>
          <w:rtl/>
        </w:rPr>
        <w:t xml:space="preserve">אשר למתחם העונש ההולם לעבירות בנסיבות ביצוען, טען ב"כ המאשימה כי פסיקת בית המשפט העליון מלמדת כי העונש הראוי הינו מאסר משמעותי לריצוי בפועל מאחורי סורג ובריח. </w:t>
      </w:r>
    </w:p>
    <w:p w14:paraId="33AF25AF" w14:textId="77777777" w:rsidR="00850859" w:rsidRDefault="00850859" w:rsidP="00850859">
      <w:pPr>
        <w:spacing w:after="120" w:line="360" w:lineRule="auto"/>
        <w:jc w:val="both"/>
        <w:rPr>
          <w:rtl/>
        </w:rPr>
      </w:pPr>
      <w:r>
        <w:rPr>
          <w:rFonts w:hint="cs"/>
          <w:rtl/>
        </w:rPr>
        <w:t>אשר לנסיבות שאינן קשורות בביצוע העבירות, הפנתה המאשימה לעובדה כי הנאשם הודה בכתב האישום, נטל אחריות על מעשיו כבר מהרגע הראשן וחסך בזמן שיפוטי יקר.</w:t>
      </w:r>
    </w:p>
    <w:p w14:paraId="61457D4B" w14:textId="77777777" w:rsidR="00850859" w:rsidRDefault="00850859" w:rsidP="00850859">
      <w:pPr>
        <w:spacing w:after="120" w:line="360" w:lineRule="auto"/>
        <w:jc w:val="both"/>
        <w:rPr>
          <w:rtl/>
        </w:rPr>
      </w:pPr>
      <w:r>
        <w:rPr>
          <w:rFonts w:hint="cs"/>
          <w:rtl/>
        </w:rPr>
        <w:t xml:space="preserve">עוד הפנה ב"כ המאשימה בטיעוניו לאמור בתסקיר שירות המבחן ולממצאיו, אשר לשיטת המאשימה הינם חיוביים בעיקרם. יחד עם זאת, העיר ב"כ המאשימה כי התסקיר שהוגש בעניינו של הנאשם מדבר על יכולות ראשוניות בלבד של הנאשם לבחון את התנהגותו. </w:t>
      </w:r>
    </w:p>
    <w:p w14:paraId="41E49477" w14:textId="77777777" w:rsidR="00850859" w:rsidRDefault="00850859" w:rsidP="00850859">
      <w:pPr>
        <w:spacing w:after="120" w:line="360" w:lineRule="auto"/>
        <w:jc w:val="both"/>
        <w:rPr>
          <w:rtl/>
        </w:rPr>
      </w:pPr>
      <w:r>
        <w:rPr>
          <w:rFonts w:hint="cs"/>
          <w:rtl/>
        </w:rPr>
        <w:t>ב"כ המאשימה הסכים כי מדובר במצבור נתונים שיש לזקוף לזכות הנאשם בגזירת דינו. יחד עם זאת, טען כי אין בנתונים אלה די כדי להעמיד את עונשו של הנאשם על הרף המומלץ על ידי שירות המבחן, או בדמות עונש מאסר לריצוי בדרך של עבודות שירות, וזאת בשים לב לחומרת המעשה והערך החברתי המוגן שנפגע.</w:t>
      </w:r>
    </w:p>
    <w:p w14:paraId="79207A7C" w14:textId="77777777" w:rsidR="00850859" w:rsidRDefault="00850859" w:rsidP="00850859">
      <w:pPr>
        <w:spacing w:after="120" w:line="360" w:lineRule="auto"/>
        <w:jc w:val="both"/>
        <w:rPr>
          <w:rtl/>
        </w:rPr>
      </w:pPr>
      <w:r>
        <w:rPr>
          <w:rFonts w:hint="cs"/>
          <w:rtl/>
        </w:rPr>
        <w:t>ב"כ המאשימה שב והדגיש כי בשים לב לחומרת המעשה עמדתה העונשית של המאשימה הינה רף המינימום של ענישה סבירה והולמת, והיא כבר לוקחת בחשבון את כל אותם נתונים שיש לזקוף לזכות הנאשם.</w:t>
      </w:r>
    </w:p>
    <w:p w14:paraId="6E07DE68" w14:textId="77777777" w:rsidR="00850859" w:rsidRPr="00DE0880" w:rsidRDefault="00850859" w:rsidP="00850859">
      <w:pPr>
        <w:spacing w:after="120" w:line="360" w:lineRule="auto"/>
        <w:jc w:val="both"/>
        <w:rPr>
          <w:b/>
          <w:bCs/>
          <w:u w:val="single"/>
          <w:rtl/>
        </w:rPr>
      </w:pPr>
      <w:r w:rsidRPr="00DE0880">
        <w:rPr>
          <w:rFonts w:hint="cs"/>
          <w:b/>
          <w:bCs/>
          <w:u w:val="single"/>
          <w:rtl/>
        </w:rPr>
        <w:t>טיעוני ההגנה</w:t>
      </w:r>
    </w:p>
    <w:p w14:paraId="3EEC2342" w14:textId="77777777" w:rsidR="00850859" w:rsidRDefault="00850859" w:rsidP="00850859">
      <w:pPr>
        <w:spacing w:after="120" w:line="360" w:lineRule="auto"/>
        <w:jc w:val="both"/>
        <w:rPr>
          <w:rtl/>
        </w:rPr>
      </w:pPr>
      <w:r>
        <w:rPr>
          <w:rFonts w:hint="cs"/>
          <w:rtl/>
        </w:rPr>
        <w:t>ב"כ הנאשם חלק על דברי ב"כ המאשימה, לפיהם משקל הסם וכמות השתילים הם הנותנים בגזירת הדין והענישה. לדבריו, יש חשיבות לתוכנית העבריינית ולפוטנציאל הנזק. נוכח העובדה שלא הופק כל סם הרי שאין כלל לדעת האם ניתן היה להפיק סם מהשתילים שנתפסו.</w:t>
      </w:r>
    </w:p>
    <w:p w14:paraId="04116EFA" w14:textId="77777777" w:rsidR="00850859" w:rsidRDefault="00850859" w:rsidP="00850859">
      <w:pPr>
        <w:spacing w:after="120" w:line="360" w:lineRule="auto"/>
        <w:jc w:val="both"/>
        <w:rPr>
          <w:rtl/>
        </w:rPr>
      </w:pPr>
      <w:r>
        <w:rPr>
          <w:rFonts w:hint="cs"/>
          <w:rtl/>
        </w:rPr>
        <w:t>אשר לנסיבות שאינן קשורות בביצוע העבירות, הפנה ב"כ הנאשם לתסקירי שירות המבחן וממצאיהם. לדבריו, מדובר בתסקירים יסודיים, מעמיקים ומפורטים, המלמדים כי הנאשם מצוי בעיצומו של הליך שיקומי ממושך ואפקטיבי, ללא כל מעורבות עבריינית או שימוש בסמים.</w:t>
      </w:r>
    </w:p>
    <w:p w14:paraId="2BDB11B0" w14:textId="77777777" w:rsidR="00850859" w:rsidRDefault="00850859" w:rsidP="00850859">
      <w:pPr>
        <w:spacing w:after="120" w:line="360" w:lineRule="auto"/>
        <w:jc w:val="both"/>
        <w:rPr>
          <w:rtl/>
        </w:rPr>
      </w:pPr>
      <w:r>
        <w:rPr>
          <w:rFonts w:hint="cs"/>
          <w:rtl/>
        </w:rPr>
        <w:t>ב"כ הנאשם הדגיש את אורח החיים הנורמטיבי שניהל ומנהל הנאשם, את החרטה האמיתית והכנה, את הצורך בהמשך הליך השיקום כמומלץ על ידי השירות, ואת הבושה שחש מול בני משפחתו .</w:t>
      </w:r>
    </w:p>
    <w:p w14:paraId="0E424E81" w14:textId="77777777" w:rsidR="00850859" w:rsidRDefault="00850859" w:rsidP="00850859">
      <w:pPr>
        <w:spacing w:after="120" w:line="360" w:lineRule="auto"/>
        <w:jc w:val="both"/>
        <w:rPr>
          <w:rtl/>
        </w:rPr>
      </w:pPr>
      <w:r>
        <w:rPr>
          <w:rFonts w:hint="cs"/>
          <w:rtl/>
        </w:rPr>
        <w:t xml:space="preserve">ב"כ הנאשם ביקש להתחשב בגזירת הדין גם בעובדה כי בגין העבירות נשוא כתב האישום היה הנאשם עצור מאחורי סורג ובריח משך כחודש ימים, וכפי שעולה מהתסקיר </w:t>
      </w:r>
      <w:r>
        <w:rPr>
          <w:rtl/>
        </w:rPr>
        <w:t>–</w:t>
      </w:r>
      <w:r>
        <w:rPr>
          <w:rFonts w:hint="cs"/>
          <w:rtl/>
        </w:rPr>
        <w:t xml:space="preserve"> המעצר היווה גורם מרתיע ומציב גבולות, וכן את התנאים המגבילים בהם שהה הנאשם תקופה ארוכה.</w:t>
      </w:r>
    </w:p>
    <w:p w14:paraId="20CA5BDE" w14:textId="77777777" w:rsidR="00850859" w:rsidRDefault="00850859" w:rsidP="00850859">
      <w:pPr>
        <w:spacing w:after="120" w:line="360" w:lineRule="auto"/>
        <w:jc w:val="both"/>
        <w:rPr>
          <w:rtl/>
        </w:rPr>
      </w:pPr>
      <w:r>
        <w:rPr>
          <w:rFonts w:hint="cs"/>
          <w:rtl/>
        </w:rPr>
        <w:t xml:space="preserve">אשר למדיניות הענישה הנוהגת, ב"כ הנאשם טען כי הפסיקה מלמדת על ענישה נמוכה מהענישה לה עותרת המאשימה, תוך שהדגיש כי אין בכל מקרה לגזור גזירה שווה מהפסיקה שהוצגה על ידי המאשימה לענייננו. </w:t>
      </w:r>
    </w:p>
    <w:p w14:paraId="0E33258C" w14:textId="77777777" w:rsidR="00850859" w:rsidRDefault="00850859" w:rsidP="00850859">
      <w:pPr>
        <w:spacing w:after="120" w:line="360" w:lineRule="auto"/>
        <w:jc w:val="both"/>
        <w:rPr>
          <w:rtl/>
        </w:rPr>
      </w:pPr>
      <w:r>
        <w:rPr>
          <w:rFonts w:hint="cs"/>
          <w:rtl/>
        </w:rPr>
        <w:t>ב"כ הנאשם סבור כי הודיית הנאשם, ונטילת האחריות  צריכים להיזקף לזכותו, וניתן לאמץ את המלצת שירות המבחן, אף תוך הגדלת מכסת השעות.</w:t>
      </w:r>
    </w:p>
    <w:p w14:paraId="5B3433CA" w14:textId="77777777" w:rsidR="00850859" w:rsidRDefault="00850859" w:rsidP="00850859">
      <w:pPr>
        <w:spacing w:after="120" w:line="360" w:lineRule="auto"/>
        <w:jc w:val="both"/>
        <w:rPr>
          <w:rtl/>
        </w:rPr>
      </w:pPr>
      <w:r>
        <w:rPr>
          <w:rFonts w:hint="cs"/>
          <w:rtl/>
        </w:rPr>
        <w:t>לחילופין, טען כי ככל שייקבע מתחם שהרף התחתון שלו אינו עומד על המלצת שירות המבחן, הרי שיש לחרוג בעניינו של הנאשם ממתחם העונש ההולם לקולא משיקולי שיקום.</w:t>
      </w:r>
    </w:p>
    <w:p w14:paraId="7CB3B49B" w14:textId="77777777" w:rsidR="00850859" w:rsidRPr="00B05847" w:rsidRDefault="00850859" w:rsidP="00850859">
      <w:pPr>
        <w:spacing w:after="120" w:line="360" w:lineRule="auto"/>
        <w:rPr>
          <w:rtl/>
        </w:rPr>
      </w:pPr>
    </w:p>
    <w:p w14:paraId="1524918D" w14:textId="77777777" w:rsidR="00850859" w:rsidRDefault="00850859" w:rsidP="00850859">
      <w:pPr>
        <w:spacing w:after="120" w:line="360" w:lineRule="auto"/>
        <w:jc w:val="both"/>
        <w:rPr>
          <w:b/>
          <w:bCs/>
          <w:u w:val="single"/>
          <w:rtl/>
        </w:rPr>
      </w:pPr>
      <w:r w:rsidRPr="00153F8F">
        <w:rPr>
          <w:rFonts w:hint="cs"/>
          <w:b/>
          <w:bCs/>
          <w:u w:val="single"/>
          <w:rtl/>
        </w:rPr>
        <w:t>דיון והכרעה</w:t>
      </w:r>
    </w:p>
    <w:p w14:paraId="36F08FC9" w14:textId="77777777" w:rsidR="00850859" w:rsidRDefault="00850859" w:rsidP="00850859">
      <w:pPr>
        <w:spacing w:after="120" w:line="360" w:lineRule="auto"/>
        <w:jc w:val="both"/>
      </w:pPr>
      <w:r>
        <w:rPr>
          <w:rFonts w:hint="cs"/>
          <w:rtl/>
        </w:rPr>
        <w:t xml:space="preserve">בהתאם </w:t>
      </w:r>
      <w:hyperlink r:id="rId15" w:history="1">
        <w:r w:rsidR="00B873F1" w:rsidRPr="00B873F1">
          <w:rPr>
            <w:color w:val="0000FF"/>
            <w:u w:val="single"/>
            <w:rtl/>
          </w:rPr>
          <w:t>לסעיף 40ג(א)</w:t>
        </w:r>
      </w:hyperlink>
      <w:r>
        <w:rPr>
          <w:rFonts w:hint="cs"/>
          <w:rtl/>
        </w:rPr>
        <w:t xml:space="preserve"> ל</w:t>
      </w:r>
      <w:hyperlink r:id="rId16" w:history="1">
        <w:r w:rsidR="008D2021" w:rsidRPr="008D2021">
          <w:rPr>
            <w:color w:val="0000FF"/>
            <w:u w:val="single"/>
            <w:rtl/>
          </w:rPr>
          <w:t>חוק העונשין</w:t>
        </w:r>
      </w:hyperlink>
      <w:r>
        <w:rPr>
          <w:rFonts w:hint="cs"/>
          <w:rtl/>
        </w:rPr>
        <w:t xml:space="preserve">, בקביעת מתחם העונש ההולם למעשי העבירות שביצע הנאשם, ובהתאם לעיקרון המנחה הקבוע </w:t>
      </w:r>
      <w:hyperlink r:id="rId17" w:history="1">
        <w:r w:rsidR="00B873F1" w:rsidRPr="00B873F1">
          <w:rPr>
            <w:color w:val="0000FF"/>
            <w:u w:val="single"/>
            <w:rtl/>
          </w:rPr>
          <w:t>בסעיף 40ב</w:t>
        </w:r>
      </w:hyperlink>
      <w:r>
        <w:rPr>
          <w:rFonts w:hint="cs"/>
          <w:rtl/>
        </w:rPr>
        <w:t xml:space="preserve"> לחוק, יש להתחשב בערך החברתי שנפגע מביצוע העבירות, במידת הפגיעה בו, במדיניות הענישה הנהוגה ובנסיבות הקשורות בביצוע העבירות. </w:t>
      </w:r>
    </w:p>
    <w:p w14:paraId="45C8E963" w14:textId="77777777" w:rsidR="00850859" w:rsidRDefault="00850859" w:rsidP="00850859">
      <w:pPr>
        <w:spacing w:after="120" w:line="360" w:lineRule="auto"/>
        <w:jc w:val="both"/>
        <w:rPr>
          <w:rtl/>
        </w:rPr>
      </w:pPr>
      <w:r w:rsidRPr="00BF0408">
        <w:rPr>
          <w:rFonts w:hint="cs"/>
          <w:b/>
          <w:bCs/>
          <w:rtl/>
        </w:rPr>
        <w:t>הערך החברתי המוגן אשר נפגע כתוצאה מביצוע עבירות הסם</w:t>
      </w:r>
      <w:r>
        <w:rPr>
          <w:rFonts w:hint="cs"/>
          <w:rtl/>
        </w:rPr>
        <w:t xml:space="preserve"> הינו הגנה על בריאות הציבור מצד אחד ומן הצד השני, הגנה על החברה בכללותה מפני הנזקים הנגרמים לה, עקב עבירות המתבצעות ע"י עבריינים על רקע השימוש בסמים שכן העיסוק בסם הינו מחולל פשיעה עיקרי.</w:t>
      </w:r>
    </w:p>
    <w:p w14:paraId="47AE4CDC" w14:textId="77777777" w:rsidR="00850859" w:rsidRDefault="00850859" w:rsidP="00850859">
      <w:pPr>
        <w:spacing w:after="120" w:line="360" w:lineRule="auto"/>
        <w:jc w:val="both"/>
        <w:rPr>
          <w:color w:val="000000"/>
          <w:rtl/>
        </w:rPr>
      </w:pPr>
      <w:r>
        <w:rPr>
          <w:rFonts w:hint="cs"/>
          <w:color w:val="000000"/>
          <w:rtl/>
        </w:rPr>
        <w:t xml:space="preserve">עבירת גידול הסם מנויה </w:t>
      </w:r>
      <w:hyperlink r:id="rId18" w:history="1">
        <w:r w:rsidR="00B873F1" w:rsidRPr="00B873F1">
          <w:rPr>
            <w:color w:val="0000FF"/>
            <w:u w:val="single"/>
            <w:rtl/>
          </w:rPr>
          <w:t>בסעיף 6</w:t>
        </w:r>
      </w:hyperlink>
      <w:r>
        <w:rPr>
          <w:rFonts w:hint="cs"/>
          <w:color w:val="000000"/>
          <w:rtl/>
        </w:rPr>
        <w:t xml:space="preserve"> לפקודת הסמים, יחד עם עבירות של ייצור, הכנה והפקת סמים, כאשר הרציונאל העומד מאחורי הסעיף הינו המלחמה חסרת הפשרות הנדרשת בחוליה הראשונה של שרשרת הסם </w:t>
      </w:r>
      <w:r>
        <w:rPr>
          <w:color w:val="000000"/>
          <w:rtl/>
        </w:rPr>
        <w:t>–</w:t>
      </w:r>
      <w:r>
        <w:rPr>
          <w:rFonts w:hint="cs"/>
          <w:color w:val="000000"/>
          <w:rtl/>
        </w:rPr>
        <w:t xml:space="preserve"> המגדלים והיצרנים, ללא כל הבחנה בין גידול לצריכה עצמית וגידול שאיננו לצריכה עצמית. </w:t>
      </w:r>
    </w:p>
    <w:p w14:paraId="04C78238" w14:textId="77777777" w:rsidR="00850859" w:rsidRDefault="00850859" w:rsidP="00850859">
      <w:pPr>
        <w:spacing w:after="120" w:line="360" w:lineRule="auto"/>
        <w:jc w:val="both"/>
        <w:rPr>
          <w:color w:val="000000"/>
          <w:rtl/>
        </w:rPr>
      </w:pPr>
      <w:r>
        <w:rPr>
          <w:rFonts w:hint="cs"/>
          <w:color w:val="000000"/>
          <w:rtl/>
        </w:rPr>
        <w:t>על החומרה שבעבירות בהן הורשע הנאשם ניתן ללמוד מהעונש המקסימאלי שקבע המחוקק בצד כל אחת מעבירות אלו – 20 שנות מאסר.</w:t>
      </w:r>
    </w:p>
    <w:p w14:paraId="74DB6034" w14:textId="77777777" w:rsidR="00850859" w:rsidRDefault="00850859" w:rsidP="00850859">
      <w:pPr>
        <w:spacing w:after="120" w:line="360" w:lineRule="auto"/>
        <w:jc w:val="both"/>
        <w:rPr>
          <w:rtl/>
        </w:rPr>
      </w:pPr>
      <w:r>
        <w:rPr>
          <w:rFonts w:hint="cs"/>
          <w:rtl/>
        </w:rPr>
        <w:t xml:space="preserve">בחינת מידת הפגיעה בערכים המוגנים בענייננו מובילה למסקנה כי מדובר בפגיעה משמעותית, מוחשית וממשית העולה כדי רף עליון של חומרה.  </w:t>
      </w:r>
    </w:p>
    <w:p w14:paraId="1F069E22" w14:textId="77777777" w:rsidR="00850859" w:rsidRDefault="00850859" w:rsidP="00850859">
      <w:pPr>
        <w:spacing w:after="120" w:line="360" w:lineRule="auto"/>
        <w:rPr>
          <w:rtl/>
        </w:rPr>
      </w:pPr>
      <w:r>
        <w:rPr>
          <w:rFonts w:hint="cs"/>
          <w:rtl/>
        </w:rPr>
        <w:t xml:space="preserve">וכך באו הדברים לידי ביטוי </w:t>
      </w:r>
      <w:r w:rsidRPr="00E60A44">
        <w:rPr>
          <w:rFonts w:hint="cs"/>
          <w:rtl/>
        </w:rPr>
        <w:t>ב</w:t>
      </w:r>
      <w:hyperlink r:id="rId19" w:history="1">
        <w:r w:rsidR="008D2021" w:rsidRPr="008D2021">
          <w:rPr>
            <w:color w:val="0000FF"/>
            <w:u w:val="single"/>
            <w:rtl/>
          </w:rPr>
          <w:t>ע"פ 5953/13</w:t>
        </w:r>
      </w:hyperlink>
      <w:r>
        <w:rPr>
          <w:rFonts w:hint="cs"/>
          <w:rtl/>
        </w:rPr>
        <w:t xml:space="preserve"> </w:t>
      </w:r>
      <w:r>
        <w:rPr>
          <w:rFonts w:hint="cs"/>
          <w:b/>
          <w:bCs/>
          <w:rtl/>
        </w:rPr>
        <w:t>מ"י נ' אהרון</w:t>
      </w:r>
      <w:r>
        <w:rPr>
          <w:rFonts w:hint="cs"/>
          <w:rtl/>
        </w:rPr>
        <w:t xml:space="preserve"> (2014):</w:t>
      </w:r>
    </w:p>
    <w:p w14:paraId="5BED3FEA" w14:textId="77777777" w:rsidR="00850859" w:rsidRDefault="00850859" w:rsidP="00850859">
      <w:pPr>
        <w:spacing w:after="120" w:line="360" w:lineRule="auto"/>
        <w:ind w:left="509" w:right="567"/>
        <w:jc w:val="both"/>
        <w:rPr>
          <w:b/>
          <w:bCs/>
          <w:rtl/>
        </w:rPr>
      </w:pPr>
      <w:r>
        <w:rPr>
          <w:rFonts w:hint="cs"/>
          <w:b/>
          <w:bCs/>
          <w:rtl/>
        </w:rPr>
        <w:t>"בית משפט זה הביע לא אחת את עמדתו כי את נגע הסמים יש לעקור מן השורש, וכי לאור הנזק העצום שמסבים הסחר והשימוש בסמים... ליחידים ולחברה בכללותה, יש להיאבק במעורבים בעבירות הסמים, על ידי הטלת עונשים מרתיעים והולמים, תוך התחשבות, בין היתר, בכמות הסם ובטיבו, בחומרת העבירות שבוצעו, בחלקו של הנאשם בהן ובעברו הפלילי".</w:t>
      </w:r>
    </w:p>
    <w:p w14:paraId="37B9CB60" w14:textId="77777777" w:rsidR="00850859" w:rsidRDefault="00850859" w:rsidP="00850859">
      <w:pPr>
        <w:spacing w:after="120" w:line="360" w:lineRule="auto"/>
        <w:rPr>
          <w:rtl/>
        </w:rPr>
      </w:pPr>
      <w:r>
        <w:rPr>
          <w:rFonts w:hint="cs"/>
          <w:rtl/>
        </w:rPr>
        <w:t xml:space="preserve">וכן ר' </w:t>
      </w:r>
      <w:hyperlink r:id="rId20" w:history="1">
        <w:r w:rsidR="008D2021" w:rsidRPr="008D2021">
          <w:rPr>
            <w:color w:val="0000FF"/>
            <w:u w:val="single"/>
            <w:rtl/>
          </w:rPr>
          <w:t>ע"פ 972/11</w:t>
        </w:r>
      </w:hyperlink>
      <w:r>
        <w:rPr>
          <w:rFonts w:hint="cs"/>
          <w:rtl/>
        </w:rPr>
        <w:t xml:space="preserve"> </w:t>
      </w:r>
      <w:r>
        <w:rPr>
          <w:rFonts w:hint="cs"/>
          <w:b/>
          <w:bCs/>
          <w:rtl/>
        </w:rPr>
        <w:t>מ"י נ' יניב יונה</w:t>
      </w:r>
      <w:r>
        <w:rPr>
          <w:rFonts w:hint="cs"/>
          <w:rtl/>
        </w:rPr>
        <w:t xml:space="preserve"> (2012):</w:t>
      </w:r>
    </w:p>
    <w:p w14:paraId="6DBBF3C5" w14:textId="77777777" w:rsidR="00850859" w:rsidRDefault="00850859" w:rsidP="00850859">
      <w:pPr>
        <w:spacing w:after="120" w:line="360" w:lineRule="auto"/>
        <w:ind w:left="368" w:right="567"/>
        <w:jc w:val="both"/>
        <w:rPr>
          <w:b/>
          <w:bCs/>
          <w:rtl/>
        </w:rPr>
      </w:pPr>
      <w:r>
        <w:rPr>
          <w:rFonts w:hint="cs"/>
          <w:b/>
          <w:bCs/>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למאבק בנגע הסמים יש שותפים רבים... אף בית המשפט נוטל חלק חשוב במאבק, באמצעות הטלת עונש מרתיע על מי שהורשע בעבירות סמים... צו השעה הוא להחמיר בענישה בעבירות סמים...".</w:t>
      </w:r>
    </w:p>
    <w:p w14:paraId="5E83BADC" w14:textId="77777777" w:rsidR="00850859" w:rsidRDefault="00850859" w:rsidP="00850859">
      <w:pPr>
        <w:spacing w:after="120" w:line="360" w:lineRule="auto"/>
        <w:jc w:val="both"/>
        <w:rPr>
          <w:color w:val="000000"/>
          <w:rtl/>
        </w:rPr>
      </w:pPr>
      <w:r>
        <w:rPr>
          <w:rFonts w:hint="cs"/>
          <w:b/>
          <w:bCs/>
          <w:color w:val="000000"/>
          <w:rtl/>
        </w:rPr>
        <w:t>בבחינת הנסיבות הקשורות בביצוע העבירות</w:t>
      </w:r>
      <w:r>
        <w:rPr>
          <w:rFonts w:hint="cs"/>
          <w:color w:val="000000"/>
          <w:rtl/>
        </w:rPr>
        <w:t xml:space="preserve">, יש ליתן את הדעת לתכנון שקדם לביצוע העבירות. בענייננו, הנאשם הקים מעבדת סמים בחצרים ששכר באופן מיוחד לשם כך,  והצטייד לצורך כך בציוד ייעודי לרבות נורות גדולות, מאוורים, אדניות, דשן, כלי גינון ואינקובטור -והכל לצורך גידול הסם והכנתו. הנאשם גידל את הסם משך מספר חודשים עד אשר נתפס, כאשר במרתף נמצאו לא פחות מ- 220 שתילים במשקל של כ </w:t>
      </w:r>
      <w:r>
        <w:rPr>
          <w:color w:val="000000"/>
          <w:rtl/>
        </w:rPr>
        <w:t>–</w:t>
      </w:r>
      <w:r>
        <w:rPr>
          <w:rFonts w:hint="cs"/>
          <w:color w:val="000000"/>
          <w:rtl/>
        </w:rPr>
        <w:t xml:space="preserve"> 4 ק"ג ועוד 221 "בייבי-שתילים" באינקובטור אשר עליהם ניתן לאמר "זה הקטן </w:t>
      </w:r>
      <w:r>
        <w:rPr>
          <w:color w:val="000000"/>
          <w:rtl/>
        </w:rPr>
        <w:t>–</w:t>
      </w:r>
      <w:r>
        <w:rPr>
          <w:rFonts w:hint="cs"/>
          <w:color w:val="000000"/>
          <w:rtl/>
        </w:rPr>
        <w:t xml:space="preserve"> גדול יהיה". הנה כי כן, המדובר בכמות לא מבוטלת של שתילים, בוגרים וצעירים, ובשים לב למועד שכירת הנכס  - לא ניתן להניח כי המדובר במעבדה המצויה עדיין בראשית דרכה. </w:t>
      </w:r>
    </w:p>
    <w:p w14:paraId="7EA47225" w14:textId="77777777" w:rsidR="00850859" w:rsidRDefault="00850859" w:rsidP="00850859">
      <w:pPr>
        <w:spacing w:after="120" w:line="360" w:lineRule="auto"/>
        <w:jc w:val="both"/>
        <w:rPr>
          <w:color w:val="000000"/>
          <w:rtl/>
        </w:rPr>
      </w:pPr>
      <w:r>
        <w:rPr>
          <w:rFonts w:hint="cs"/>
          <w:color w:val="000000"/>
          <w:rtl/>
        </w:rPr>
        <w:t xml:space="preserve">שכירת הנכס, ההשקעה הכספית, הציוד בו השתמש הנאשם לצורך גידול הסם וכמות השתילים שנמצאה מלמדים כי לא היה מדובר במעידה ספונטנית אלא במי שהשקיע מחשבה רבה בגידול הסם, ללמדך שמדובר היה בעסק של ממש מבחינתו, ואין המדובר בייצור לצרכים עצמיים. </w:t>
      </w:r>
    </w:p>
    <w:p w14:paraId="05BBE8AF" w14:textId="77777777" w:rsidR="00850859" w:rsidRDefault="00850859" w:rsidP="00850859">
      <w:pPr>
        <w:spacing w:after="120" w:line="360" w:lineRule="auto"/>
        <w:jc w:val="both"/>
        <w:rPr>
          <w:color w:val="000000"/>
          <w:rtl/>
        </w:rPr>
      </w:pPr>
      <w:r>
        <w:rPr>
          <w:rFonts w:hint="cs"/>
          <w:color w:val="000000"/>
          <w:rtl/>
        </w:rPr>
        <w:t xml:space="preserve">עוד אציין כי אני רואה בחומרה רבה את הנסיבות שהביאו את הנאשם לבצע את העבירות בהן הורשע. מסתבר, כי הנאשם שקוע בחובות כספיים, והוא בחר לחפש לעצמו מוצא קל מחובות אלה, על דרך של פעילות עבריינית, במקום להסדיר חובותיו באמצעים החוקיים המקובלים. יש לגנות בכל פה התנהלות כזו, אשר יוצרת דרך קיצור מחוללת פשע לסילוק החובות, תחת הסדרה נורמטיבית וחוקית שלהם. </w:t>
      </w:r>
    </w:p>
    <w:p w14:paraId="14DA4324" w14:textId="77777777" w:rsidR="00850859" w:rsidRDefault="00850859" w:rsidP="00850859">
      <w:pPr>
        <w:spacing w:after="120" w:line="360" w:lineRule="auto"/>
        <w:jc w:val="both"/>
        <w:rPr>
          <w:color w:val="000000"/>
          <w:rtl/>
        </w:rPr>
      </w:pPr>
      <w:r>
        <w:rPr>
          <w:rFonts w:hint="cs"/>
          <w:b/>
          <w:bCs/>
          <w:color w:val="000000"/>
          <w:rtl/>
        </w:rPr>
        <w:t>בבחינת הנזק שנגרם וצפוי היה להיגרם כתוצאה מביצוע העבירות</w:t>
      </w:r>
      <w:r>
        <w:rPr>
          <w:rFonts w:hint="cs"/>
          <w:color w:val="000000"/>
          <w:rtl/>
        </w:rPr>
        <w:t>, הפסיקה העניפה בעניין זה עוסקת בנזק הנגרם ליחיד ולחברה מעבירות הסמים, נפיצותן, התפשטותן ופגיעתן הרעה, באופן שפעמים רבות אין דרך חזרה מההתמכרות, אשר אף גוררת ביצוע עבירות נוספות לצורך מימון הסם. מעבר לכך, קיים גם פוטנציאל לנזק בריאותי קשה כתוצאה מהשימוש בסם. פסיקה עקבית של בתי המשפט שבה והבהירה כי פגיעתם של הסמים בחברה אינה נקודתית אלא משתרעת על מרחבים וזמנים נרחבים.</w:t>
      </w:r>
    </w:p>
    <w:p w14:paraId="144E6D16" w14:textId="77777777" w:rsidR="00850859" w:rsidRDefault="00850859" w:rsidP="00850859">
      <w:pPr>
        <w:spacing w:after="120" w:line="360" w:lineRule="auto"/>
        <w:jc w:val="both"/>
        <w:rPr>
          <w:color w:val="000000"/>
          <w:rtl/>
        </w:rPr>
      </w:pPr>
      <w:r>
        <w:rPr>
          <w:rFonts w:hint="cs"/>
          <w:color w:val="000000"/>
          <w:rtl/>
        </w:rPr>
        <w:t xml:space="preserve">בהקשר זה אציין כי חומרת המעשה והנזק אינם נבחנים במשקלו הפוטנציאל של הסם "נטו" שיופק מהשתילים, אלא גם במספר השתילים וכמותם "ברוטו" המלמדים על התוכנית העבריינית, על הפוטנציאל שהיה טמון במעשה, גם אם לא הגיע לכלל מימוש סופי, ועל כוונת העושה. </w:t>
      </w:r>
    </w:p>
    <w:p w14:paraId="1FBB9087" w14:textId="77777777" w:rsidR="00850859" w:rsidRDefault="00850859" w:rsidP="00850859">
      <w:pPr>
        <w:spacing w:after="120" w:line="360" w:lineRule="auto"/>
        <w:jc w:val="both"/>
        <w:rPr>
          <w:color w:val="000000"/>
          <w:rtl/>
        </w:rPr>
      </w:pPr>
      <w:r>
        <w:rPr>
          <w:rFonts w:hint="cs"/>
          <w:color w:val="000000"/>
          <w:rtl/>
        </w:rPr>
        <w:t xml:space="preserve">עוד נקבע כי תופעת גידול סם במעבדות ביתיות הפכה להיות נפוצה ושכיחה ביותר, וזאת נוכח קלות הביצוע, הביטחון היחסי באי חשיפת העבירה המתבצעת בתחומי הבית ולנוכח הפוטנציאל העברייני והמזיק הגלום בה המחייב מלחמת חורמה. </w:t>
      </w:r>
    </w:p>
    <w:p w14:paraId="79A452F9" w14:textId="77777777" w:rsidR="00850859" w:rsidRDefault="00850859" w:rsidP="00850859">
      <w:pPr>
        <w:spacing w:after="120" w:line="360" w:lineRule="auto"/>
        <w:jc w:val="both"/>
        <w:rPr>
          <w:color w:val="000000"/>
          <w:rtl/>
        </w:rPr>
      </w:pPr>
      <w:r w:rsidRPr="00C05D26">
        <w:rPr>
          <w:rFonts w:hint="cs"/>
          <w:b/>
          <w:bCs/>
          <w:color w:val="000000"/>
          <w:rtl/>
        </w:rPr>
        <w:t>מדיניות הענישה הנהוגה בעבירות בהן הורשע הנאשם</w:t>
      </w:r>
      <w:r>
        <w:rPr>
          <w:rFonts w:hint="cs"/>
          <w:color w:val="000000"/>
          <w:rtl/>
        </w:rPr>
        <w:t>, מתחשבת בצורך במאבק בנגע הסמים, שהפך לרעה חולה ונפוצה במחוזותינו ובהשפעותיו השליליות על החברה, כאשר הפרמטרים המרכזיים הינם כמות הסם, משקלו, ומספר השתילים.</w:t>
      </w:r>
    </w:p>
    <w:p w14:paraId="301002AF" w14:textId="77777777" w:rsidR="00850859" w:rsidRDefault="00850859" w:rsidP="00850859">
      <w:pPr>
        <w:spacing w:after="120" w:line="360" w:lineRule="auto"/>
        <w:ind w:right="567"/>
        <w:jc w:val="both"/>
        <w:rPr>
          <w:color w:val="000000"/>
          <w:rtl/>
        </w:rPr>
      </w:pPr>
      <w:r>
        <w:rPr>
          <w:rFonts w:hint="cs"/>
          <w:color w:val="000000"/>
          <w:rtl/>
        </w:rPr>
        <w:t>מדיניות הענישה הנוהגת בעבירות מסוג זה נלמדת מפסקי הדין הבאים:</w:t>
      </w:r>
    </w:p>
    <w:p w14:paraId="7143C086" w14:textId="77777777" w:rsidR="00850859" w:rsidRDefault="00850859" w:rsidP="00850859">
      <w:pPr>
        <w:spacing w:after="120" w:line="360" w:lineRule="auto"/>
        <w:jc w:val="both"/>
        <w:rPr>
          <w:color w:val="000000"/>
          <w:rtl/>
        </w:rPr>
      </w:pPr>
      <w:r>
        <w:rPr>
          <w:rFonts w:hint="cs"/>
          <w:color w:val="000000"/>
          <w:rtl/>
        </w:rPr>
        <w:t xml:space="preserve">רע"פ 7055/14 </w:t>
      </w:r>
      <w:r>
        <w:rPr>
          <w:rFonts w:hint="cs"/>
          <w:b/>
          <w:bCs/>
          <w:color w:val="000000"/>
          <w:rtl/>
        </w:rPr>
        <w:t xml:space="preserve">עידן דגן נ' מ"י (2014) </w:t>
      </w:r>
      <w:r>
        <w:rPr>
          <w:b/>
          <w:bCs/>
          <w:color w:val="000000"/>
          <w:rtl/>
        </w:rPr>
        <w:t>–</w:t>
      </w:r>
      <w:r>
        <w:rPr>
          <w:rFonts w:hint="cs"/>
          <w:b/>
          <w:bCs/>
          <w:color w:val="000000"/>
          <w:rtl/>
        </w:rPr>
        <w:t xml:space="preserve"> </w:t>
      </w:r>
      <w:r w:rsidRPr="00666B28">
        <w:rPr>
          <w:rFonts w:hint="cs"/>
          <w:color w:val="000000"/>
          <w:rtl/>
        </w:rPr>
        <w:t>מעבדה</w:t>
      </w:r>
      <w:r>
        <w:rPr>
          <w:rFonts w:hint="cs"/>
          <w:b/>
          <w:bCs/>
          <w:color w:val="000000"/>
          <w:rtl/>
        </w:rPr>
        <w:t xml:space="preserve"> </w:t>
      </w:r>
      <w:r>
        <w:rPr>
          <w:rFonts w:hint="cs"/>
          <w:color w:val="000000"/>
          <w:rtl/>
        </w:rPr>
        <w:t>בה גידל הנאשם סם קנבוס במשקל 2.3 ק"ג. נקבע מתחם מוסכם של 6-12 חודשי מאסר והוטלו על הנאשם 10 חודשי מאסר לריצוי בפועל;</w:t>
      </w:r>
    </w:p>
    <w:p w14:paraId="4F3DC36C" w14:textId="77777777" w:rsidR="00850859" w:rsidRDefault="008D2021" w:rsidP="00850859">
      <w:pPr>
        <w:spacing w:after="120" w:line="360" w:lineRule="auto"/>
        <w:jc w:val="both"/>
        <w:rPr>
          <w:color w:val="000000"/>
          <w:rtl/>
        </w:rPr>
      </w:pPr>
      <w:hyperlink r:id="rId21" w:history="1">
        <w:r w:rsidRPr="008D2021">
          <w:rPr>
            <w:color w:val="0000FF"/>
            <w:u w:val="single"/>
            <w:rtl/>
          </w:rPr>
          <w:t>רע"פ 1787/15</w:t>
        </w:r>
      </w:hyperlink>
      <w:r w:rsidR="00850859">
        <w:rPr>
          <w:rFonts w:hint="cs"/>
          <w:color w:val="000000"/>
          <w:rtl/>
        </w:rPr>
        <w:t xml:space="preserve"> </w:t>
      </w:r>
      <w:r w:rsidR="00850859">
        <w:rPr>
          <w:rFonts w:hint="cs"/>
          <w:b/>
          <w:bCs/>
          <w:color w:val="000000"/>
          <w:rtl/>
        </w:rPr>
        <w:t xml:space="preserve">אדי עמר נ' מ"י (2015) </w:t>
      </w:r>
      <w:r w:rsidR="00850859">
        <w:rPr>
          <w:b/>
          <w:bCs/>
          <w:color w:val="000000"/>
          <w:rtl/>
        </w:rPr>
        <w:t>–</w:t>
      </w:r>
      <w:r w:rsidR="00850859">
        <w:rPr>
          <w:rFonts w:hint="cs"/>
          <w:b/>
          <w:bCs/>
          <w:color w:val="000000"/>
          <w:rtl/>
        </w:rPr>
        <w:t xml:space="preserve"> </w:t>
      </w:r>
      <w:r w:rsidR="00850859">
        <w:rPr>
          <w:rFonts w:hint="cs"/>
          <w:color w:val="000000"/>
          <w:rtl/>
        </w:rPr>
        <w:t>מעבדה בה גידל הנאשם 9 שתילי קנבוס במשקל כולל של 4.3 ק"ג נטו. על הנאשם הוטלו 8 חודשי מאסר לריצוי בפועל;</w:t>
      </w:r>
    </w:p>
    <w:p w14:paraId="0F7EF20F" w14:textId="77777777" w:rsidR="00850859" w:rsidRDefault="008D2021" w:rsidP="00850859">
      <w:pPr>
        <w:spacing w:after="120" w:line="360" w:lineRule="auto"/>
        <w:jc w:val="both"/>
        <w:rPr>
          <w:color w:val="000000"/>
          <w:rtl/>
        </w:rPr>
      </w:pPr>
      <w:hyperlink r:id="rId22" w:history="1">
        <w:r w:rsidRPr="008D2021">
          <w:rPr>
            <w:color w:val="0000FF"/>
            <w:u w:val="single"/>
            <w:rtl/>
          </w:rPr>
          <w:t>רע"פ 4512/15</w:t>
        </w:r>
      </w:hyperlink>
      <w:r w:rsidR="00850859">
        <w:rPr>
          <w:rFonts w:hint="cs"/>
          <w:color w:val="000000"/>
          <w:rtl/>
        </w:rPr>
        <w:t xml:space="preserve"> </w:t>
      </w:r>
      <w:r w:rsidR="00850859">
        <w:rPr>
          <w:rFonts w:hint="cs"/>
          <w:b/>
          <w:bCs/>
          <w:color w:val="000000"/>
          <w:rtl/>
        </w:rPr>
        <w:t xml:space="preserve">אברהם הרוש נ' מ"י (2015) </w:t>
      </w:r>
      <w:r w:rsidR="00850859">
        <w:rPr>
          <w:b/>
          <w:bCs/>
          <w:color w:val="000000"/>
          <w:rtl/>
        </w:rPr>
        <w:t>–</w:t>
      </w:r>
      <w:r w:rsidR="00850859">
        <w:rPr>
          <w:rFonts w:hint="cs"/>
          <w:b/>
          <w:bCs/>
          <w:color w:val="000000"/>
          <w:rtl/>
        </w:rPr>
        <w:t xml:space="preserve"> </w:t>
      </w:r>
      <w:r w:rsidR="00850859">
        <w:rPr>
          <w:rFonts w:hint="cs"/>
          <w:color w:val="000000"/>
          <w:rtl/>
        </w:rPr>
        <w:t>מעבדה בה גידל הנאשם 378 שתילי קנבוס במשקל כולל של 283 ג' נטו. נקבע מתחם של בין של"צ ומאסר מותנה לבין 24 חודשי מאסר בפועל, והוטל על הנאשם עונש של  7 חודשי מאסר לריצוי בפועל;</w:t>
      </w:r>
    </w:p>
    <w:p w14:paraId="1418EB8A" w14:textId="77777777" w:rsidR="00850859" w:rsidRDefault="008D2021" w:rsidP="00850859">
      <w:pPr>
        <w:spacing w:after="120" w:line="360" w:lineRule="auto"/>
        <w:jc w:val="both"/>
        <w:rPr>
          <w:b/>
          <w:bCs/>
          <w:color w:val="000000"/>
          <w:rtl/>
        </w:rPr>
      </w:pPr>
      <w:hyperlink r:id="rId23" w:history="1">
        <w:r w:rsidRPr="008D2021">
          <w:rPr>
            <w:color w:val="0000FF"/>
            <w:u w:val="single"/>
            <w:rtl/>
          </w:rPr>
          <w:t>רע"פ 314/16</w:t>
        </w:r>
      </w:hyperlink>
      <w:r w:rsidR="00850859" w:rsidRPr="00666B28">
        <w:rPr>
          <w:rFonts w:hint="cs"/>
          <w:color w:val="000000"/>
          <w:rtl/>
        </w:rPr>
        <w:t xml:space="preserve"> </w:t>
      </w:r>
      <w:r w:rsidR="00850859" w:rsidRPr="00666B28">
        <w:rPr>
          <w:rFonts w:hint="cs"/>
          <w:b/>
          <w:bCs/>
          <w:color w:val="000000"/>
          <w:rtl/>
        </w:rPr>
        <w:t xml:space="preserve">בן צבי נ' מ"י (2016) </w:t>
      </w:r>
      <w:r w:rsidR="00850859" w:rsidRPr="00666B28">
        <w:rPr>
          <w:b/>
          <w:bCs/>
          <w:color w:val="000000"/>
          <w:rtl/>
        </w:rPr>
        <w:t>–</w:t>
      </w:r>
      <w:r w:rsidR="00850859" w:rsidRPr="00666B28">
        <w:rPr>
          <w:rFonts w:hint="cs"/>
          <w:b/>
          <w:bCs/>
          <w:color w:val="000000"/>
          <w:rtl/>
        </w:rPr>
        <w:t xml:space="preserve"> </w:t>
      </w:r>
      <w:r w:rsidR="00850859" w:rsidRPr="00666B28">
        <w:rPr>
          <w:rFonts w:hint="cs"/>
          <w:color w:val="000000"/>
          <w:rtl/>
        </w:rPr>
        <w:t xml:space="preserve">מעבדה </w:t>
      </w:r>
      <w:r w:rsidR="00850859">
        <w:rPr>
          <w:rFonts w:hint="cs"/>
          <w:color w:val="000000"/>
          <w:rtl/>
        </w:rPr>
        <w:t>בה גידל הנאשם</w:t>
      </w:r>
      <w:r w:rsidR="00850859" w:rsidRPr="00666B28">
        <w:rPr>
          <w:rFonts w:hint="cs"/>
          <w:color w:val="000000"/>
          <w:rtl/>
        </w:rPr>
        <w:t xml:space="preserve"> זרעי סם </w:t>
      </w:r>
      <w:r w:rsidR="00850859">
        <w:rPr>
          <w:rFonts w:hint="cs"/>
          <w:color w:val="000000"/>
          <w:rtl/>
        </w:rPr>
        <w:t xml:space="preserve">קנבוס </w:t>
      </w:r>
      <w:r w:rsidR="00850859" w:rsidRPr="00666B28">
        <w:rPr>
          <w:rFonts w:hint="cs"/>
          <w:color w:val="000000"/>
          <w:rtl/>
        </w:rPr>
        <w:t>במשקל העולה על 2.5 ק"ג. נקבע רף תחתון של מספר חודשי מ</w:t>
      </w:r>
      <w:r w:rsidR="00850859">
        <w:rPr>
          <w:rFonts w:hint="cs"/>
          <w:color w:val="000000"/>
          <w:rtl/>
        </w:rPr>
        <w:t>אסר לריצוי בפועל שלא בדרך של עבודות שירות</w:t>
      </w:r>
      <w:r w:rsidR="00850859" w:rsidRPr="00666B28">
        <w:rPr>
          <w:rFonts w:hint="cs"/>
          <w:color w:val="000000"/>
          <w:rtl/>
        </w:rPr>
        <w:t>, והוטלה על הנאשם תקופת מאסר של 10 חודשים לריצוי בפועל.</w:t>
      </w:r>
      <w:r w:rsidR="00850859" w:rsidRPr="00666B28">
        <w:rPr>
          <w:rFonts w:hint="cs"/>
          <w:b/>
          <w:bCs/>
          <w:color w:val="000000"/>
          <w:rtl/>
        </w:rPr>
        <w:t xml:space="preserve"> </w:t>
      </w:r>
    </w:p>
    <w:p w14:paraId="1B10C88E" w14:textId="77777777" w:rsidR="00850859" w:rsidRPr="00E60A44" w:rsidRDefault="008D2021" w:rsidP="00850859">
      <w:pPr>
        <w:spacing w:after="120" w:line="360" w:lineRule="auto"/>
        <w:jc w:val="both"/>
        <w:rPr>
          <w:color w:val="000000"/>
          <w:rtl/>
        </w:rPr>
      </w:pPr>
      <w:hyperlink r:id="rId24" w:history="1">
        <w:r w:rsidRPr="008D2021">
          <w:rPr>
            <w:color w:val="0000FF"/>
            <w:u w:val="single"/>
            <w:rtl/>
          </w:rPr>
          <w:t>עפ"ג (מרכז) 8650-04-15</w:t>
        </w:r>
      </w:hyperlink>
      <w:r w:rsidR="00850859">
        <w:rPr>
          <w:rFonts w:hint="cs"/>
          <w:b/>
          <w:bCs/>
          <w:color w:val="000000"/>
          <w:rtl/>
        </w:rPr>
        <w:t xml:space="preserve"> שוורץ נ' מ"י (2015) </w:t>
      </w:r>
      <w:r w:rsidR="00850859">
        <w:rPr>
          <w:b/>
          <w:bCs/>
          <w:color w:val="000000"/>
          <w:rtl/>
        </w:rPr>
        <w:t>–</w:t>
      </w:r>
      <w:r w:rsidR="00850859">
        <w:rPr>
          <w:rFonts w:hint="cs"/>
          <w:b/>
          <w:bCs/>
          <w:color w:val="000000"/>
          <w:rtl/>
        </w:rPr>
        <w:t xml:space="preserve"> </w:t>
      </w:r>
      <w:r w:rsidR="00850859" w:rsidRPr="00E60A44">
        <w:rPr>
          <w:rFonts w:hint="cs"/>
          <w:color w:val="000000"/>
          <w:rtl/>
        </w:rPr>
        <w:t xml:space="preserve">מעבדה בה גידל הנאשם 146 </w:t>
      </w:r>
      <w:r w:rsidR="00850859">
        <w:rPr>
          <w:rFonts w:hint="cs"/>
          <w:color w:val="000000"/>
          <w:rtl/>
        </w:rPr>
        <w:t>שתילי</w:t>
      </w:r>
      <w:r w:rsidR="00850859" w:rsidRPr="00E60A44">
        <w:rPr>
          <w:rFonts w:hint="cs"/>
          <w:color w:val="000000"/>
          <w:rtl/>
        </w:rPr>
        <w:t xml:space="preserve"> קנביס במשק</w:t>
      </w:r>
      <w:r w:rsidR="00850859">
        <w:rPr>
          <w:rFonts w:hint="cs"/>
          <w:color w:val="000000"/>
          <w:rtl/>
        </w:rPr>
        <w:t>ל 2.89 ק"ג. נ</w:t>
      </w:r>
      <w:r w:rsidR="00850859" w:rsidRPr="00E60A44">
        <w:rPr>
          <w:rFonts w:hint="cs"/>
          <w:color w:val="000000"/>
          <w:rtl/>
        </w:rPr>
        <w:t>קבע מתחם עונש של 6-24 חודשי מאסר, והוטלה על הנאשם תקופת מאסר בת 9 חודשים לריצוי בפועל.</w:t>
      </w:r>
    </w:p>
    <w:p w14:paraId="6DEAA4A2" w14:textId="77777777" w:rsidR="00850859" w:rsidRDefault="00850859" w:rsidP="00850859">
      <w:pPr>
        <w:spacing w:after="120" w:line="360" w:lineRule="auto"/>
        <w:jc w:val="both"/>
        <w:rPr>
          <w:b/>
          <w:bCs/>
          <w:color w:val="000000"/>
          <w:rtl/>
        </w:rPr>
      </w:pPr>
      <w:r>
        <w:rPr>
          <w:rFonts w:hint="cs"/>
          <w:b/>
          <w:bCs/>
          <w:color w:val="000000"/>
          <w:rtl/>
        </w:rPr>
        <w:t xml:space="preserve">הנה כי כן, פסיקת בית המשפט העליון ובית המשפט המחוזי מרכז מלמדת אותנו כי ב"תיקי מעבדה" אשר עניינם גידול סם קנאביס במשקלים ובהיקפים מן הסוג הנידון או משקלים והיקפים דומים, מתחם הענישה הינו 6-18 חודשי מאסר לריצוי בפועל. </w:t>
      </w:r>
    </w:p>
    <w:p w14:paraId="5DBACBC4" w14:textId="77777777" w:rsidR="00850859" w:rsidRDefault="00850859" w:rsidP="00850859">
      <w:pPr>
        <w:spacing w:after="120" w:line="360" w:lineRule="auto"/>
        <w:jc w:val="both"/>
        <w:rPr>
          <w:color w:val="000000"/>
          <w:rtl/>
        </w:rPr>
      </w:pPr>
      <w:r>
        <w:rPr>
          <w:rFonts w:hint="cs"/>
          <w:color w:val="000000"/>
          <w:rtl/>
        </w:rPr>
        <w:t>הסניגור המלומד אמנם הפנה לפסיקה בה נקבעו עונשי מאסר של עבודות שירות ואף פחות מכך, ואולם מעיון בפסיקה עולה כי אין המדובר בפסיקה עדכנית, וכי נראה באופן ברור כי פסיקת בית המשפט העליון החמירה לאחרונה עם מגדלי סמים במעבדות, בשל השיקולים אשר כבר פורטו מעלה.</w:t>
      </w:r>
    </w:p>
    <w:p w14:paraId="62281437" w14:textId="77777777" w:rsidR="00850859" w:rsidRPr="002424F2" w:rsidRDefault="00850859" w:rsidP="00850859">
      <w:pPr>
        <w:spacing w:after="120" w:line="360" w:lineRule="auto"/>
        <w:jc w:val="both"/>
        <w:rPr>
          <w:color w:val="000000"/>
          <w:rtl/>
        </w:rPr>
      </w:pPr>
      <w:r>
        <w:rPr>
          <w:rFonts w:hint="cs"/>
          <w:color w:val="000000"/>
          <w:rtl/>
        </w:rPr>
        <w:t xml:space="preserve">כמו כן הפנה הסניגור המלומד לפסק דינו של בית המשפט המחוזי בחיפה בעפ"ג 28100-10-15 </w:t>
      </w:r>
      <w:r>
        <w:rPr>
          <w:rFonts w:hint="cs"/>
          <w:b/>
          <w:bCs/>
          <w:color w:val="000000"/>
          <w:rtl/>
        </w:rPr>
        <w:t xml:space="preserve">מ"י נ' דוד </w:t>
      </w:r>
      <w:r>
        <w:rPr>
          <w:rFonts w:hint="cs"/>
          <w:color w:val="000000"/>
          <w:rtl/>
        </w:rPr>
        <w:t>(2017) שם נידון עניינו של נאשם, אשר גידל במעבדה 3.6 ק"ג סם קאנביס. הערכאה הדיונית נמנעה מהרשעה והטילה צו של"צ, ובית המשפט המחוזי הנכבד קבע שיש להרשיע את הנאשם וכן הגדיל את תקופת השל"צ. נראה כי פסק דין זה נכון לעובדותיו, ומהווה חריג בולט בנוף הענישה, ואיננו מבטא את הכלל הרחב.</w:t>
      </w:r>
    </w:p>
    <w:p w14:paraId="369C5F0B" w14:textId="77777777" w:rsidR="00850859" w:rsidRPr="00231D05" w:rsidRDefault="00850859" w:rsidP="00850859">
      <w:pPr>
        <w:spacing w:after="120" w:line="360" w:lineRule="auto"/>
        <w:jc w:val="both"/>
        <w:rPr>
          <w:b/>
          <w:bCs/>
          <w:color w:val="000000"/>
          <w:rtl/>
        </w:rPr>
      </w:pPr>
      <w:r w:rsidRPr="00231D05">
        <w:rPr>
          <w:rFonts w:hint="cs"/>
          <w:b/>
          <w:bCs/>
          <w:color w:val="000000"/>
          <w:rtl/>
        </w:rPr>
        <w:t>סטיה מן המתחם</w:t>
      </w:r>
      <w:r>
        <w:rPr>
          <w:rFonts w:hint="cs"/>
          <w:b/>
          <w:bCs/>
          <w:color w:val="000000"/>
          <w:rtl/>
        </w:rPr>
        <w:t>:</w:t>
      </w:r>
    </w:p>
    <w:p w14:paraId="27F6F367" w14:textId="77777777" w:rsidR="00850859" w:rsidRPr="003B557F" w:rsidRDefault="00850859" w:rsidP="00850859">
      <w:pPr>
        <w:spacing w:after="120" w:line="360" w:lineRule="auto"/>
        <w:jc w:val="both"/>
        <w:rPr>
          <w:color w:val="000000"/>
          <w:rtl/>
        </w:rPr>
      </w:pPr>
      <w:r w:rsidRPr="003B557F">
        <w:rPr>
          <w:rFonts w:hint="cs"/>
          <w:color w:val="000000"/>
          <w:rtl/>
        </w:rPr>
        <w:t xml:space="preserve">הסניגור </w:t>
      </w:r>
      <w:r>
        <w:rPr>
          <w:rFonts w:hint="cs"/>
          <w:color w:val="000000"/>
          <w:rtl/>
        </w:rPr>
        <w:t>המלומ</w:t>
      </w:r>
      <w:r w:rsidRPr="003B557F">
        <w:rPr>
          <w:rFonts w:hint="cs"/>
          <w:color w:val="000000"/>
          <w:rtl/>
        </w:rPr>
        <w:t>ד טען כי במקרה ז</w:t>
      </w:r>
      <w:r>
        <w:rPr>
          <w:rFonts w:hint="cs"/>
          <w:color w:val="000000"/>
          <w:rtl/>
        </w:rPr>
        <w:t xml:space="preserve">ה יש לסטות מן המתחם עקב הליכי </w:t>
      </w:r>
      <w:r w:rsidRPr="003B557F">
        <w:rPr>
          <w:rFonts w:hint="cs"/>
          <w:color w:val="000000"/>
          <w:rtl/>
        </w:rPr>
        <w:t>שיקום אותם עובר הנאשם.</w:t>
      </w:r>
    </w:p>
    <w:p w14:paraId="47E4780E" w14:textId="77777777" w:rsidR="00850859" w:rsidRPr="003B557F" w:rsidRDefault="00850859" w:rsidP="00850859">
      <w:pPr>
        <w:spacing w:after="120" w:line="360" w:lineRule="auto"/>
        <w:jc w:val="both"/>
        <w:rPr>
          <w:color w:val="000000"/>
          <w:rtl/>
        </w:rPr>
      </w:pPr>
      <w:r w:rsidRPr="003B557F">
        <w:rPr>
          <w:rFonts w:hint="cs"/>
          <w:color w:val="000000"/>
          <w:rtl/>
        </w:rPr>
        <w:t>אין דעתי כדעתו.</w:t>
      </w:r>
    </w:p>
    <w:p w14:paraId="22DE8F6C" w14:textId="77777777" w:rsidR="00850859" w:rsidRDefault="00850859" w:rsidP="00850859">
      <w:pPr>
        <w:spacing w:after="120" w:line="360" w:lineRule="auto"/>
        <w:jc w:val="both"/>
        <w:rPr>
          <w:color w:val="000000"/>
          <w:rtl/>
        </w:rPr>
      </w:pPr>
      <w:r w:rsidRPr="003B557F">
        <w:rPr>
          <w:rFonts w:hint="cs"/>
          <w:color w:val="000000"/>
          <w:rtl/>
        </w:rPr>
        <w:t>ראשית, הסטיה מן המתחם בעבירות מסוג זה עקב הליכי שיקום צריכה להישמר לאותם מקרים מיוחדים בהם הנאשם היה מכור לחומרים ממכרים, והוא מצוי בעיצומו של תהליך גמילה. במקרים בהם הנאשם עובר תהליך של חזרה לחברה הנורמטיבית, מסמיך המחוקק את בתי</w:t>
      </w:r>
      <w:r>
        <w:rPr>
          <w:rFonts w:hint="cs"/>
          <w:color w:val="000000"/>
          <w:rtl/>
        </w:rPr>
        <w:t xml:space="preserve"> המשפט לסטות ממתחם העונש ההולם כלפי מטה, על מנת ש</w:t>
      </w:r>
      <w:r w:rsidRPr="003B557F">
        <w:rPr>
          <w:rFonts w:hint="cs"/>
          <w:color w:val="000000"/>
          <w:rtl/>
        </w:rPr>
        <w:t>הנאשם לא יחזו</w:t>
      </w:r>
      <w:r>
        <w:rPr>
          <w:rFonts w:hint="cs"/>
          <w:color w:val="000000"/>
          <w:rtl/>
        </w:rPr>
        <w:t xml:space="preserve">ר </w:t>
      </w:r>
      <w:r w:rsidRPr="003B557F">
        <w:rPr>
          <w:rFonts w:hint="cs"/>
          <w:color w:val="000000"/>
          <w:rtl/>
        </w:rPr>
        <w:t xml:space="preserve">לסורו, </w:t>
      </w:r>
      <w:r>
        <w:rPr>
          <w:rFonts w:hint="cs"/>
          <w:color w:val="000000"/>
          <w:rtl/>
        </w:rPr>
        <w:t>וישוב</w:t>
      </w:r>
      <w:r w:rsidRPr="003B557F">
        <w:rPr>
          <w:rFonts w:hint="cs"/>
          <w:color w:val="000000"/>
          <w:rtl/>
        </w:rPr>
        <w:t xml:space="preserve"> </w:t>
      </w:r>
      <w:r>
        <w:rPr>
          <w:rFonts w:hint="cs"/>
          <w:color w:val="000000"/>
          <w:rtl/>
        </w:rPr>
        <w:t>להוות</w:t>
      </w:r>
      <w:r w:rsidRPr="003B557F">
        <w:rPr>
          <w:rFonts w:hint="cs"/>
          <w:color w:val="000000"/>
          <w:rtl/>
        </w:rPr>
        <w:t xml:space="preserve"> נטל על החברה במקום להפוך לאזרח מועיל</w:t>
      </w:r>
      <w:r>
        <w:rPr>
          <w:rFonts w:hint="cs"/>
          <w:color w:val="000000"/>
          <w:rtl/>
        </w:rPr>
        <w:t xml:space="preserve">, ובכך מועדף, </w:t>
      </w:r>
      <w:r>
        <w:rPr>
          <w:rFonts w:hint="cs"/>
          <w:color w:val="000000"/>
          <w:u w:val="single"/>
          <w:rtl/>
        </w:rPr>
        <w:t>כחריג לכלל,</w:t>
      </w:r>
      <w:r>
        <w:rPr>
          <w:rFonts w:hint="cs"/>
          <w:color w:val="000000"/>
          <w:rtl/>
        </w:rPr>
        <w:t xml:space="preserve"> האינטרס האישי של הנאשם על פני האינטרס הציבורי הרחב</w:t>
      </w:r>
      <w:r w:rsidRPr="003B557F">
        <w:rPr>
          <w:rFonts w:hint="cs"/>
          <w:color w:val="000000"/>
          <w:rtl/>
        </w:rPr>
        <w:t xml:space="preserve">. </w:t>
      </w:r>
    </w:p>
    <w:p w14:paraId="4F30F002" w14:textId="77777777" w:rsidR="00850859" w:rsidRDefault="00850859" w:rsidP="00850859">
      <w:pPr>
        <w:spacing w:after="120" w:line="360" w:lineRule="auto"/>
        <w:jc w:val="both"/>
        <w:rPr>
          <w:color w:val="000000"/>
          <w:rtl/>
        </w:rPr>
      </w:pPr>
      <w:r w:rsidRPr="003B557F">
        <w:rPr>
          <w:rFonts w:hint="cs"/>
          <w:color w:val="000000"/>
          <w:rtl/>
        </w:rPr>
        <w:t xml:space="preserve">ברי, כי אין זהו המקרה כאן. </w:t>
      </w:r>
    </w:p>
    <w:p w14:paraId="23746B66" w14:textId="77777777" w:rsidR="00850859" w:rsidRPr="003B557F" w:rsidRDefault="00850859" w:rsidP="00850859">
      <w:pPr>
        <w:spacing w:after="120" w:line="360" w:lineRule="auto"/>
        <w:jc w:val="both"/>
        <w:rPr>
          <w:color w:val="000000"/>
          <w:rtl/>
        </w:rPr>
      </w:pPr>
      <w:r>
        <w:rPr>
          <w:rFonts w:hint="cs"/>
          <w:color w:val="000000"/>
          <w:rtl/>
        </w:rPr>
        <w:t xml:space="preserve">בענייננו, </w:t>
      </w:r>
      <w:r w:rsidRPr="003B557F">
        <w:rPr>
          <w:rFonts w:hint="cs"/>
          <w:color w:val="000000"/>
          <w:rtl/>
        </w:rPr>
        <w:t xml:space="preserve">המדובר בנאשם שעובר תהליך של חרטה והפנמה של מעשיו, תהליך שבוודאי הינו חשוב </w:t>
      </w:r>
      <w:r>
        <w:rPr>
          <w:rFonts w:hint="cs"/>
          <w:color w:val="000000"/>
          <w:rtl/>
        </w:rPr>
        <w:t xml:space="preserve">ומתרים, </w:t>
      </w:r>
      <w:r w:rsidRPr="003B557F">
        <w:rPr>
          <w:rFonts w:hint="cs"/>
          <w:color w:val="000000"/>
          <w:rtl/>
        </w:rPr>
        <w:t xml:space="preserve">אך אין המדובר בנאשם טעון </w:t>
      </w:r>
      <w:r>
        <w:rPr>
          <w:color w:val="000000"/>
          <w:rtl/>
        </w:rPr>
        <w:t>–</w:t>
      </w:r>
      <w:r w:rsidRPr="003B557F">
        <w:rPr>
          <w:rFonts w:hint="cs"/>
          <w:color w:val="000000"/>
          <w:rtl/>
        </w:rPr>
        <w:t xml:space="preserve"> שיקום</w:t>
      </w:r>
      <w:r>
        <w:rPr>
          <w:rFonts w:hint="cs"/>
          <w:color w:val="000000"/>
          <w:rtl/>
        </w:rPr>
        <w:t xml:space="preserve"> מן הסוג אליו מכוון החוק.</w:t>
      </w:r>
    </w:p>
    <w:p w14:paraId="4448E665" w14:textId="77777777" w:rsidR="00850859" w:rsidRDefault="00850859" w:rsidP="00850859">
      <w:pPr>
        <w:spacing w:after="120" w:line="360" w:lineRule="auto"/>
        <w:jc w:val="both"/>
        <w:rPr>
          <w:b/>
          <w:bCs/>
          <w:color w:val="000000"/>
          <w:rtl/>
        </w:rPr>
      </w:pPr>
      <w:r>
        <w:rPr>
          <w:rFonts w:hint="cs"/>
          <w:b/>
          <w:bCs/>
          <w:color w:val="000000"/>
          <w:rtl/>
        </w:rPr>
        <w:t xml:space="preserve">שנית, </w:t>
      </w:r>
      <w:r>
        <w:rPr>
          <w:rFonts w:hint="cs"/>
          <w:color w:val="000000"/>
          <w:rtl/>
        </w:rPr>
        <w:t>ההליך אותו עובר הנאשם אינו יכול לאיין ולרוקן מתוכן את חומרת העבירה בה הורשע, אשר אליה קדמו תכנון מוקדם, השקעה כספית, ותוכנית עבריינית. אינטרס השיקום מהוה רק שיקול אחד מבין מכלול שיקולי הענישה ואינו חזות הכל, ובוודאי שאין הוא מילת קסם המצדיקה ענישה חריגה ומקלה. זאת ועוד, וכידוע, בעבירות סמים נדחק שיקול נסיבותיו האישיות של הנאשם אל מול האינטרס הציבורי (</w:t>
      </w:r>
      <w:hyperlink r:id="rId25" w:history="1">
        <w:r w:rsidR="008D2021" w:rsidRPr="008D2021">
          <w:rPr>
            <w:color w:val="0000FF"/>
            <w:u w:val="single"/>
            <w:rtl/>
          </w:rPr>
          <w:t>ע"פ 376/89</w:t>
        </w:r>
      </w:hyperlink>
      <w:r>
        <w:rPr>
          <w:rFonts w:hint="cs"/>
          <w:color w:val="000000"/>
          <w:rtl/>
        </w:rPr>
        <w:t xml:space="preserve"> </w:t>
      </w:r>
      <w:r>
        <w:rPr>
          <w:rFonts w:hint="cs"/>
          <w:b/>
          <w:bCs/>
          <w:color w:val="000000"/>
          <w:rtl/>
        </w:rPr>
        <w:t xml:space="preserve">לובטון נ' מ"י, </w:t>
      </w:r>
      <w:hyperlink r:id="rId26" w:history="1">
        <w:r w:rsidR="008D2021" w:rsidRPr="008D2021">
          <w:rPr>
            <w:color w:val="0000FF"/>
            <w:u w:val="single"/>
            <w:rtl/>
          </w:rPr>
          <w:t>רע"פ 3864/16</w:t>
        </w:r>
      </w:hyperlink>
      <w:r>
        <w:rPr>
          <w:rFonts w:hint="cs"/>
          <w:color w:val="000000"/>
          <w:rtl/>
        </w:rPr>
        <w:t xml:space="preserve"> </w:t>
      </w:r>
      <w:r>
        <w:rPr>
          <w:rFonts w:hint="cs"/>
          <w:b/>
          <w:bCs/>
          <w:color w:val="000000"/>
          <w:rtl/>
        </w:rPr>
        <w:t xml:space="preserve">בן דוד נ' מ"י (2016), </w:t>
      </w:r>
      <w:r w:rsidRPr="00E36643">
        <w:rPr>
          <w:rFonts w:hint="cs"/>
          <w:color w:val="000000"/>
          <w:rtl/>
        </w:rPr>
        <w:t>בפיסקה 9)</w:t>
      </w:r>
      <w:r>
        <w:rPr>
          <w:rFonts w:hint="cs"/>
          <w:b/>
          <w:bCs/>
          <w:color w:val="000000"/>
          <w:rtl/>
        </w:rPr>
        <w:t>.</w:t>
      </w:r>
    </w:p>
    <w:p w14:paraId="3BBB8F54" w14:textId="77777777" w:rsidR="00850859" w:rsidRPr="00E60A44" w:rsidRDefault="00850859" w:rsidP="00850859">
      <w:pPr>
        <w:spacing w:after="120" w:line="360" w:lineRule="auto"/>
        <w:jc w:val="both"/>
        <w:rPr>
          <w:color w:val="000000"/>
          <w:rtl/>
        </w:rPr>
      </w:pPr>
      <w:r w:rsidRPr="00E60A44">
        <w:rPr>
          <w:rFonts w:hint="cs"/>
          <w:color w:val="000000"/>
          <w:rtl/>
        </w:rPr>
        <w:t xml:space="preserve">עוד יש לזכור כי בית המשפט איננו חותמת גומי של שירות המבחן, והמלצותיו של הלה הינן בגדר המלצות בלבד. </w:t>
      </w:r>
    </w:p>
    <w:p w14:paraId="25764CCE" w14:textId="77777777" w:rsidR="00850859" w:rsidRDefault="00850859" w:rsidP="00850859">
      <w:pPr>
        <w:spacing w:after="120" w:line="360" w:lineRule="auto"/>
        <w:jc w:val="both"/>
        <w:rPr>
          <w:color w:val="000000"/>
          <w:rtl/>
        </w:rPr>
      </w:pPr>
      <w:r>
        <w:rPr>
          <w:rFonts w:hint="cs"/>
          <w:color w:val="000000"/>
          <w:rtl/>
        </w:rPr>
        <w:t xml:space="preserve">לפיכך, לא מצאתי לנכון לסטות, במקרה זה, ממתחם העונש ההולם. ואולם, שיקול החרטה וההפנמה שעבר הנאשם בהחלט יהווה שיקול משמעותי לענישתו -  בתוך המתחם. </w:t>
      </w:r>
    </w:p>
    <w:p w14:paraId="466D32A8" w14:textId="77777777" w:rsidR="00850859" w:rsidRDefault="00850859" w:rsidP="00850859">
      <w:pPr>
        <w:spacing w:after="120" w:line="360" w:lineRule="auto"/>
        <w:jc w:val="both"/>
        <w:rPr>
          <w:color w:val="000000"/>
          <w:rtl/>
        </w:rPr>
      </w:pPr>
      <w:r w:rsidRPr="00231D05">
        <w:rPr>
          <w:rFonts w:hint="cs"/>
          <w:b/>
          <w:bCs/>
          <w:color w:val="000000"/>
          <w:rtl/>
        </w:rPr>
        <w:t>נסיבותיו האישיות של הנאשם, אשר אינן קשורות בביצוע העבירות</w:t>
      </w:r>
      <w:r>
        <w:rPr>
          <w:rFonts w:hint="cs"/>
          <w:color w:val="000000"/>
          <w:rtl/>
        </w:rPr>
        <w:t>:</w:t>
      </w:r>
    </w:p>
    <w:p w14:paraId="663D3D3B" w14:textId="77777777" w:rsidR="00850859" w:rsidRDefault="00850859" w:rsidP="00850859">
      <w:pPr>
        <w:spacing w:after="120" w:line="360" w:lineRule="auto"/>
        <w:ind w:left="720" w:hanging="720"/>
        <w:jc w:val="both"/>
        <w:rPr>
          <w:color w:val="000000"/>
          <w:rtl/>
        </w:rPr>
      </w:pPr>
      <w:r>
        <w:rPr>
          <w:rFonts w:hint="cs"/>
          <w:color w:val="000000"/>
          <w:rtl/>
        </w:rPr>
        <w:t>א.</w:t>
      </w:r>
      <w:r>
        <w:rPr>
          <w:rFonts w:hint="cs"/>
          <w:color w:val="000000"/>
          <w:rtl/>
        </w:rPr>
        <w:tab/>
        <w:t>אין ספק כי הטלת עונש קונקרטי בדמות מאסר יפגע בנאשם ובהוריו, והכל בשים לב לגילו הצעיר יחסית. בנוסף, המדובר במאסרו הראשון של הנאשם ושיקול זה הוא שיקול ממתן משמעותי;</w:t>
      </w:r>
    </w:p>
    <w:p w14:paraId="5662F758" w14:textId="77777777" w:rsidR="00850859" w:rsidRDefault="00850859" w:rsidP="00850859">
      <w:pPr>
        <w:spacing w:after="120" w:line="360" w:lineRule="auto"/>
        <w:ind w:left="720" w:hanging="720"/>
        <w:jc w:val="both"/>
        <w:rPr>
          <w:color w:val="000000"/>
          <w:rtl/>
        </w:rPr>
      </w:pPr>
      <w:r>
        <w:rPr>
          <w:rFonts w:hint="cs"/>
          <w:color w:val="000000"/>
          <w:rtl/>
        </w:rPr>
        <w:t>ב.</w:t>
      </w:r>
      <w:r>
        <w:rPr>
          <w:rFonts w:hint="cs"/>
          <w:color w:val="000000"/>
          <w:rtl/>
        </w:rPr>
        <w:tab/>
        <w:t>הנאשם הודה כבר ברגע הראשון, שיתף פעולה עם המשטרה, נטל אחריות, הביע חרטה, והבין את הפסול במעשיו. גם נתון זה הינו נתון העומד לזכותו של הנאשם.</w:t>
      </w:r>
    </w:p>
    <w:p w14:paraId="2DB7CEED" w14:textId="77777777" w:rsidR="00850859" w:rsidRDefault="00850859" w:rsidP="00850859">
      <w:pPr>
        <w:spacing w:after="120" w:line="360" w:lineRule="auto"/>
        <w:jc w:val="both"/>
        <w:rPr>
          <w:color w:val="000000"/>
          <w:rtl/>
        </w:rPr>
      </w:pPr>
      <w:r>
        <w:rPr>
          <w:rFonts w:hint="cs"/>
          <w:color w:val="000000"/>
          <w:rtl/>
        </w:rPr>
        <w:t>ג.</w:t>
      </w:r>
      <w:r>
        <w:rPr>
          <w:rFonts w:hint="cs"/>
          <w:color w:val="000000"/>
          <w:rtl/>
        </w:rPr>
        <w:tab/>
        <w:t>הנאשם מחוסר עבר פלילי מסוג כלשהו.</w:t>
      </w:r>
    </w:p>
    <w:p w14:paraId="7F8A1969" w14:textId="77777777" w:rsidR="00850859" w:rsidRDefault="00850859" w:rsidP="00850859">
      <w:pPr>
        <w:spacing w:after="120" w:line="360" w:lineRule="auto"/>
        <w:jc w:val="both"/>
        <w:rPr>
          <w:color w:val="000000"/>
          <w:rtl/>
        </w:rPr>
      </w:pPr>
      <w:r>
        <w:rPr>
          <w:rFonts w:hint="cs"/>
          <w:color w:val="000000"/>
          <w:rtl/>
        </w:rPr>
        <w:t>ד.</w:t>
      </w:r>
      <w:r>
        <w:rPr>
          <w:rFonts w:hint="cs"/>
          <w:color w:val="000000"/>
          <w:rtl/>
        </w:rPr>
        <w:tab/>
        <w:t>הנאשם היה במעצר ממשי, תקופה של כחודש ימים.</w:t>
      </w:r>
    </w:p>
    <w:p w14:paraId="6FFDBDA3" w14:textId="77777777" w:rsidR="00850859" w:rsidRPr="002C190B" w:rsidRDefault="00850859" w:rsidP="00850859">
      <w:pPr>
        <w:spacing w:after="120" w:line="360" w:lineRule="auto"/>
        <w:jc w:val="both"/>
        <w:rPr>
          <w:b/>
          <w:bCs/>
          <w:color w:val="000000"/>
          <w:rtl/>
        </w:rPr>
      </w:pPr>
      <w:r w:rsidRPr="002C190B">
        <w:rPr>
          <w:rFonts w:hint="cs"/>
          <w:b/>
          <w:bCs/>
          <w:color w:val="000000"/>
          <w:rtl/>
        </w:rPr>
        <w:t>אשר על כן, ולאחר ששקלתי את כל השיקולים המפורטים לעיל, אני גוזר על הנאשם את העונשים הבאים:</w:t>
      </w:r>
    </w:p>
    <w:p w14:paraId="74611704" w14:textId="77777777" w:rsidR="00850859" w:rsidRDefault="00850859" w:rsidP="00850859">
      <w:pPr>
        <w:spacing w:after="120" w:line="360" w:lineRule="auto"/>
        <w:jc w:val="both"/>
        <w:rPr>
          <w:color w:val="000000"/>
          <w:rtl/>
        </w:rPr>
      </w:pPr>
      <w:r>
        <w:rPr>
          <w:rFonts w:hint="cs"/>
          <w:color w:val="000000"/>
          <w:rtl/>
        </w:rPr>
        <w:t>א.</w:t>
      </w:r>
      <w:r>
        <w:rPr>
          <w:rFonts w:hint="cs"/>
          <w:color w:val="000000"/>
          <w:rtl/>
        </w:rPr>
        <w:tab/>
        <w:t>8 חודשי מאסר לריצוי בפועל, בניכוי תקופת מעצרו מיום 12.8.2015 ועד ליום 10.9.2015.</w:t>
      </w:r>
    </w:p>
    <w:p w14:paraId="4BBCD795" w14:textId="77777777" w:rsidR="00850859" w:rsidRDefault="00850859" w:rsidP="00850859">
      <w:pPr>
        <w:spacing w:after="120" w:line="360" w:lineRule="auto"/>
        <w:ind w:left="720" w:hanging="720"/>
        <w:jc w:val="both"/>
        <w:rPr>
          <w:color w:val="000000"/>
          <w:rtl/>
        </w:rPr>
      </w:pPr>
      <w:r>
        <w:rPr>
          <w:rFonts w:hint="cs"/>
          <w:color w:val="000000"/>
          <w:rtl/>
        </w:rPr>
        <w:t>ב.</w:t>
      </w:r>
      <w:r>
        <w:rPr>
          <w:rFonts w:hint="cs"/>
          <w:color w:val="000000"/>
          <w:rtl/>
        </w:rPr>
        <w:tab/>
        <w:t xml:space="preserve">6 חודשי מאסר על תנאי, והתנאי הוא שבמשך 3 חודשים מיום שחרורו הנאשם לא יעבור עבירת פשע על פי </w:t>
      </w:r>
      <w:hyperlink r:id="rId27" w:history="1">
        <w:r w:rsidR="008D2021" w:rsidRPr="008D2021">
          <w:rPr>
            <w:color w:val="0000FF"/>
            <w:u w:val="single"/>
            <w:rtl/>
          </w:rPr>
          <w:t>פקודת הסמים המסוכנים</w:t>
        </w:r>
      </w:hyperlink>
      <w:r>
        <w:rPr>
          <w:rFonts w:hint="cs"/>
          <w:color w:val="000000"/>
          <w:rtl/>
        </w:rPr>
        <w:t>.</w:t>
      </w:r>
    </w:p>
    <w:p w14:paraId="26A754F5" w14:textId="77777777" w:rsidR="00850859" w:rsidRDefault="00850859" w:rsidP="00850859">
      <w:pPr>
        <w:spacing w:after="120" w:line="360" w:lineRule="auto"/>
        <w:ind w:left="720" w:hanging="720"/>
        <w:jc w:val="both"/>
        <w:rPr>
          <w:color w:val="000000"/>
          <w:rtl/>
        </w:rPr>
      </w:pPr>
      <w:r>
        <w:rPr>
          <w:rFonts w:hint="cs"/>
          <w:color w:val="000000"/>
          <w:rtl/>
        </w:rPr>
        <w:t>ג.</w:t>
      </w:r>
      <w:r>
        <w:rPr>
          <w:rFonts w:hint="cs"/>
          <w:color w:val="000000"/>
          <w:rtl/>
        </w:rPr>
        <w:tab/>
        <w:t xml:space="preserve">3 חודשי מאסר על תנאי, והתנאי הוא שבמשך 3 שנים מיום שחרורו הנאשם לא יעבור עבירת עוון על פי </w:t>
      </w:r>
      <w:hyperlink r:id="rId28" w:history="1">
        <w:r w:rsidR="008D2021" w:rsidRPr="008D2021">
          <w:rPr>
            <w:color w:val="0000FF"/>
            <w:u w:val="single"/>
            <w:rtl/>
          </w:rPr>
          <w:t>פקודת הסמים המסוכנים</w:t>
        </w:r>
      </w:hyperlink>
      <w:r>
        <w:rPr>
          <w:rFonts w:hint="cs"/>
          <w:color w:val="000000"/>
          <w:rtl/>
        </w:rPr>
        <w:t>.</w:t>
      </w:r>
    </w:p>
    <w:p w14:paraId="7C730F12" w14:textId="77777777" w:rsidR="00850859" w:rsidRDefault="00850859" w:rsidP="00850859">
      <w:pPr>
        <w:spacing w:after="120" w:line="360" w:lineRule="auto"/>
        <w:ind w:left="720" w:hanging="720"/>
        <w:jc w:val="both"/>
        <w:rPr>
          <w:color w:val="000000"/>
          <w:rtl/>
        </w:rPr>
      </w:pPr>
      <w:r>
        <w:rPr>
          <w:rFonts w:hint="cs"/>
          <w:color w:val="000000"/>
          <w:rtl/>
        </w:rPr>
        <w:t>ד.</w:t>
      </w:r>
      <w:r>
        <w:rPr>
          <w:rFonts w:hint="cs"/>
          <w:color w:val="000000"/>
          <w:rtl/>
        </w:rPr>
        <w:tab/>
        <w:t xml:space="preserve">קנס בסך של 10,000 ₪ או 5 חודשי מאסר תמורתו. הקנס ישולם ב - 10 תשלומים חודשיים, שווים ורצופים אשר תחילתם ביום 1.6.2017 וכל אחד לחודש. לא יעמוד הנאשם בביצוע תשלום כלשהו במלואו או במועדו </w:t>
      </w:r>
      <w:r>
        <w:rPr>
          <w:color w:val="000000"/>
          <w:rtl/>
        </w:rPr>
        <w:t>–</w:t>
      </w:r>
      <w:r>
        <w:rPr>
          <w:rFonts w:hint="cs"/>
          <w:color w:val="000000"/>
          <w:rtl/>
        </w:rPr>
        <w:t xml:space="preserve"> תעמוד יתרת הקנס לפירעון מלא ומיידי.</w:t>
      </w:r>
    </w:p>
    <w:p w14:paraId="65161E19" w14:textId="77777777" w:rsidR="00850859" w:rsidRDefault="00850859" w:rsidP="00850859">
      <w:pPr>
        <w:spacing w:after="120" w:line="360" w:lineRule="auto"/>
        <w:ind w:left="720" w:hanging="720"/>
        <w:jc w:val="both"/>
        <w:rPr>
          <w:color w:val="000000"/>
          <w:rtl/>
        </w:rPr>
      </w:pPr>
      <w:r>
        <w:rPr>
          <w:rFonts w:hint="cs"/>
          <w:color w:val="000000"/>
          <w:rtl/>
        </w:rPr>
        <w:t>ה.</w:t>
      </w:r>
      <w:r>
        <w:rPr>
          <w:rFonts w:hint="cs"/>
          <w:color w:val="000000"/>
          <w:rtl/>
        </w:rPr>
        <w:tab/>
        <w:t>פוסל את הנאשם מלקבל או להחזיק רשיון נהיגה למשך 6 חודשים מיום שחרורו ממאסר. מניין ימי הפסילה יחל עם שחרורו של הנאשם ממאסר ועם הפקדת רשיון הנהיגה שלו במזכירות בית המשפט.</w:t>
      </w:r>
    </w:p>
    <w:p w14:paraId="1C8D88F7" w14:textId="77777777" w:rsidR="00850859" w:rsidRDefault="00850859" w:rsidP="00850859">
      <w:pPr>
        <w:spacing w:after="120" w:line="360" w:lineRule="auto"/>
        <w:ind w:left="720" w:hanging="720"/>
        <w:jc w:val="both"/>
        <w:rPr>
          <w:color w:val="000000"/>
          <w:rtl/>
        </w:rPr>
      </w:pPr>
      <w:r>
        <w:rPr>
          <w:rFonts w:hint="cs"/>
          <w:color w:val="000000"/>
          <w:rtl/>
        </w:rPr>
        <w:t>ו.</w:t>
      </w:r>
      <w:r>
        <w:rPr>
          <w:rFonts w:hint="cs"/>
          <w:color w:val="000000"/>
          <w:rtl/>
        </w:rPr>
        <w:tab/>
        <w:t xml:space="preserve">פוסל את הנאשם מלקבל או להחזיק רשיון נהיגה </w:t>
      </w:r>
      <w:r>
        <w:rPr>
          <w:color w:val="000000"/>
          <w:rtl/>
        </w:rPr>
        <w:t>–</w:t>
      </w:r>
      <w:r>
        <w:rPr>
          <w:rFonts w:hint="cs"/>
          <w:color w:val="000000"/>
          <w:rtl/>
        </w:rPr>
        <w:t xml:space="preserve"> פסילה על תנאי </w:t>
      </w:r>
      <w:r>
        <w:rPr>
          <w:color w:val="000000"/>
          <w:rtl/>
        </w:rPr>
        <w:t>–</w:t>
      </w:r>
      <w:r>
        <w:rPr>
          <w:rFonts w:hint="cs"/>
          <w:color w:val="000000"/>
          <w:rtl/>
        </w:rPr>
        <w:t xml:space="preserve"> לתקופה של 12 חודשים, והתנאי הוא שהנאשם לא יעבור עבירה כלשהי על פי </w:t>
      </w:r>
      <w:hyperlink r:id="rId29" w:history="1">
        <w:r w:rsidR="008D2021" w:rsidRPr="008D2021">
          <w:rPr>
            <w:color w:val="0000FF"/>
            <w:u w:val="single"/>
            <w:rtl/>
          </w:rPr>
          <w:t>פקודת הסמים המסוכנים</w:t>
        </w:r>
      </w:hyperlink>
      <w:r>
        <w:rPr>
          <w:rFonts w:hint="cs"/>
          <w:color w:val="000000"/>
          <w:rtl/>
        </w:rPr>
        <w:t>. תקופת התנאי תחל עם סיום תקופת הפסילה בפועל.</w:t>
      </w:r>
    </w:p>
    <w:p w14:paraId="7CCC2413" w14:textId="77777777" w:rsidR="00850859" w:rsidRPr="00E60A44" w:rsidRDefault="00850859" w:rsidP="00850859">
      <w:pPr>
        <w:keepLines/>
        <w:spacing w:after="120" w:line="360" w:lineRule="auto"/>
        <w:jc w:val="both"/>
        <w:rPr>
          <w:rFonts w:ascii="David" w:hAnsi="David"/>
          <w:noProof/>
        </w:rPr>
      </w:pPr>
      <w:r w:rsidRPr="00E60A44">
        <w:rPr>
          <w:rFonts w:ascii="David" w:hAnsi="David" w:hint="eastAsia"/>
          <w:rtl/>
        </w:rPr>
        <w:t>הנאשם</w:t>
      </w:r>
      <w:r w:rsidRPr="00E60A44">
        <w:rPr>
          <w:rFonts w:ascii="David" w:hAnsi="David"/>
          <w:rtl/>
        </w:rPr>
        <w:t xml:space="preserve"> </w:t>
      </w:r>
      <w:r w:rsidRPr="00E60A44">
        <w:rPr>
          <w:rFonts w:ascii="David" w:hAnsi="David" w:hint="eastAsia"/>
          <w:rtl/>
        </w:rPr>
        <w:t>יתייצב</w:t>
      </w:r>
      <w:r w:rsidRPr="00E60A44">
        <w:rPr>
          <w:rFonts w:ascii="David" w:hAnsi="David"/>
          <w:rtl/>
        </w:rPr>
        <w:t xml:space="preserve"> </w:t>
      </w:r>
      <w:r w:rsidRPr="00E60A44">
        <w:rPr>
          <w:rFonts w:ascii="David" w:hAnsi="David" w:hint="eastAsia"/>
          <w:rtl/>
        </w:rPr>
        <w:t>לתחילת</w:t>
      </w:r>
      <w:r w:rsidRPr="00E60A44">
        <w:rPr>
          <w:rFonts w:ascii="David" w:hAnsi="David"/>
          <w:rtl/>
        </w:rPr>
        <w:t xml:space="preserve"> </w:t>
      </w:r>
      <w:r w:rsidRPr="00E60A44">
        <w:rPr>
          <w:rFonts w:ascii="David" w:hAnsi="David" w:hint="eastAsia"/>
          <w:rtl/>
        </w:rPr>
        <w:t>ריצוי</w:t>
      </w:r>
      <w:r w:rsidRPr="00E60A44">
        <w:rPr>
          <w:rFonts w:ascii="David" w:hAnsi="David"/>
          <w:rtl/>
        </w:rPr>
        <w:t xml:space="preserve"> </w:t>
      </w:r>
      <w:r w:rsidRPr="00E60A44">
        <w:rPr>
          <w:rFonts w:ascii="David" w:hAnsi="David" w:hint="eastAsia"/>
          <w:rtl/>
        </w:rPr>
        <w:t>עונשו</w:t>
      </w:r>
      <w:r w:rsidRPr="00E60A44">
        <w:rPr>
          <w:rFonts w:ascii="David" w:hAnsi="David"/>
          <w:rtl/>
        </w:rPr>
        <w:t xml:space="preserve"> </w:t>
      </w:r>
      <w:r w:rsidRPr="00E60A44">
        <w:rPr>
          <w:rFonts w:ascii="David" w:hAnsi="David" w:hint="eastAsia"/>
          <w:rtl/>
        </w:rPr>
        <w:t>ביום</w:t>
      </w:r>
      <w:r w:rsidRPr="00E60A44">
        <w:rPr>
          <w:rFonts w:ascii="David" w:hAnsi="David"/>
          <w:rtl/>
        </w:rPr>
        <w:t xml:space="preserve"> </w:t>
      </w:r>
      <w:r>
        <w:rPr>
          <w:rFonts w:ascii="David" w:hAnsi="David" w:hint="cs"/>
          <w:rtl/>
        </w:rPr>
        <w:t>8</w:t>
      </w:r>
      <w:r w:rsidRPr="00E60A44">
        <w:rPr>
          <w:rFonts w:ascii="David" w:hAnsi="David"/>
          <w:rtl/>
        </w:rPr>
        <w:t>.</w:t>
      </w:r>
      <w:r>
        <w:rPr>
          <w:rFonts w:ascii="David" w:hAnsi="David" w:hint="cs"/>
          <w:rtl/>
        </w:rPr>
        <w:t>6</w:t>
      </w:r>
      <w:r w:rsidRPr="00E60A44">
        <w:rPr>
          <w:rFonts w:ascii="David" w:hAnsi="David"/>
          <w:rtl/>
        </w:rPr>
        <w:t>.</w:t>
      </w:r>
      <w:r>
        <w:rPr>
          <w:rFonts w:ascii="David" w:hAnsi="David" w:hint="cs"/>
          <w:rtl/>
        </w:rPr>
        <w:t>2017</w:t>
      </w:r>
      <w:r w:rsidRPr="00E60A44">
        <w:rPr>
          <w:rFonts w:ascii="David" w:hAnsi="David"/>
          <w:rtl/>
        </w:rPr>
        <w:t xml:space="preserve"> </w:t>
      </w:r>
      <w:r w:rsidRPr="00E60A44">
        <w:rPr>
          <w:rFonts w:ascii="David" w:hAnsi="David" w:hint="eastAsia"/>
          <w:rtl/>
        </w:rPr>
        <w:t>בכלא</w:t>
      </w:r>
      <w:r w:rsidRPr="00E60A44">
        <w:rPr>
          <w:rFonts w:ascii="David" w:hAnsi="David"/>
          <w:rtl/>
        </w:rPr>
        <w:t xml:space="preserve"> </w:t>
      </w:r>
      <w:r w:rsidRPr="00E60A44">
        <w:rPr>
          <w:rFonts w:ascii="David" w:hAnsi="David" w:hint="eastAsia"/>
          <w:rtl/>
        </w:rPr>
        <w:t>רמלה</w:t>
      </w:r>
      <w:r w:rsidRPr="00E60A44">
        <w:rPr>
          <w:rFonts w:ascii="David" w:hAnsi="David"/>
          <w:rtl/>
        </w:rPr>
        <w:t xml:space="preserve">, </w:t>
      </w:r>
      <w:r w:rsidRPr="00E60A44">
        <w:rPr>
          <w:rFonts w:ascii="David" w:hAnsi="David" w:hint="eastAsia"/>
          <w:rtl/>
        </w:rPr>
        <w:t>עד</w:t>
      </w:r>
      <w:r w:rsidRPr="00E60A44">
        <w:rPr>
          <w:rFonts w:ascii="David" w:hAnsi="David"/>
          <w:rtl/>
        </w:rPr>
        <w:t xml:space="preserve"> </w:t>
      </w:r>
      <w:r w:rsidRPr="00E60A44">
        <w:rPr>
          <w:rFonts w:ascii="David" w:hAnsi="David" w:hint="eastAsia"/>
          <w:rtl/>
        </w:rPr>
        <w:t>השעה</w:t>
      </w:r>
      <w:r>
        <w:rPr>
          <w:rFonts w:ascii="David" w:hAnsi="David" w:hint="cs"/>
          <w:rtl/>
        </w:rPr>
        <w:t xml:space="preserve"> </w:t>
      </w:r>
      <w:r w:rsidRPr="00E60A44">
        <w:rPr>
          <w:rFonts w:ascii="David" w:hAnsi="David"/>
          <w:rtl/>
        </w:rPr>
        <w:t xml:space="preserve"> 10.00, </w:t>
      </w:r>
      <w:r w:rsidRPr="00E60A44">
        <w:rPr>
          <w:rFonts w:ascii="David" w:hAnsi="David" w:hint="eastAsia"/>
          <w:rtl/>
        </w:rPr>
        <w:t>או</w:t>
      </w:r>
      <w:r w:rsidRPr="00E60A44">
        <w:rPr>
          <w:rFonts w:ascii="David" w:hAnsi="David"/>
          <w:rtl/>
        </w:rPr>
        <w:t xml:space="preserve"> </w:t>
      </w:r>
      <w:r w:rsidRPr="00E60A44">
        <w:rPr>
          <w:rFonts w:ascii="David" w:hAnsi="David" w:hint="eastAsia"/>
          <w:rtl/>
        </w:rPr>
        <w:t>על</w:t>
      </w:r>
      <w:r w:rsidRPr="00E60A44">
        <w:rPr>
          <w:rFonts w:ascii="David" w:hAnsi="David"/>
          <w:rtl/>
        </w:rPr>
        <w:t xml:space="preserve"> </w:t>
      </w:r>
      <w:r w:rsidRPr="00E60A44">
        <w:rPr>
          <w:rFonts w:ascii="David" w:hAnsi="David" w:hint="eastAsia"/>
          <w:rtl/>
        </w:rPr>
        <w:t>פי</w:t>
      </w:r>
      <w:r w:rsidRPr="00E60A44">
        <w:rPr>
          <w:rFonts w:ascii="David" w:hAnsi="David"/>
          <w:rtl/>
        </w:rPr>
        <w:t xml:space="preserve"> </w:t>
      </w:r>
      <w:r w:rsidRPr="00E60A44">
        <w:rPr>
          <w:rFonts w:ascii="David" w:hAnsi="David" w:hint="eastAsia"/>
          <w:rtl/>
        </w:rPr>
        <w:t>החלטת</w:t>
      </w:r>
      <w:r w:rsidRPr="00E60A44">
        <w:rPr>
          <w:rFonts w:ascii="David" w:hAnsi="David"/>
          <w:rtl/>
        </w:rPr>
        <w:t xml:space="preserve"> </w:t>
      </w:r>
      <w:r w:rsidRPr="00E60A44">
        <w:rPr>
          <w:rFonts w:ascii="David" w:hAnsi="David" w:hint="eastAsia"/>
          <w:rtl/>
        </w:rPr>
        <w:t>שב</w:t>
      </w:r>
      <w:r w:rsidRPr="00E60A44">
        <w:rPr>
          <w:rFonts w:ascii="David" w:hAnsi="David"/>
          <w:rtl/>
        </w:rPr>
        <w:t>"</w:t>
      </w:r>
      <w:r w:rsidRPr="00E60A44">
        <w:rPr>
          <w:rFonts w:ascii="David" w:hAnsi="David" w:hint="eastAsia"/>
          <w:rtl/>
        </w:rPr>
        <w:t>ס</w:t>
      </w:r>
      <w:r w:rsidRPr="00E60A44">
        <w:rPr>
          <w:rFonts w:ascii="David" w:hAnsi="David"/>
          <w:rtl/>
        </w:rPr>
        <w:t xml:space="preserve">, </w:t>
      </w:r>
      <w:r w:rsidRPr="00E60A44">
        <w:rPr>
          <w:rFonts w:ascii="David" w:hAnsi="David" w:hint="eastAsia"/>
          <w:rtl/>
        </w:rPr>
        <w:t>כשברשותו</w:t>
      </w:r>
      <w:r w:rsidRPr="00E60A44">
        <w:rPr>
          <w:rFonts w:ascii="David" w:hAnsi="David"/>
          <w:rtl/>
        </w:rPr>
        <w:t xml:space="preserve"> </w:t>
      </w:r>
      <w:r w:rsidRPr="00E60A44">
        <w:rPr>
          <w:rFonts w:ascii="David" w:hAnsi="David" w:hint="eastAsia"/>
          <w:rtl/>
        </w:rPr>
        <w:t>תעודת</w:t>
      </w:r>
      <w:r w:rsidRPr="00E60A44">
        <w:rPr>
          <w:rFonts w:ascii="David" w:hAnsi="David"/>
          <w:rtl/>
        </w:rPr>
        <w:t xml:space="preserve"> </w:t>
      </w:r>
      <w:r w:rsidRPr="00E60A44">
        <w:rPr>
          <w:rFonts w:ascii="David" w:hAnsi="David" w:hint="eastAsia"/>
          <w:rtl/>
        </w:rPr>
        <w:t>זהות</w:t>
      </w:r>
      <w:r w:rsidRPr="00E60A44">
        <w:rPr>
          <w:rFonts w:ascii="David" w:hAnsi="David"/>
          <w:rtl/>
        </w:rPr>
        <w:t xml:space="preserve"> </w:t>
      </w:r>
      <w:r w:rsidRPr="00E60A44">
        <w:rPr>
          <w:rFonts w:ascii="David" w:hAnsi="David" w:hint="eastAsia"/>
          <w:rtl/>
        </w:rPr>
        <w:t>או</w:t>
      </w:r>
      <w:r w:rsidRPr="00E60A44">
        <w:rPr>
          <w:rFonts w:ascii="David" w:hAnsi="David"/>
          <w:rtl/>
        </w:rPr>
        <w:t xml:space="preserve"> </w:t>
      </w:r>
      <w:r w:rsidRPr="00E60A44">
        <w:rPr>
          <w:rFonts w:ascii="David" w:hAnsi="David" w:hint="eastAsia"/>
          <w:rtl/>
        </w:rPr>
        <w:t>דרכון</w:t>
      </w:r>
      <w:r w:rsidRPr="00E60A44">
        <w:rPr>
          <w:rFonts w:ascii="David" w:hAnsi="David"/>
          <w:rtl/>
        </w:rPr>
        <w:t>.</w:t>
      </w:r>
      <w:r>
        <w:rPr>
          <w:rFonts w:ascii="David" w:hAnsi="David" w:hint="cs"/>
          <w:rtl/>
        </w:rPr>
        <w:t xml:space="preserve"> </w:t>
      </w:r>
      <w:r w:rsidRPr="00E60A44">
        <w:rPr>
          <w:rFonts w:ascii="David" w:hAnsi="David" w:hint="eastAsia"/>
          <w:rtl/>
        </w:rPr>
        <w:t>על</w:t>
      </w:r>
      <w:r w:rsidRPr="00E60A44">
        <w:rPr>
          <w:rFonts w:ascii="David" w:hAnsi="David"/>
          <w:rtl/>
        </w:rPr>
        <w:t xml:space="preserve"> </w:t>
      </w:r>
      <w:r w:rsidRPr="00E60A44">
        <w:rPr>
          <w:rFonts w:ascii="David" w:hAnsi="David" w:hint="eastAsia"/>
          <w:rtl/>
        </w:rPr>
        <w:t>הנאשם</w:t>
      </w:r>
      <w:r w:rsidRPr="00E60A44">
        <w:rPr>
          <w:rFonts w:ascii="David" w:hAnsi="David"/>
          <w:rtl/>
        </w:rPr>
        <w:t xml:space="preserve"> </w:t>
      </w:r>
      <w:r w:rsidRPr="00E60A44">
        <w:rPr>
          <w:rFonts w:ascii="David" w:hAnsi="David" w:hint="eastAsia"/>
          <w:rtl/>
        </w:rPr>
        <w:t>לתאם</w:t>
      </w:r>
      <w:r w:rsidRPr="00E60A44">
        <w:rPr>
          <w:rFonts w:ascii="David" w:hAnsi="David"/>
          <w:rtl/>
        </w:rPr>
        <w:t xml:space="preserve"> </w:t>
      </w:r>
      <w:r w:rsidRPr="00E60A44">
        <w:rPr>
          <w:rFonts w:ascii="David" w:hAnsi="David" w:hint="eastAsia"/>
          <w:rtl/>
        </w:rPr>
        <w:t>את</w:t>
      </w:r>
      <w:r w:rsidRPr="00E60A44">
        <w:rPr>
          <w:rFonts w:ascii="David" w:hAnsi="David"/>
          <w:rtl/>
        </w:rPr>
        <w:t xml:space="preserve"> </w:t>
      </w:r>
      <w:r w:rsidRPr="00E60A44">
        <w:rPr>
          <w:rFonts w:ascii="David" w:hAnsi="David" w:hint="eastAsia"/>
          <w:rtl/>
        </w:rPr>
        <w:t>הכניסה</w:t>
      </w:r>
      <w:r w:rsidRPr="00E60A44">
        <w:rPr>
          <w:rFonts w:ascii="David" w:hAnsi="David"/>
          <w:rtl/>
        </w:rPr>
        <w:t xml:space="preserve"> </w:t>
      </w:r>
      <w:r w:rsidRPr="00E60A44">
        <w:rPr>
          <w:rFonts w:ascii="David" w:hAnsi="David" w:hint="eastAsia"/>
          <w:rtl/>
        </w:rPr>
        <w:t>למאסר</w:t>
      </w:r>
      <w:r w:rsidRPr="00E60A44">
        <w:rPr>
          <w:rFonts w:ascii="David" w:hAnsi="David"/>
          <w:rtl/>
        </w:rPr>
        <w:t xml:space="preserve"> </w:t>
      </w:r>
      <w:r w:rsidRPr="00E60A44">
        <w:rPr>
          <w:rFonts w:ascii="David" w:hAnsi="David" w:hint="eastAsia"/>
          <w:rtl/>
        </w:rPr>
        <w:t>כולל</w:t>
      </w:r>
      <w:r w:rsidRPr="00E60A44">
        <w:rPr>
          <w:rFonts w:ascii="David" w:hAnsi="David"/>
          <w:rtl/>
        </w:rPr>
        <w:t xml:space="preserve"> </w:t>
      </w:r>
      <w:r w:rsidRPr="00E60A44">
        <w:rPr>
          <w:rFonts w:ascii="David" w:hAnsi="David" w:hint="eastAsia"/>
          <w:rtl/>
        </w:rPr>
        <w:t>האפשרות</w:t>
      </w:r>
      <w:r w:rsidRPr="00E60A44">
        <w:rPr>
          <w:rFonts w:ascii="David" w:hAnsi="David"/>
          <w:rtl/>
        </w:rPr>
        <w:t xml:space="preserve"> </w:t>
      </w:r>
      <w:r w:rsidRPr="00E60A44">
        <w:rPr>
          <w:rFonts w:ascii="David" w:hAnsi="David" w:hint="eastAsia"/>
          <w:rtl/>
        </w:rPr>
        <w:t>למיון</w:t>
      </w:r>
      <w:r w:rsidRPr="00E60A44">
        <w:rPr>
          <w:rFonts w:ascii="David" w:hAnsi="David"/>
          <w:rtl/>
        </w:rPr>
        <w:t xml:space="preserve"> </w:t>
      </w:r>
      <w:r w:rsidRPr="00E60A44">
        <w:rPr>
          <w:rFonts w:ascii="David" w:hAnsi="David" w:hint="eastAsia"/>
          <w:rtl/>
        </w:rPr>
        <w:t>מוקדם</w:t>
      </w:r>
      <w:r w:rsidRPr="00E60A44">
        <w:rPr>
          <w:rFonts w:ascii="David" w:hAnsi="David"/>
          <w:rtl/>
        </w:rPr>
        <w:t xml:space="preserve">, </w:t>
      </w:r>
      <w:r w:rsidRPr="00E60A44">
        <w:rPr>
          <w:rFonts w:ascii="David" w:hAnsi="David" w:hint="eastAsia"/>
          <w:rtl/>
        </w:rPr>
        <w:t>עם</w:t>
      </w:r>
      <w:r w:rsidRPr="00E60A44">
        <w:rPr>
          <w:rFonts w:ascii="David" w:hAnsi="David"/>
          <w:rtl/>
        </w:rPr>
        <w:t xml:space="preserve"> </w:t>
      </w:r>
      <w:r w:rsidRPr="00E60A44">
        <w:rPr>
          <w:rFonts w:ascii="David" w:hAnsi="David" w:hint="eastAsia"/>
          <w:rtl/>
        </w:rPr>
        <w:t>ענף</w:t>
      </w:r>
      <w:r w:rsidRPr="00E60A44">
        <w:rPr>
          <w:rFonts w:ascii="David" w:hAnsi="David"/>
          <w:rtl/>
        </w:rPr>
        <w:t xml:space="preserve"> </w:t>
      </w:r>
      <w:r w:rsidRPr="00E60A44">
        <w:rPr>
          <w:rFonts w:ascii="David" w:hAnsi="David" w:hint="eastAsia"/>
          <w:rtl/>
        </w:rPr>
        <w:t>איבחון</w:t>
      </w:r>
      <w:r w:rsidRPr="00E60A44">
        <w:rPr>
          <w:rFonts w:ascii="David" w:hAnsi="David"/>
          <w:rtl/>
        </w:rPr>
        <w:t xml:space="preserve"> </w:t>
      </w:r>
      <w:r w:rsidRPr="00E60A44">
        <w:rPr>
          <w:rFonts w:ascii="David" w:hAnsi="David" w:hint="eastAsia"/>
          <w:rtl/>
        </w:rPr>
        <w:t>ומיון</w:t>
      </w:r>
      <w:r w:rsidRPr="00E60A44">
        <w:rPr>
          <w:rFonts w:ascii="David" w:hAnsi="David"/>
          <w:rtl/>
        </w:rPr>
        <w:t xml:space="preserve"> </w:t>
      </w:r>
      <w:r w:rsidRPr="00E60A44">
        <w:rPr>
          <w:rFonts w:ascii="David" w:hAnsi="David" w:hint="eastAsia"/>
          <w:rtl/>
        </w:rPr>
        <w:t>של</w:t>
      </w:r>
      <w:r w:rsidRPr="00E60A44">
        <w:rPr>
          <w:rFonts w:ascii="David" w:hAnsi="David"/>
          <w:rtl/>
        </w:rPr>
        <w:t xml:space="preserve"> </w:t>
      </w:r>
      <w:r w:rsidRPr="00E60A44">
        <w:rPr>
          <w:rFonts w:ascii="David" w:hAnsi="David" w:hint="eastAsia"/>
          <w:rtl/>
        </w:rPr>
        <w:t>שב</w:t>
      </w:r>
      <w:r w:rsidRPr="00E60A44">
        <w:rPr>
          <w:rFonts w:ascii="David" w:hAnsi="David"/>
          <w:rtl/>
        </w:rPr>
        <w:t>"</w:t>
      </w:r>
      <w:r w:rsidRPr="00E60A44">
        <w:rPr>
          <w:rFonts w:ascii="David" w:hAnsi="David" w:hint="eastAsia"/>
          <w:rtl/>
        </w:rPr>
        <w:t>ס</w:t>
      </w:r>
      <w:r w:rsidRPr="00E60A44">
        <w:rPr>
          <w:rFonts w:ascii="David" w:hAnsi="David"/>
          <w:rtl/>
        </w:rPr>
        <w:t xml:space="preserve">, </w:t>
      </w:r>
      <w:r w:rsidRPr="00E60A44">
        <w:rPr>
          <w:rFonts w:ascii="David" w:hAnsi="David" w:hint="eastAsia"/>
          <w:rtl/>
        </w:rPr>
        <w:t>טלפונים</w:t>
      </w:r>
      <w:r w:rsidRPr="00E60A44">
        <w:rPr>
          <w:rFonts w:ascii="David" w:hAnsi="David"/>
          <w:rtl/>
        </w:rPr>
        <w:t>: 08-9787377, 08-9787336.</w:t>
      </w:r>
    </w:p>
    <w:p w14:paraId="3E90DD85" w14:textId="77777777" w:rsidR="00850859" w:rsidRPr="00E60A44" w:rsidRDefault="00850859" w:rsidP="00850859">
      <w:pPr>
        <w:keepLines/>
        <w:spacing w:after="120" w:line="360" w:lineRule="auto"/>
        <w:jc w:val="both"/>
        <w:rPr>
          <w:rFonts w:ascii="David" w:hAnsi="David"/>
          <w:rtl/>
        </w:rPr>
      </w:pPr>
      <w:r w:rsidRPr="00E60A44">
        <w:rPr>
          <w:rFonts w:ascii="David" w:hAnsi="David" w:hint="eastAsia"/>
          <w:rtl/>
        </w:rPr>
        <w:t>המזכירות</w:t>
      </w:r>
      <w:r w:rsidRPr="00E60A44">
        <w:rPr>
          <w:rFonts w:ascii="David" w:hAnsi="David"/>
          <w:rtl/>
        </w:rPr>
        <w:t xml:space="preserve"> </w:t>
      </w:r>
      <w:r w:rsidRPr="00E60A44">
        <w:rPr>
          <w:rFonts w:ascii="David" w:hAnsi="David" w:hint="eastAsia"/>
          <w:rtl/>
        </w:rPr>
        <w:t>תעביר</w:t>
      </w:r>
      <w:r w:rsidRPr="00E60A44">
        <w:rPr>
          <w:rFonts w:ascii="David" w:hAnsi="David"/>
          <w:rtl/>
        </w:rPr>
        <w:t xml:space="preserve"> </w:t>
      </w:r>
      <w:r w:rsidRPr="00E60A44">
        <w:rPr>
          <w:rFonts w:ascii="David" w:hAnsi="David" w:hint="eastAsia"/>
          <w:rtl/>
        </w:rPr>
        <w:t>עותק</w:t>
      </w:r>
      <w:r w:rsidRPr="00E60A44">
        <w:rPr>
          <w:rFonts w:ascii="David" w:hAnsi="David"/>
          <w:rtl/>
        </w:rPr>
        <w:t xml:space="preserve"> </w:t>
      </w:r>
      <w:r w:rsidRPr="00E60A44">
        <w:rPr>
          <w:rFonts w:ascii="David" w:hAnsi="David" w:hint="eastAsia"/>
          <w:rtl/>
        </w:rPr>
        <w:t>מגזר</w:t>
      </w:r>
      <w:r w:rsidRPr="00E60A44">
        <w:rPr>
          <w:rFonts w:ascii="David" w:hAnsi="David"/>
          <w:rtl/>
        </w:rPr>
        <w:t xml:space="preserve"> </w:t>
      </w:r>
      <w:r w:rsidRPr="00E60A44">
        <w:rPr>
          <w:rFonts w:ascii="David" w:hAnsi="David" w:hint="eastAsia"/>
          <w:rtl/>
        </w:rPr>
        <w:t>הדין</w:t>
      </w:r>
      <w:r w:rsidRPr="00E60A44">
        <w:rPr>
          <w:rFonts w:ascii="David" w:hAnsi="David"/>
          <w:rtl/>
        </w:rPr>
        <w:t xml:space="preserve"> </w:t>
      </w:r>
      <w:r w:rsidRPr="00E60A44">
        <w:rPr>
          <w:rFonts w:ascii="David" w:hAnsi="David" w:hint="eastAsia"/>
          <w:rtl/>
        </w:rPr>
        <w:t>לשב</w:t>
      </w:r>
      <w:r w:rsidRPr="00E60A44">
        <w:rPr>
          <w:rFonts w:ascii="David" w:hAnsi="David"/>
          <w:rtl/>
        </w:rPr>
        <w:t>"</w:t>
      </w:r>
      <w:r w:rsidRPr="00E60A44">
        <w:rPr>
          <w:rFonts w:ascii="David" w:hAnsi="David" w:hint="eastAsia"/>
          <w:rtl/>
        </w:rPr>
        <w:t>ס</w:t>
      </w:r>
      <w:r w:rsidRPr="00E60A44">
        <w:rPr>
          <w:rFonts w:ascii="David" w:hAnsi="David"/>
          <w:rtl/>
        </w:rPr>
        <w:t>.</w:t>
      </w:r>
    </w:p>
    <w:p w14:paraId="568F1174" w14:textId="77777777" w:rsidR="00850859" w:rsidRPr="00E60A44" w:rsidRDefault="008D2021" w:rsidP="00850859">
      <w:pPr>
        <w:keepLines/>
        <w:spacing w:after="120" w:line="360" w:lineRule="auto"/>
        <w:jc w:val="both"/>
        <w:rPr>
          <w:rFonts w:ascii="David" w:hAnsi="David"/>
          <w:noProof/>
        </w:rPr>
      </w:pPr>
      <w:r w:rsidRPr="008D2021">
        <w:rPr>
          <w:rFonts w:ascii="David" w:hAnsi="David"/>
          <w:color w:val="FFFFFF"/>
          <w:sz w:val="2"/>
          <w:szCs w:val="2"/>
          <w:rtl/>
        </w:rPr>
        <w:t>5129371</w:t>
      </w:r>
      <w:r w:rsidR="00850859" w:rsidRPr="00E60A44">
        <w:rPr>
          <w:rFonts w:ascii="David" w:hAnsi="David" w:hint="eastAsia"/>
          <w:rtl/>
        </w:rPr>
        <w:t>ערעור</w:t>
      </w:r>
      <w:r w:rsidR="00850859" w:rsidRPr="00E60A44">
        <w:rPr>
          <w:rFonts w:ascii="David" w:hAnsi="David"/>
          <w:rtl/>
        </w:rPr>
        <w:t xml:space="preserve"> </w:t>
      </w:r>
      <w:r w:rsidR="00850859" w:rsidRPr="00E60A44">
        <w:rPr>
          <w:rFonts w:ascii="David" w:hAnsi="David" w:hint="eastAsia"/>
          <w:rtl/>
        </w:rPr>
        <w:t>לבית</w:t>
      </w:r>
      <w:r w:rsidR="00850859" w:rsidRPr="00E60A44">
        <w:rPr>
          <w:rFonts w:ascii="David" w:hAnsi="David"/>
          <w:rtl/>
        </w:rPr>
        <w:t xml:space="preserve"> </w:t>
      </w:r>
      <w:r w:rsidR="00850859" w:rsidRPr="00E60A44">
        <w:rPr>
          <w:rFonts w:ascii="David" w:hAnsi="David" w:hint="eastAsia"/>
          <w:rtl/>
        </w:rPr>
        <w:t>המשפט</w:t>
      </w:r>
      <w:r w:rsidR="00850859" w:rsidRPr="00E60A44">
        <w:rPr>
          <w:rFonts w:ascii="David" w:hAnsi="David"/>
          <w:rtl/>
        </w:rPr>
        <w:t xml:space="preserve"> </w:t>
      </w:r>
      <w:r w:rsidR="00850859" w:rsidRPr="00E60A44">
        <w:rPr>
          <w:rFonts w:ascii="David" w:hAnsi="David" w:hint="eastAsia"/>
          <w:rtl/>
        </w:rPr>
        <w:t>המחוזי</w:t>
      </w:r>
      <w:r w:rsidR="00850859" w:rsidRPr="00E60A44">
        <w:rPr>
          <w:rFonts w:ascii="David" w:hAnsi="David"/>
          <w:rtl/>
        </w:rPr>
        <w:t xml:space="preserve"> </w:t>
      </w:r>
      <w:r w:rsidR="00850859" w:rsidRPr="00E60A44">
        <w:rPr>
          <w:rFonts w:ascii="David" w:hAnsi="David" w:hint="eastAsia"/>
          <w:rtl/>
        </w:rPr>
        <w:t>תוך</w:t>
      </w:r>
      <w:r w:rsidR="00850859" w:rsidRPr="00E60A44">
        <w:rPr>
          <w:rFonts w:ascii="David" w:hAnsi="David"/>
          <w:rtl/>
        </w:rPr>
        <w:t xml:space="preserve"> 45 </w:t>
      </w:r>
      <w:r w:rsidR="00850859" w:rsidRPr="00E60A44">
        <w:rPr>
          <w:rFonts w:ascii="David" w:hAnsi="David" w:hint="eastAsia"/>
          <w:rtl/>
        </w:rPr>
        <w:t>יום</w:t>
      </w:r>
      <w:r w:rsidR="00850859" w:rsidRPr="00E60A44">
        <w:rPr>
          <w:rFonts w:ascii="David" w:hAnsi="David"/>
          <w:rtl/>
        </w:rPr>
        <w:t>.</w:t>
      </w:r>
    </w:p>
    <w:p w14:paraId="499D7CAF" w14:textId="77777777" w:rsidR="00850859" w:rsidRDefault="008D2021" w:rsidP="00850859">
      <w:pPr>
        <w:spacing w:after="120" w:line="360" w:lineRule="auto"/>
        <w:rPr>
          <w:rFonts w:cs="FrankRuehl"/>
          <w:sz w:val="28"/>
          <w:szCs w:val="28"/>
          <w:rtl/>
        </w:rPr>
      </w:pPr>
      <w:r w:rsidRPr="008D2021">
        <w:rPr>
          <w:rFonts w:ascii="Arial" w:hAnsi="Arial"/>
          <w:color w:val="FFFFFF"/>
          <w:sz w:val="2"/>
          <w:szCs w:val="2"/>
          <w:rtl/>
        </w:rPr>
        <w:t>54678313</w:t>
      </w:r>
      <w:r>
        <w:rPr>
          <w:rFonts w:ascii="Arial" w:hAnsi="Arial"/>
          <w:rtl/>
        </w:rPr>
        <w:t xml:space="preserve">ניתן היום,  ל' ניסן תשע"ז, 26 אפריל 2017, בנוכחות הנאשם, ב"כ וב"כ המאשימה. </w:t>
      </w:r>
    </w:p>
    <w:p w14:paraId="39C534D8" w14:textId="77777777" w:rsidR="00850859" w:rsidRDefault="00850859" w:rsidP="00850859">
      <w:pPr>
        <w:spacing w:after="120" w:line="360" w:lineRule="auto"/>
        <w:jc w:val="right"/>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D891231" w14:textId="77777777" w:rsidR="00850859" w:rsidRDefault="00850859" w:rsidP="00850859">
      <w:pPr>
        <w:spacing w:after="120" w:line="360" w:lineRule="auto"/>
        <w:jc w:val="right"/>
        <w:rPr>
          <w:rFonts w:ascii="Arial" w:hAnsi="Arial" w:cs="FrankRuehl"/>
          <w:sz w:val="28"/>
          <w:szCs w:val="28"/>
          <w:rtl/>
        </w:rPr>
      </w:pPr>
    </w:p>
    <w:p w14:paraId="6E8BC5D4" w14:textId="77777777" w:rsidR="008D2021" w:rsidRDefault="008D2021" w:rsidP="008D2021">
      <w:pPr>
        <w:rPr>
          <w:rtl/>
        </w:rPr>
      </w:pPr>
    </w:p>
    <w:p w14:paraId="033142AA" w14:textId="77777777" w:rsidR="008D2021" w:rsidRDefault="008D2021" w:rsidP="008D2021">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13D735EC" w14:textId="77777777" w:rsidR="00B873F1" w:rsidRPr="00B873F1" w:rsidRDefault="00B873F1" w:rsidP="00B873F1">
      <w:pPr>
        <w:keepNext/>
        <w:rPr>
          <w:rFonts w:ascii="David" w:hAnsi="David"/>
          <w:color w:val="000000"/>
          <w:sz w:val="22"/>
          <w:szCs w:val="22"/>
          <w:rtl/>
        </w:rPr>
      </w:pPr>
    </w:p>
    <w:p w14:paraId="423C6120" w14:textId="77777777" w:rsidR="00B873F1" w:rsidRPr="00B873F1" w:rsidRDefault="00B873F1" w:rsidP="00B873F1">
      <w:pPr>
        <w:keepNext/>
        <w:rPr>
          <w:rFonts w:ascii="David" w:hAnsi="David"/>
          <w:color w:val="000000"/>
          <w:sz w:val="22"/>
          <w:szCs w:val="22"/>
          <w:rtl/>
        </w:rPr>
      </w:pPr>
      <w:r w:rsidRPr="00B873F1">
        <w:rPr>
          <w:rFonts w:ascii="David" w:hAnsi="David"/>
          <w:color w:val="000000"/>
          <w:sz w:val="22"/>
          <w:szCs w:val="22"/>
          <w:rtl/>
        </w:rPr>
        <w:t>רפי ארניה 54678313-/</w:t>
      </w:r>
    </w:p>
    <w:p w14:paraId="2166D08F" w14:textId="77777777" w:rsidR="00B35717" w:rsidRPr="008D2021" w:rsidRDefault="00B873F1" w:rsidP="00B873F1">
      <w:pPr>
        <w:rPr>
          <w:color w:val="0000FF"/>
          <w:u w:val="single"/>
        </w:rPr>
      </w:pPr>
      <w:r w:rsidRPr="00B873F1">
        <w:rPr>
          <w:color w:val="000000"/>
          <w:u w:val="single"/>
          <w:rtl/>
        </w:rPr>
        <w:t>נוסח מסמך זה כפוף לשינויי ניסוח ועריכה</w:t>
      </w:r>
    </w:p>
    <w:sectPr w:rsidR="00B35717" w:rsidRPr="008D2021" w:rsidSect="00B873F1">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22DBF5" w14:textId="77777777" w:rsidR="008D519A" w:rsidRDefault="008D519A">
      <w:r>
        <w:separator/>
      </w:r>
    </w:p>
  </w:endnote>
  <w:endnote w:type="continuationSeparator" w:id="0">
    <w:p w14:paraId="1D19966F" w14:textId="77777777" w:rsidR="008D519A" w:rsidRDefault="008D5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E7CD0" w14:textId="77777777" w:rsidR="008D519A" w:rsidRDefault="008D519A" w:rsidP="00B873F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F671D8B" w14:textId="77777777" w:rsidR="008D519A" w:rsidRPr="00B873F1" w:rsidRDefault="008D519A" w:rsidP="00B873F1">
    <w:pPr>
      <w:pStyle w:val="a4"/>
      <w:pBdr>
        <w:top w:val="single" w:sz="4" w:space="1" w:color="auto"/>
        <w:between w:val="single" w:sz="4" w:space="0" w:color="auto"/>
      </w:pBdr>
      <w:spacing w:after="60"/>
      <w:jc w:val="center"/>
      <w:rPr>
        <w:rFonts w:ascii="FrankRuehl" w:hAnsi="FrankRuehl" w:cs="FrankRuehl"/>
        <w:color w:val="000000"/>
      </w:rPr>
    </w:pPr>
    <w:r w:rsidRPr="00B873F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24408" w14:textId="77777777" w:rsidR="008D519A" w:rsidRDefault="008D519A" w:rsidP="00B873F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9470A">
      <w:rPr>
        <w:rFonts w:ascii="FrankRuehl" w:hAnsi="FrankRuehl" w:cs="FrankRuehl"/>
        <w:noProof/>
        <w:rtl/>
      </w:rPr>
      <w:t>1</w:t>
    </w:r>
    <w:r>
      <w:rPr>
        <w:rFonts w:ascii="FrankRuehl" w:hAnsi="FrankRuehl" w:cs="FrankRuehl"/>
        <w:rtl/>
      </w:rPr>
      <w:fldChar w:fldCharType="end"/>
    </w:r>
  </w:p>
  <w:p w14:paraId="6AF8CB76" w14:textId="77777777" w:rsidR="008D519A" w:rsidRPr="00B873F1" w:rsidRDefault="008D519A" w:rsidP="00B873F1">
    <w:pPr>
      <w:pStyle w:val="a4"/>
      <w:pBdr>
        <w:top w:val="single" w:sz="4" w:space="1" w:color="auto"/>
        <w:between w:val="single" w:sz="4" w:space="0" w:color="auto"/>
      </w:pBdr>
      <w:spacing w:after="60"/>
      <w:jc w:val="center"/>
      <w:rPr>
        <w:rFonts w:ascii="FrankRuehl" w:hAnsi="FrankRuehl" w:cs="FrankRuehl"/>
        <w:color w:val="000000"/>
      </w:rPr>
    </w:pPr>
    <w:r w:rsidRPr="00B873F1">
      <w:rPr>
        <w:rFonts w:ascii="FrankRuehl" w:hAnsi="FrankRuehl" w:cs="FrankRuehl"/>
        <w:color w:val="000000"/>
      </w:rPr>
      <w:pict w14:anchorId="2B1D00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DA5B70" w14:textId="77777777" w:rsidR="008D519A" w:rsidRDefault="008D519A">
      <w:r>
        <w:separator/>
      </w:r>
    </w:p>
  </w:footnote>
  <w:footnote w:type="continuationSeparator" w:id="0">
    <w:p w14:paraId="4CA8100C" w14:textId="77777777" w:rsidR="008D519A" w:rsidRDefault="008D51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527D4" w14:textId="77777777" w:rsidR="008D519A" w:rsidRPr="00B873F1" w:rsidRDefault="008D519A" w:rsidP="00B873F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33932-08-15</w:t>
    </w:r>
    <w:r>
      <w:rPr>
        <w:rFonts w:ascii="David" w:hAnsi="David"/>
        <w:color w:val="000000"/>
        <w:sz w:val="22"/>
        <w:szCs w:val="22"/>
        <w:rtl/>
      </w:rPr>
      <w:tab/>
      <w:t xml:space="preserve"> מדינת ישראל תביעות שפלה נ' אלירן איפרגן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78D505" w14:textId="77777777" w:rsidR="008D519A" w:rsidRPr="00B873F1" w:rsidRDefault="008D519A" w:rsidP="00B873F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33932-08-15</w:t>
    </w:r>
    <w:r>
      <w:rPr>
        <w:rFonts w:ascii="David" w:hAnsi="David"/>
        <w:color w:val="000000"/>
        <w:sz w:val="22"/>
        <w:szCs w:val="22"/>
        <w:rtl/>
      </w:rPr>
      <w:tab/>
      <w:t xml:space="preserve"> מדינת ישראל תביעות שפלה נ' אלירן איפרגן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50859"/>
    <w:rsid w:val="00004B4A"/>
    <w:rsid w:val="000258C6"/>
    <w:rsid w:val="00092DB2"/>
    <w:rsid w:val="000B222D"/>
    <w:rsid w:val="000D0378"/>
    <w:rsid w:val="000F3716"/>
    <w:rsid w:val="000F776E"/>
    <w:rsid w:val="00105A7D"/>
    <w:rsid w:val="001163D9"/>
    <w:rsid w:val="001228CC"/>
    <w:rsid w:val="00123268"/>
    <w:rsid w:val="0013605C"/>
    <w:rsid w:val="0015154B"/>
    <w:rsid w:val="0017711A"/>
    <w:rsid w:val="00203146"/>
    <w:rsid w:val="002474C9"/>
    <w:rsid w:val="002B1389"/>
    <w:rsid w:val="002D2C1C"/>
    <w:rsid w:val="002E4BA2"/>
    <w:rsid w:val="00327617"/>
    <w:rsid w:val="00371D27"/>
    <w:rsid w:val="00374124"/>
    <w:rsid w:val="00386E36"/>
    <w:rsid w:val="003C709F"/>
    <w:rsid w:val="003D65D3"/>
    <w:rsid w:val="003E51B4"/>
    <w:rsid w:val="003F02C5"/>
    <w:rsid w:val="004D1A95"/>
    <w:rsid w:val="004D5997"/>
    <w:rsid w:val="00533D5C"/>
    <w:rsid w:val="00551C5E"/>
    <w:rsid w:val="005638FB"/>
    <w:rsid w:val="00582B08"/>
    <w:rsid w:val="005847C1"/>
    <w:rsid w:val="005B4DDE"/>
    <w:rsid w:val="005E305D"/>
    <w:rsid w:val="00671477"/>
    <w:rsid w:val="006D1E81"/>
    <w:rsid w:val="00710EDB"/>
    <w:rsid w:val="007171C2"/>
    <w:rsid w:val="00720984"/>
    <w:rsid w:val="007900C5"/>
    <w:rsid w:val="007A3B68"/>
    <w:rsid w:val="007D10E0"/>
    <w:rsid w:val="007E62CB"/>
    <w:rsid w:val="008043FC"/>
    <w:rsid w:val="008057C3"/>
    <w:rsid w:val="00830C15"/>
    <w:rsid w:val="00850859"/>
    <w:rsid w:val="00860D56"/>
    <w:rsid w:val="00866CE3"/>
    <w:rsid w:val="00875CAA"/>
    <w:rsid w:val="008760F0"/>
    <w:rsid w:val="008B2C82"/>
    <w:rsid w:val="008D2021"/>
    <w:rsid w:val="008D4AF6"/>
    <w:rsid w:val="008D519A"/>
    <w:rsid w:val="00901DEA"/>
    <w:rsid w:val="00913EC5"/>
    <w:rsid w:val="00946CA3"/>
    <w:rsid w:val="009A4E50"/>
    <w:rsid w:val="009A720E"/>
    <w:rsid w:val="009B4682"/>
    <w:rsid w:val="00A03304"/>
    <w:rsid w:val="00A24369"/>
    <w:rsid w:val="00A472AB"/>
    <w:rsid w:val="00A52B25"/>
    <w:rsid w:val="00A96648"/>
    <w:rsid w:val="00AE1669"/>
    <w:rsid w:val="00B07251"/>
    <w:rsid w:val="00B10E9A"/>
    <w:rsid w:val="00B24722"/>
    <w:rsid w:val="00B35717"/>
    <w:rsid w:val="00B455FE"/>
    <w:rsid w:val="00B47E2E"/>
    <w:rsid w:val="00B6502B"/>
    <w:rsid w:val="00B73086"/>
    <w:rsid w:val="00B873F1"/>
    <w:rsid w:val="00B922D9"/>
    <w:rsid w:val="00B970C5"/>
    <w:rsid w:val="00BA5B6F"/>
    <w:rsid w:val="00BD5087"/>
    <w:rsid w:val="00BF5C5D"/>
    <w:rsid w:val="00C22EAD"/>
    <w:rsid w:val="00C25259"/>
    <w:rsid w:val="00C303EF"/>
    <w:rsid w:val="00C66536"/>
    <w:rsid w:val="00C6661F"/>
    <w:rsid w:val="00C9418A"/>
    <w:rsid w:val="00D11A80"/>
    <w:rsid w:val="00D308EF"/>
    <w:rsid w:val="00D357B5"/>
    <w:rsid w:val="00D40041"/>
    <w:rsid w:val="00D56203"/>
    <w:rsid w:val="00D807AC"/>
    <w:rsid w:val="00DD36BA"/>
    <w:rsid w:val="00DE1662"/>
    <w:rsid w:val="00E45CCB"/>
    <w:rsid w:val="00E61C95"/>
    <w:rsid w:val="00E9470A"/>
    <w:rsid w:val="00EA60CD"/>
    <w:rsid w:val="00EE2A1B"/>
    <w:rsid w:val="00F27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8064FBA"/>
  <w15:chartTrackingRefBased/>
  <w15:docId w15:val="{2E667AF9-9592-4A89-A3BD-458A134C5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50859"/>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50859"/>
    <w:pPr>
      <w:tabs>
        <w:tab w:val="center" w:pos="4153"/>
        <w:tab w:val="right" w:pos="8306"/>
      </w:tabs>
    </w:pPr>
  </w:style>
  <w:style w:type="paragraph" w:styleId="a4">
    <w:name w:val="footer"/>
    <w:basedOn w:val="a"/>
    <w:rsid w:val="00850859"/>
    <w:pPr>
      <w:tabs>
        <w:tab w:val="center" w:pos="4153"/>
        <w:tab w:val="right" w:pos="8306"/>
      </w:tabs>
    </w:pPr>
  </w:style>
  <w:style w:type="character" w:styleId="a5">
    <w:name w:val="page number"/>
    <w:basedOn w:val="a0"/>
    <w:rsid w:val="00850859"/>
  </w:style>
  <w:style w:type="character" w:styleId="Hyperlink">
    <w:name w:val="Hyperlink"/>
    <w:basedOn w:val="a0"/>
    <w:rsid w:val="008D20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4216/6" TargetMode="External"/><Relationship Id="rId26" Type="http://schemas.openxmlformats.org/officeDocument/2006/relationships/hyperlink" Target="http://www.nevo.co.il/case/21474176" TargetMode="External"/><Relationship Id="rId3" Type="http://schemas.openxmlformats.org/officeDocument/2006/relationships/webSettings" Target="webSettings.xml"/><Relationship Id="rId21" Type="http://schemas.openxmlformats.org/officeDocument/2006/relationships/hyperlink" Target="http://www.nevo.co.il/case/20111708" TargetMode="External"/><Relationship Id="rId34" Type="http://schemas.openxmlformats.org/officeDocument/2006/relationships/footer" Target="footer2.xml"/><Relationship Id="rId7" Type="http://schemas.openxmlformats.org/officeDocument/2006/relationships/hyperlink" Target="http://www.nevo.co.il/law/4216/6" TargetMode="External"/><Relationship Id="rId12" Type="http://schemas.openxmlformats.org/officeDocument/2006/relationships/hyperlink" Target="http://www.nevo.co.il/law/4216/6" TargetMode="External"/><Relationship Id="rId17" Type="http://schemas.openxmlformats.org/officeDocument/2006/relationships/hyperlink" Target="http://www.nevo.co.il/law/70301/40b" TargetMode="External"/><Relationship Id="rId25" Type="http://schemas.openxmlformats.org/officeDocument/2006/relationships/hyperlink" Target="http://www.nevo.co.il/case/17940011"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5738608" TargetMode="External"/><Relationship Id="rId29" Type="http://schemas.openxmlformats.org/officeDocument/2006/relationships/hyperlink" Target="http://www.nevo.co.il/law/4216"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0c.a" TargetMode="External"/><Relationship Id="rId24" Type="http://schemas.openxmlformats.org/officeDocument/2006/relationships/hyperlink" Target="http://www.nevo.co.il/case/20159091" TargetMode="External"/><Relationship Id="rId32"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40c.a" TargetMode="External"/><Relationship Id="rId23" Type="http://schemas.openxmlformats.org/officeDocument/2006/relationships/hyperlink" Target="http://www.nevo.co.il/case/20881083" TargetMode="External"/><Relationship Id="rId28" Type="http://schemas.openxmlformats.org/officeDocument/2006/relationships/hyperlink" Target="http://www.nevo.co.il/law/4216" TargetMode="External"/><Relationship Id="rId36" Type="http://schemas.openxmlformats.org/officeDocument/2006/relationships/theme" Target="theme/theme1.xml"/><Relationship Id="rId10" Type="http://schemas.openxmlformats.org/officeDocument/2006/relationships/hyperlink" Target="http://www.nevo.co.il/law/70301/40b" TargetMode="External"/><Relationship Id="rId19" Type="http://schemas.openxmlformats.org/officeDocument/2006/relationships/hyperlink" Target="http://www.nevo.co.il/case/7980171"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4216/10" TargetMode="External"/><Relationship Id="rId22" Type="http://schemas.openxmlformats.org/officeDocument/2006/relationships/hyperlink" Target="http://www.nevo.co.il/case/20402486" TargetMode="External"/><Relationship Id="rId27" Type="http://schemas.openxmlformats.org/officeDocument/2006/relationships/hyperlink" Target="http://www.nevo.co.il/law/4216"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1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2767</Words>
  <Characters>13839</Characters>
  <Application>Microsoft Office Word</Application>
  <DocSecurity>0</DocSecurity>
  <Lines>115</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16573</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8257637</vt:i4>
      </vt:variant>
      <vt:variant>
        <vt:i4>69</vt:i4>
      </vt:variant>
      <vt:variant>
        <vt:i4>0</vt:i4>
      </vt:variant>
      <vt:variant>
        <vt:i4>5</vt:i4>
      </vt:variant>
      <vt:variant>
        <vt:lpwstr>http://www.nevo.co.il/law/4216</vt:lpwstr>
      </vt:variant>
      <vt:variant>
        <vt:lpwstr/>
      </vt:variant>
      <vt:variant>
        <vt:i4>8257637</vt:i4>
      </vt:variant>
      <vt:variant>
        <vt:i4>66</vt:i4>
      </vt:variant>
      <vt:variant>
        <vt:i4>0</vt:i4>
      </vt:variant>
      <vt:variant>
        <vt:i4>5</vt:i4>
      </vt:variant>
      <vt:variant>
        <vt:lpwstr>http://www.nevo.co.il/law/4216</vt:lpwstr>
      </vt:variant>
      <vt:variant>
        <vt:lpwstr/>
      </vt:variant>
      <vt:variant>
        <vt:i4>8257637</vt:i4>
      </vt:variant>
      <vt:variant>
        <vt:i4>63</vt:i4>
      </vt:variant>
      <vt:variant>
        <vt:i4>0</vt:i4>
      </vt:variant>
      <vt:variant>
        <vt:i4>5</vt:i4>
      </vt:variant>
      <vt:variant>
        <vt:lpwstr>http://www.nevo.co.il/law/4216</vt:lpwstr>
      </vt:variant>
      <vt:variant>
        <vt:lpwstr/>
      </vt:variant>
      <vt:variant>
        <vt:i4>3473523</vt:i4>
      </vt:variant>
      <vt:variant>
        <vt:i4>60</vt:i4>
      </vt:variant>
      <vt:variant>
        <vt:i4>0</vt:i4>
      </vt:variant>
      <vt:variant>
        <vt:i4>5</vt:i4>
      </vt:variant>
      <vt:variant>
        <vt:lpwstr>http://www.nevo.co.il/case/21474176</vt:lpwstr>
      </vt:variant>
      <vt:variant>
        <vt:lpwstr/>
      </vt:variant>
      <vt:variant>
        <vt:i4>3735671</vt:i4>
      </vt:variant>
      <vt:variant>
        <vt:i4>57</vt:i4>
      </vt:variant>
      <vt:variant>
        <vt:i4>0</vt:i4>
      </vt:variant>
      <vt:variant>
        <vt:i4>5</vt:i4>
      </vt:variant>
      <vt:variant>
        <vt:lpwstr>http://www.nevo.co.il/case/17940011</vt:lpwstr>
      </vt:variant>
      <vt:variant>
        <vt:lpwstr/>
      </vt:variant>
      <vt:variant>
        <vt:i4>3342449</vt:i4>
      </vt:variant>
      <vt:variant>
        <vt:i4>54</vt:i4>
      </vt:variant>
      <vt:variant>
        <vt:i4>0</vt:i4>
      </vt:variant>
      <vt:variant>
        <vt:i4>5</vt:i4>
      </vt:variant>
      <vt:variant>
        <vt:lpwstr>http://www.nevo.co.il/case/20159091</vt:lpwstr>
      </vt:variant>
      <vt:variant>
        <vt:lpwstr/>
      </vt:variant>
      <vt:variant>
        <vt:i4>3342460</vt:i4>
      </vt:variant>
      <vt:variant>
        <vt:i4>51</vt:i4>
      </vt:variant>
      <vt:variant>
        <vt:i4>0</vt:i4>
      </vt:variant>
      <vt:variant>
        <vt:i4>5</vt:i4>
      </vt:variant>
      <vt:variant>
        <vt:lpwstr>http://www.nevo.co.il/case/20881083</vt:lpwstr>
      </vt:variant>
      <vt:variant>
        <vt:lpwstr/>
      </vt:variant>
      <vt:variant>
        <vt:i4>3932272</vt:i4>
      </vt:variant>
      <vt:variant>
        <vt:i4>48</vt:i4>
      </vt:variant>
      <vt:variant>
        <vt:i4>0</vt:i4>
      </vt:variant>
      <vt:variant>
        <vt:i4>5</vt:i4>
      </vt:variant>
      <vt:variant>
        <vt:lpwstr>http://www.nevo.co.il/case/20402486</vt:lpwstr>
      </vt:variant>
      <vt:variant>
        <vt:lpwstr/>
      </vt:variant>
      <vt:variant>
        <vt:i4>3276914</vt:i4>
      </vt:variant>
      <vt:variant>
        <vt:i4>45</vt:i4>
      </vt:variant>
      <vt:variant>
        <vt:i4>0</vt:i4>
      </vt:variant>
      <vt:variant>
        <vt:i4>5</vt:i4>
      </vt:variant>
      <vt:variant>
        <vt:lpwstr>http://www.nevo.co.il/case/20111708</vt:lpwstr>
      </vt:variant>
      <vt:variant>
        <vt:lpwstr/>
      </vt:variant>
      <vt:variant>
        <vt:i4>3670139</vt:i4>
      </vt:variant>
      <vt:variant>
        <vt:i4>42</vt:i4>
      </vt:variant>
      <vt:variant>
        <vt:i4>0</vt:i4>
      </vt:variant>
      <vt:variant>
        <vt:i4>5</vt:i4>
      </vt:variant>
      <vt:variant>
        <vt:lpwstr>http://www.nevo.co.il/case/5738608</vt:lpwstr>
      </vt:variant>
      <vt:variant>
        <vt:lpwstr/>
      </vt:variant>
      <vt:variant>
        <vt:i4>4128890</vt:i4>
      </vt:variant>
      <vt:variant>
        <vt:i4>39</vt:i4>
      </vt:variant>
      <vt:variant>
        <vt:i4>0</vt:i4>
      </vt:variant>
      <vt:variant>
        <vt:i4>5</vt:i4>
      </vt:variant>
      <vt:variant>
        <vt:lpwstr>http://www.nevo.co.il/case/7980171</vt:lpwstr>
      </vt:variant>
      <vt:variant>
        <vt:lpwstr/>
      </vt:variant>
      <vt:variant>
        <vt:i4>4718666</vt:i4>
      </vt:variant>
      <vt:variant>
        <vt:i4>36</vt:i4>
      </vt:variant>
      <vt:variant>
        <vt:i4>0</vt:i4>
      </vt:variant>
      <vt:variant>
        <vt:i4>5</vt:i4>
      </vt:variant>
      <vt:variant>
        <vt:lpwstr>http://www.nevo.co.il/law/4216/6</vt:lpwstr>
      </vt:variant>
      <vt:variant>
        <vt:lpwstr/>
      </vt:variant>
      <vt:variant>
        <vt:i4>6619233</vt:i4>
      </vt:variant>
      <vt:variant>
        <vt:i4>33</vt:i4>
      </vt:variant>
      <vt:variant>
        <vt:i4>0</vt:i4>
      </vt:variant>
      <vt:variant>
        <vt:i4>5</vt:i4>
      </vt:variant>
      <vt:variant>
        <vt:lpwstr>http://www.nevo.co.il/law/70301/40b</vt:lpwstr>
      </vt:variant>
      <vt:variant>
        <vt:lpwstr/>
      </vt:variant>
      <vt:variant>
        <vt:i4>7995492</vt:i4>
      </vt:variant>
      <vt:variant>
        <vt:i4>30</vt:i4>
      </vt:variant>
      <vt:variant>
        <vt:i4>0</vt:i4>
      </vt:variant>
      <vt:variant>
        <vt:i4>5</vt:i4>
      </vt:variant>
      <vt:variant>
        <vt:lpwstr>http://www.nevo.co.il/law/70301</vt:lpwstr>
      </vt:variant>
      <vt:variant>
        <vt:lpwstr/>
      </vt:variant>
      <vt:variant>
        <vt:i4>4915202</vt:i4>
      </vt:variant>
      <vt:variant>
        <vt:i4>27</vt:i4>
      </vt:variant>
      <vt:variant>
        <vt:i4>0</vt:i4>
      </vt:variant>
      <vt:variant>
        <vt:i4>5</vt:i4>
      </vt:variant>
      <vt:variant>
        <vt:lpwstr>http://www.nevo.co.il/law/70301/40c.a</vt:lpwstr>
      </vt:variant>
      <vt:variant>
        <vt:lpwstr/>
      </vt:variant>
      <vt:variant>
        <vt:i4>5177418</vt:i4>
      </vt:variant>
      <vt:variant>
        <vt:i4>24</vt:i4>
      </vt:variant>
      <vt:variant>
        <vt:i4>0</vt:i4>
      </vt:variant>
      <vt:variant>
        <vt:i4>5</vt:i4>
      </vt:variant>
      <vt:variant>
        <vt:lpwstr>http://www.nevo.co.il/law/4216/10</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http://www.nevo.co.il/law/4216/10</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2025-04-22T22:49:00Z</dcterms:created>
  <dcterms:modified xsi:type="dcterms:W3CDTF">2025-04-22T22:49:00Z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33932</vt:lpwstr>
  </property>
  <property fmtid="{D5CDD505-2E9C-101B-9397-08002B2CF9AE}" pid="6" name="NEWPARTB">
    <vt:lpwstr>08</vt:lpwstr>
  </property>
  <property fmtid="{D5CDD505-2E9C-101B-9397-08002B2CF9AE}" pid="7" name="NEWPARTC">
    <vt:lpwstr>15</vt:lpwstr>
  </property>
  <property fmtid="{D5CDD505-2E9C-101B-9397-08002B2CF9AE}" pid="8" name="APPELLANT">
    <vt:lpwstr>מדינת ישראל תביעות שפלה</vt:lpwstr>
  </property>
  <property fmtid="{D5CDD505-2E9C-101B-9397-08002B2CF9AE}" pid="9" name="APPELLEE">
    <vt:lpwstr>אלירן איפרגן</vt:lpwstr>
  </property>
  <property fmtid="{D5CDD505-2E9C-101B-9397-08002B2CF9AE}" pid="10" name="LAWYER">
    <vt:lpwstr>איתי שמואלי;שי גבאי</vt:lpwstr>
  </property>
  <property fmtid="{D5CDD505-2E9C-101B-9397-08002B2CF9AE}" pid="11" name="CITY">
    <vt:lpwstr>ראשל"צ</vt:lpwstr>
  </property>
  <property fmtid="{D5CDD505-2E9C-101B-9397-08002B2CF9AE}" pid="12" name="DATE">
    <vt:lpwstr>20170426</vt:lpwstr>
  </property>
  <property fmtid="{D5CDD505-2E9C-101B-9397-08002B2CF9AE}" pid="13" name="TYPE_N_DATE">
    <vt:lpwstr>38020170426</vt:lpwstr>
  </property>
  <property fmtid="{D5CDD505-2E9C-101B-9397-08002B2CF9AE}" pid="14" name="CASESLISTTMP1">
    <vt:lpwstr>7980171;5738608;20111708;20402486;20881083;20159091;17940011;21474176</vt:lpwstr>
  </property>
  <property fmtid="{D5CDD505-2E9C-101B-9397-08002B2CF9AE}" pid="15" name="CASENOTES1">
    <vt:lpwstr>ProcID=135&amp;PartA=28100&amp;PartB=10&amp;PartC=15</vt:lpwstr>
  </property>
  <property fmtid="{D5CDD505-2E9C-101B-9397-08002B2CF9AE}" pid="16" name="CASENOTES2">
    <vt:lpwstr>ProcID=174;133;209&amp;PartA=7055&amp;PartC=14</vt:lpwstr>
  </property>
  <property fmtid="{D5CDD505-2E9C-101B-9397-08002B2CF9AE}" pid="17" name="WORDNUMPAGES">
    <vt:lpwstr>9</vt:lpwstr>
  </property>
  <property fmtid="{D5CDD505-2E9C-101B-9397-08002B2CF9AE}" pid="18" name="TYPE_ABS_DATE">
    <vt:lpwstr>380020170426</vt:lpwstr>
  </property>
  <property fmtid="{D5CDD505-2E9C-101B-9397-08002B2CF9AE}" pid="19" name="JUDGE">
    <vt:lpwstr>רפי ארניה</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4216/006:2;010</vt:lpwstr>
  </property>
  <property fmtid="{D5CDD505-2E9C-101B-9397-08002B2CF9AE}" pid="39" name="LAWLISTTMP2">
    <vt:lpwstr>70301/040c.a;040b</vt:lpwstr>
  </property>
</Properties>
</file>