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4705" w:rsidRPr="003D1165" w14:paraId="367A0D85" w14:textId="77777777" w:rsidTr="00076C1B">
        <w:trPr>
          <w:trHeight w:hRule="exact" w:val="418"/>
          <w:jc w:val="center"/>
        </w:trPr>
        <w:tc>
          <w:tcPr>
            <w:tcW w:w="8721" w:type="dxa"/>
            <w:gridSpan w:val="2"/>
          </w:tcPr>
          <w:p w14:paraId="099BBBA3" w14:textId="77777777" w:rsidR="00B54705" w:rsidRPr="003D1165" w:rsidRDefault="00B54705" w:rsidP="004D1F61">
            <w:pPr>
              <w:pStyle w:val="a3"/>
              <w:jc w:val="center"/>
              <w:rPr>
                <w:rFonts w:ascii="Tahoma" w:hAnsi="Tahoma"/>
                <w:color w:val="000080"/>
                <w:sz w:val="32"/>
                <w:szCs w:val="32"/>
                <w:rtl/>
              </w:rPr>
            </w:pPr>
            <w:bookmarkStart w:id="0" w:name="LastJudge"/>
            <w:r w:rsidRPr="003D1165">
              <w:rPr>
                <w:rFonts w:ascii="Tahoma" w:hAnsi="Tahoma"/>
                <w:b/>
                <w:bCs/>
                <w:color w:val="000080"/>
                <w:sz w:val="32"/>
                <w:szCs w:val="32"/>
                <w:rtl/>
              </w:rPr>
              <w:t>בית משפט השלום בתל אביב - יפו</w:t>
            </w:r>
          </w:p>
        </w:tc>
      </w:tr>
      <w:tr w:rsidR="00B54705" w:rsidRPr="003D1165" w14:paraId="5CB2EF80" w14:textId="77777777" w:rsidTr="00076C1B">
        <w:trPr>
          <w:trHeight w:val="337"/>
          <w:jc w:val="center"/>
        </w:trPr>
        <w:tc>
          <w:tcPr>
            <w:tcW w:w="5054" w:type="dxa"/>
          </w:tcPr>
          <w:p w14:paraId="03656EBA" w14:textId="77777777" w:rsidR="00B54705" w:rsidRPr="003D1165" w:rsidRDefault="00B54705" w:rsidP="004D1F61">
            <w:pPr>
              <w:rPr>
                <w:sz w:val="26"/>
                <w:szCs w:val="26"/>
                <w:rtl/>
              </w:rPr>
            </w:pPr>
            <w:r w:rsidRPr="003D1165">
              <w:rPr>
                <w:sz w:val="26"/>
                <w:szCs w:val="26"/>
                <w:rtl/>
              </w:rPr>
              <w:t>ת"פ</w:t>
            </w:r>
            <w:r w:rsidRPr="003D1165">
              <w:rPr>
                <w:rFonts w:hint="cs"/>
                <w:sz w:val="26"/>
                <w:szCs w:val="26"/>
                <w:rtl/>
              </w:rPr>
              <w:t xml:space="preserve"> </w:t>
            </w:r>
            <w:r w:rsidRPr="003D1165">
              <w:rPr>
                <w:sz w:val="26"/>
                <w:szCs w:val="26"/>
                <w:rtl/>
              </w:rPr>
              <w:t>40810-08-15</w:t>
            </w:r>
            <w:r w:rsidRPr="003D1165">
              <w:rPr>
                <w:rFonts w:hint="cs"/>
                <w:sz w:val="26"/>
                <w:szCs w:val="26"/>
                <w:rtl/>
              </w:rPr>
              <w:t xml:space="preserve"> </w:t>
            </w:r>
            <w:r w:rsidRPr="003D1165">
              <w:rPr>
                <w:sz w:val="26"/>
                <w:szCs w:val="26"/>
                <w:rtl/>
              </w:rPr>
              <w:t>מדינת ישראל נ' שלום לוי</w:t>
            </w:r>
          </w:p>
          <w:p w14:paraId="65558D04" w14:textId="77777777" w:rsidR="00B54705" w:rsidRPr="003D1165" w:rsidRDefault="00B54705" w:rsidP="004D1F61">
            <w:pPr>
              <w:pStyle w:val="a3"/>
              <w:rPr>
                <w:rFonts w:cs="FrankRuehl"/>
                <w:sz w:val="28"/>
                <w:szCs w:val="28"/>
                <w:rtl/>
              </w:rPr>
            </w:pPr>
          </w:p>
        </w:tc>
        <w:tc>
          <w:tcPr>
            <w:tcW w:w="3667" w:type="dxa"/>
          </w:tcPr>
          <w:p w14:paraId="1E0FBC2E" w14:textId="77777777" w:rsidR="00B54705" w:rsidRPr="003D1165" w:rsidRDefault="00B54705" w:rsidP="004D1F61">
            <w:pPr>
              <w:pStyle w:val="a3"/>
              <w:jc w:val="right"/>
              <w:rPr>
                <w:rFonts w:cs="FrankRuehl"/>
                <w:sz w:val="28"/>
                <w:szCs w:val="28"/>
                <w:rtl/>
              </w:rPr>
            </w:pPr>
          </w:p>
        </w:tc>
      </w:tr>
    </w:tbl>
    <w:p w14:paraId="579AE394" w14:textId="77777777" w:rsidR="00B54705" w:rsidRPr="003D1165" w:rsidRDefault="00B54705" w:rsidP="00B54705">
      <w:pPr>
        <w:pStyle w:val="a3"/>
        <w:rPr>
          <w:rtl/>
        </w:rPr>
      </w:pPr>
      <w:r w:rsidRPr="003D1165">
        <w:rPr>
          <w:rFonts w:hint="cs"/>
          <w:rtl/>
        </w:rPr>
        <w:t xml:space="preserve"> </w:t>
      </w:r>
    </w:p>
    <w:p w14:paraId="6C199C0D" w14:textId="77777777" w:rsidR="00B54705" w:rsidRPr="003D1165" w:rsidRDefault="00B54705" w:rsidP="00B5470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36"/>
        <w:gridCol w:w="3353"/>
      </w:tblGrid>
      <w:tr w:rsidR="00B54705" w:rsidRPr="003D1165" w14:paraId="3A9304EF" w14:textId="77777777" w:rsidTr="00076C1B">
        <w:trPr>
          <w:trHeight w:val="295"/>
          <w:jc w:val="center"/>
        </w:trPr>
        <w:tc>
          <w:tcPr>
            <w:tcW w:w="1231" w:type="dxa"/>
            <w:tcBorders>
              <w:top w:val="nil"/>
              <w:left w:val="nil"/>
              <w:bottom w:val="nil"/>
              <w:right w:val="nil"/>
            </w:tcBorders>
            <w:shd w:val="clear" w:color="auto" w:fill="auto"/>
          </w:tcPr>
          <w:p w14:paraId="2D847F28" w14:textId="77777777" w:rsidR="00B54705" w:rsidRPr="003D1165" w:rsidRDefault="00B54705" w:rsidP="00B54705">
            <w:pPr>
              <w:jc w:val="both"/>
              <w:rPr>
                <w:rFonts w:ascii="Arial" w:hAnsi="Arial"/>
                <w:b/>
                <w:bCs/>
                <w:sz w:val="26"/>
                <w:szCs w:val="26"/>
              </w:rPr>
            </w:pPr>
            <w:r w:rsidRPr="003D1165">
              <w:rPr>
                <w:rFonts w:ascii="Arial" w:hAnsi="Arial" w:hint="cs"/>
                <w:b/>
                <w:bCs/>
                <w:sz w:val="26"/>
                <w:szCs w:val="26"/>
                <w:rtl/>
              </w:rPr>
              <w:t>ל</w:t>
            </w:r>
            <w:r w:rsidRPr="003D1165">
              <w:rPr>
                <w:rFonts w:ascii="Arial" w:hAnsi="Arial"/>
                <w:b/>
                <w:bCs/>
                <w:sz w:val="26"/>
                <w:szCs w:val="26"/>
                <w:rtl/>
              </w:rPr>
              <w:t xml:space="preserve">פני </w:t>
            </w:r>
          </w:p>
        </w:tc>
        <w:tc>
          <w:tcPr>
            <w:tcW w:w="7589" w:type="dxa"/>
            <w:gridSpan w:val="2"/>
            <w:tcBorders>
              <w:top w:val="nil"/>
              <w:left w:val="nil"/>
              <w:bottom w:val="nil"/>
              <w:right w:val="nil"/>
            </w:tcBorders>
            <w:shd w:val="clear" w:color="auto" w:fill="auto"/>
          </w:tcPr>
          <w:p w14:paraId="4F0EF2AE" w14:textId="77777777" w:rsidR="00B54705" w:rsidRPr="003D1165" w:rsidRDefault="00B54705" w:rsidP="004D1F61">
            <w:pPr>
              <w:rPr>
                <w:rFonts w:ascii="Arial" w:hAnsi="Arial"/>
                <w:b/>
                <w:bCs/>
                <w:sz w:val="26"/>
                <w:szCs w:val="26"/>
                <w:rtl/>
              </w:rPr>
            </w:pPr>
            <w:r w:rsidRPr="003D1165">
              <w:rPr>
                <w:rFonts w:ascii="Arial" w:hAnsi="Arial" w:hint="cs"/>
                <w:b/>
                <w:bCs/>
                <w:sz w:val="26"/>
                <w:szCs w:val="26"/>
                <w:rtl/>
              </w:rPr>
              <w:t>כבוד ה</w:t>
            </w:r>
            <w:r w:rsidRPr="003D1165">
              <w:rPr>
                <w:rFonts w:ascii="Arial" w:hAnsi="Arial"/>
                <w:b/>
                <w:bCs/>
                <w:sz w:val="26"/>
                <w:szCs w:val="26"/>
                <w:rtl/>
              </w:rPr>
              <w:t>שופט</w:t>
            </w:r>
            <w:r w:rsidRPr="003D1165">
              <w:rPr>
                <w:rFonts w:ascii="Arial" w:hAnsi="Arial" w:hint="cs"/>
                <w:b/>
                <w:bCs/>
                <w:sz w:val="26"/>
                <w:szCs w:val="26"/>
                <w:rtl/>
              </w:rPr>
              <w:t xml:space="preserve">  </w:t>
            </w:r>
            <w:r w:rsidRPr="003D1165">
              <w:rPr>
                <w:rFonts w:ascii="Arial" w:hAnsi="Arial"/>
                <w:b/>
                <w:bCs/>
                <w:sz w:val="26"/>
                <w:szCs w:val="26"/>
                <w:rtl/>
              </w:rPr>
              <w:t>עידו דרויאן-גמליאל</w:t>
            </w:r>
          </w:p>
          <w:p w14:paraId="0B80CC30" w14:textId="77777777" w:rsidR="00B54705" w:rsidRPr="003D1165" w:rsidRDefault="00B54705" w:rsidP="004D1F61">
            <w:pPr>
              <w:rPr>
                <w:sz w:val="26"/>
                <w:szCs w:val="26"/>
                <w:rtl/>
              </w:rPr>
            </w:pPr>
          </w:p>
          <w:p w14:paraId="67261225" w14:textId="77777777" w:rsidR="00B54705" w:rsidRPr="003D1165" w:rsidRDefault="00B54705" w:rsidP="00B54705">
            <w:pPr>
              <w:jc w:val="both"/>
              <w:rPr>
                <w:rFonts w:ascii="Arial" w:hAnsi="Arial"/>
                <w:sz w:val="26"/>
                <w:szCs w:val="26"/>
              </w:rPr>
            </w:pPr>
          </w:p>
        </w:tc>
      </w:tr>
      <w:tr w:rsidR="00B54705" w:rsidRPr="003D1165" w14:paraId="257DE2A0" w14:textId="77777777" w:rsidTr="00076C1B">
        <w:trPr>
          <w:trHeight w:val="355"/>
          <w:jc w:val="center"/>
        </w:trPr>
        <w:tc>
          <w:tcPr>
            <w:tcW w:w="1231" w:type="dxa"/>
            <w:tcBorders>
              <w:top w:val="nil"/>
              <w:left w:val="nil"/>
              <w:bottom w:val="nil"/>
              <w:right w:val="nil"/>
            </w:tcBorders>
            <w:shd w:val="clear" w:color="auto" w:fill="auto"/>
          </w:tcPr>
          <w:p w14:paraId="35312974" w14:textId="77777777" w:rsidR="00B54705" w:rsidRPr="003D1165" w:rsidRDefault="00B54705" w:rsidP="00B54705">
            <w:pPr>
              <w:jc w:val="both"/>
              <w:rPr>
                <w:rFonts w:ascii="Arial" w:hAnsi="Arial"/>
                <w:b/>
                <w:bCs/>
                <w:sz w:val="26"/>
                <w:szCs w:val="26"/>
              </w:rPr>
            </w:pPr>
            <w:bookmarkStart w:id="1" w:name="FirstAppellant"/>
            <w:bookmarkStart w:id="2" w:name="FirstLawyer"/>
            <w:r w:rsidRPr="003D1165">
              <w:rPr>
                <w:rFonts w:ascii="Arial" w:hAnsi="Arial" w:hint="cs"/>
                <w:b/>
                <w:bCs/>
                <w:sz w:val="26"/>
                <w:szCs w:val="26"/>
                <w:rtl/>
              </w:rPr>
              <w:t>ה</w:t>
            </w:r>
            <w:r w:rsidRPr="003D1165">
              <w:rPr>
                <w:rFonts w:ascii="Arial" w:hAnsi="Arial"/>
                <w:b/>
                <w:bCs/>
                <w:sz w:val="26"/>
                <w:szCs w:val="26"/>
                <w:rtl/>
              </w:rPr>
              <w:t>מאשימה</w:t>
            </w:r>
          </w:p>
        </w:tc>
        <w:tc>
          <w:tcPr>
            <w:tcW w:w="4236" w:type="dxa"/>
            <w:tcBorders>
              <w:top w:val="nil"/>
              <w:left w:val="nil"/>
              <w:bottom w:val="nil"/>
              <w:right w:val="nil"/>
            </w:tcBorders>
            <w:shd w:val="clear" w:color="auto" w:fill="auto"/>
          </w:tcPr>
          <w:p w14:paraId="3A101ECF" w14:textId="77777777" w:rsidR="00B54705" w:rsidRPr="003D1165" w:rsidRDefault="00B54705" w:rsidP="004D1F61">
            <w:pPr>
              <w:rPr>
                <w:b/>
                <w:bCs/>
                <w:sz w:val="26"/>
                <w:szCs w:val="26"/>
                <w:rtl/>
              </w:rPr>
            </w:pPr>
            <w:r w:rsidRPr="003D1165">
              <w:rPr>
                <w:rFonts w:ascii="Arial" w:hAnsi="Arial"/>
                <w:b/>
                <w:bCs/>
                <w:sz w:val="26"/>
                <w:szCs w:val="26"/>
                <w:rtl/>
              </w:rPr>
              <w:t>מדינת ישראל</w:t>
            </w:r>
          </w:p>
          <w:p w14:paraId="177AB29C" w14:textId="77777777" w:rsidR="00B54705" w:rsidRPr="003D1165" w:rsidRDefault="00B54705" w:rsidP="004D1F61">
            <w:pPr>
              <w:rPr>
                <w:sz w:val="26"/>
                <w:szCs w:val="26"/>
              </w:rPr>
            </w:pPr>
            <w:r w:rsidRPr="003D1165">
              <w:rPr>
                <w:rFonts w:hint="cs"/>
                <w:sz w:val="26"/>
                <w:szCs w:val="26"/>
                <w:rtl/>
              </w:rPr>
              <w:t>ע"י ב"כ עוה"ד</w:t>
            </w:r>
            <w:r w:rsidRPr="003D1165">
              <w:rPr>
                <w:rFonts w:hint="cs"/>
                <w:rtl/>
              </w:rPr>
              <w:t xml:space="preserve"> </w:t>
            </w:r>
            <w:r w:rsidRPr="003D1165">
              <w:rPr>
                <w:sz w:val="26"/>
                <w:szCs w:val="26"/>
                <w:rtl/>
              </w:rPr>
              <w:t>בן-משה, בר-טוב</w:t>
            </w:r>
            <w:r w:rsidRPr="003D1165">
              <w:rPr>
                <w:rFonts w:hint="cs"/>
                <w:sz w:val="26"/>
                <w:szCs w:val="26"/>
                <w:rtl/>
              </w:rPr>
              <w:t xml:space="preserve"> ו</w:t>
            </w:r>
            <w:r w:rsidRPr="003D1165">
              <w:rPr>
                <w:sz w:val="26"/>
                <w:szCs w:val="26"/>
                <w:rtl/>
              </w:rPr>
              <w:t>חבר</w:t>
            </w:r>
            <w:r w:rsidRPr="003D1165">
              <w:rPr>
                <w:rFonts w:hint="cs"/>
                <w:sz w:val="26"/>
                <w:szCs w:val="26"/>
                <w:rtl/>
              </w:rPr>
              <w:t xml:space="preserve"> </w:t>
            </w:r>
          </w:p>
        </w:tc>
        <w:tc>
          <w:tcPr>
            <w:tcW w:w="3353" w:type="dxa"/>
            <w:tcBorders>
              <w:top w:val="nil"/>
              <w:left w:val="nil"/>
              <w:bottom w:val="nil"/>
              <w:right w:val="nil"/>
            </w:tcBorders>
            <w:shd w:val="clear" w:color="auto" w:fill="auto"/>
          </w:tcPr>
          <w:p w14:paraId="5922C21E" w14:textId="77777777" w:rsidR="00B54705" w:rsidRPr="003D1165" w:rsidRDefault="00B54705" w:rsidP="00B54705">
            <w:pPr>
              <w:jc w:val="both"/>
              <w:rPr>
                <w:rFonts w:ascii="Arial" w:hAnsi="Arial"/>
                <w:sz w:val="26"/>
                <w:szCs w:val="26"/>
              </w:rPr>
            </w:pPr>
          </w:p>
        </w:tc>
      </w:tr>
      <w:bookmarkEnd w:id="1"/>
      <w:bookmarkEnd w:id="2"/>
      <w:tr w:rsidR="00B54705" w:rsidRPr="003D1165" w14:paraId="4729C03A" w14:textId="77777777" w:rsidTr="00076C1B">
        <w:trPr>
          <w:trHeight w:val="355"/>
          <w:jc w:val="center"/>
        </w:trPr>
        <w:tc>
          <w:tcPr>
            <w:tcW w:w="1231" w:type="dxa"/>
            <w:tcBorders>
              <w:top w:val="nil"/>
              <w:left w:val="nil"/>
              <w:bottom w:val="nil"/>
              <w:right w:val="nil"/>
            </w:tcBorders>
            <w:shd w:val="clear" w:color="auto" w:fill="auto"/>
          </w:tcPr>
          <w:p w14:paraId="696BD2EA" w14:textId="77777777" w:rsidR="00B54705" w:rsidRPr="003D1165" w:rsidRDefault="00B54705" w:rsidP="00B54705">
            <w:pPr>
              <w:jc w:val="both"/>
              <w:rPr>
                <w:rFonts w:ascii="Arial" w:hAnsi="Arial"/>
                <w:sz w:val="26"/>
                <w:szCs w:val="26"/>
                <w:rtl/>
              </w:rPr>
            </w:pPr>
          </w:p>
        </w:tc>
        <w:tc>
          <w:tcPr>
            <w:tcW w:w="4236" w:type="dxa"/>
            <w:tcBorders>
              <w:top w:val="nil"/>
              <w:left w:val="nil"/>
              <w:bottom w:val="nil"/>
              <w:right w:val="nil"/>
            </w:tcBorders>
            <w:shd w:val="clear" w:color="auto" w:fill="auto"/>
          </w:tcPr>
          <w:p w14:paraId="68873D16" w14:textId="77777777" w:rsidR="00B54705" w:rsidRPr="003D1165" w:rsidRDefault="00B54705" w:rsidP="004D1F61">
            <w:pPr>
              <w:rPr>
                <w:rFonts w:ascii="Arial" w:hAnsi="Arial"/>
                <w:sz w:val="26"/>
                <w:szCs w:val="26"/>
                <w:rtl/>
              </w:rPr>
            </w:pPr>
          </w:p>
        </w:tc>
        <w:tc>
          <w:tcPr>
            <w:tcW w:w="3353" w:type="dxa"/>
            <w:tcBorders>
              <w:top w:val="nil"/>
              <w:left w:val="nil"/>
              <w:bottom w:val="nil"/>
              <w:right w:val="nil"/>
            </w:tcBorders>
            <w:shd w:val="clear" w:color="auto" w:fill="auto"/>
          </w:tcPr>
          <w:p w14:paraId="273F6C48" w14:textId="77777777" w:rsidR="00B54705" w:rsidRPr="003D1165" w:rsidRDefault="00B54705" w:rsidP="00B54705">
            <w:pPr>
              <w:jc w:val="right"/>
              <w:rPr>
                <w:rFonts w:ascii="Arial" w:hAnsi="Arial"/>
                <w:sz w:val="26"/>
                <w:szCs w:val="26"/>
                <w:rtl/>
              </w:rPr>
            </w:pPr>
          </w:p>
        </w:tc>
      </w:tr>
      <w:tr w:rsidR="00B54705" w:rsidRPr="003D1165" w14:paraId="1492C7C0" w14:textId="77777777" w:rsidTr="00076C1B">
        <w:trPr>
          <w:trHeight w:val="355"/>
          <w:jc w:val="center"/>
        </w:trPr>
        <w:tc>
          <w:tcPr>
            <w:tcW w:w="1231" w:type="dxa"/>
            <w:tcBorders>
              <w:top w:val="nil"/>
              <w:left w:val="nil"/>
              <w:bottom w:val="nil"/>
              <w:right w:val="nil"/>
            </w:tcBorders>
            <w:shd w:val="clear" w:color="auto" w:fill="auto"/>
          </w:tcPr>
          <w:p w14:paraId="27C04225" w14:textId="77777777" w:rsidR="00B54705" w:rsidRPr="003D1165" w:rsidRDefault="00B54705" w:rsidP="00B54705">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15B64D73" w14:textId="77777777" w:rsidR="00B54705" w:rsidRPr="003D1165" w:rsidRDefault="00B54705" w:rsidP="00B54705">
            <w:pPr>
              <w:jc w:val="center"/>
              <w:rPr>
                <w:rFonts w:ascii="Arial" w:hAnsi="Arial"/>
                <w:b/>
                <w:bCs/>
                <w:sz w:val="26"/>
                <w:szCs w:val="26"/>
                <w:rtl/>
              </w:rPr>
            </w:pPr>
          </w:p>
          <w:p w14:paraId="0DC5FD9C" w14:textId="77777777" w:rsidR="00B54705" w:rsidRPr="003D1165" w:rsidRDefault="00B54705" w:rsidP="00B54705">
            <w:pPr>
              <w:jc w:val="center"/>
              <w:rPr>
                <w:rFonts w:ascii="Arial" w:hAnsi="Arial"/>
                <w:b/>
                <w:bCs/>
                <w:sz w:val="26"/>
                <w:szCs w:val="26"/>
                <w:rtl/>
              </w:rPr>
            </w:pPr>
            <w:r w:rsidRPr="003D1165">
              <w:rPr>
                <w:rFonts w:ascii="Arial" w:hAnsi="Arial"/>
                <w:b/>
                <w:bCs/>
                <w:sz w:val="26"/>
                <w:szCs w:val="26"/>
                <w:rtl/>
              </w:rPr>
              <w:t>נגד</w:t>
            </w:r>
          </w:p>
          <w:p w14:paraId="7F9F126C" w14:textId="77777777" w:rsidR="00B54705" w:rsidRPr="003D1165" w:rsidRDefault="00B54705" w:rsidP="00B54705">
            <w:pPr>
              <w:jc w:val="both"/>
              <w:rPr>
                <w:rFonts w:ascii="Arial" w:hAnsi="Arial"/>
                <w:sz w:val="26"/>
                <w:szCs w:val="26"/>
              </w:rPr>
            </w:pPr>
          </w:p>
        </w:tc>
      </w:tr>
      <w:tr w:rsidR="00B54705" w:rsidRPr="003D1165" w14:paraId="350D7B90" w14:textId="77777777" w:rsidTr="00076C1B">
        <w:trPr>
          <w:trHeight w:val="355"/>
          <w:jc w:val="center"/>
        </w:trPr>
        <w:tc>
          <w:tcPr>
            <w:tcW w:w="1231" w:type="dxa"/>
            <w:tcBorders>
              <w:top w:val="nil"/>
              <w:left w:val="nil"/>
              <w:bottom w:val="nil"/>
              <w:right w:val="nil"/>
            </w:tcBorders>
            <w:shd w:val="clear" w:color="auto" w:fill="auto"/>
          </w:tcPr>
          <w:p w14:paraId="5E05D6CE" w14:textId="77777777" w:rsidR="00B54705" w:rsidRPr="003D1165" w:rsidRDefault="00B54705" w:rsidP="004D1F61">
            <w:pPr>
              <w:rPr>
                <w:rFonts w:ascii="Arial" w:hAnsi="Arial"/>
                <w:sz w:val="26"/>
                <w:szCs w:val="26"/>
                <w:rtl/>
              </w:rPr>
            </w:pPr>
            <w:r w:rsidRPr="003D1165">
              <w:rPr>
                <w:rFonts w:ascii="Arial" w:hAnsi="Arial" w:hint="cs"/>
                <w:b/>
                <w:bCs/>
                <w:sz w:val="26"/>
                <w:szCs w:val="26"/>
                <w:rtl/>
              </w:rPr>
              <w:t>ה</w:t>
            </w:r>
            <w:r w:rsidRPr="003D1165">
              <w:rPr>
                <w:rFonts w:ascii="Arial" w:hAnsi="Arial"/>
                <w:b/>
                <w:bCs/>
                <w:sz w:val="26"/>
                <w:szCs w:val="26"/>
                <w:rtl/>
              </w:rPr>
              <w:t>נאשם</w:t>
            </w:r>
          </w:p>
        </w:tc>
        <w:tc>
          <w:tcPr>
            <w:tcW w:w="4236" w:type="dxa"/>
            <w:tcBorders>
              <w:top w:val="nil"/>
              <w:left w:val="nil"/>
              <w:bottom w:val="nil"/>
              <w:right w:val="nil"/>
            </w:tcBorders>
            <w:shd w:val="clear" w:color="auto" w:fill="auto"/>
          </w:tcPr>
          <w:p w14:paraId="210E96AC" w14:textId="77777777" w:rsidR="00B54705" w:rsidRPr="003D1165" w:rsidRDefault="00B54705" w:rsidP="004D1F61">
            <w:pPr>
              <w:rPr>
                <w:b/>
                <w:bCs/>
                <w:sz w:val="26"/>
                <w:szCs w:val="26"/>
                <w:rtl/>
              </w:rPr>
            </w:pPr>
            <w:r w:rsidRPr="003D1165">
              <w:rPr>
                <w:rFonts w:ascii="Arial" w:hAnsi="Arial"/>
                <w:b/>
                <w:bCs/>
                <w:sz w:val="26"/>
                <w:szCs w:val="26"/>
                <w:rtl/>
              </w:rPr>
              <w:t>נסים שלום לוי</w:t>
            </w:r>
          </w:p>
          <w:p w14:paraId="47B7054C" w14:textId="77777777" w:rsidR="00B54705" w:rsidRPr="003D1165" w:rsidRDefault="00B54705" w:rsidP="004D1F61">
            <w:pPr>
              <w:rPr>
                <w:sz w:val="26"/>
                <w:szCs w:val="26"/>
                <w:rtl/>
              </w:rPr>
            </w:pPr>
            <w:r w:rsidRPr="003D1165">
              <w:rPr>
                <w:rFonts w:hint="cs"/>
                <w:sz w:val="26"/>
                <w:szCs w:val="26"/>
                <w:rtl/>
              </w:rPr>
              <w:t>ע"י ב"כ עו"ד לב וחזות</w:t>
            </w:r>
          </w:p>
        </w:tc>
        <w:tc>
          <w:tcPr>
            <w:tcW w:w="3353" w:type="dxa"/>
            <w:tcBorders>
              <w:top w:val="nil"/>
              <w:left w:val="nil"/>
              <w:bottom w:val="nil"/>
              <w:right w:val="nil"/>
            </w:tcBorders>
            <w:shd w:val="clear" w:color="auto" w:fill="auto"/>
          </w:tcPr>
          <w:p w14:paraId="53531305" w14:textId="77777777" w:rsidR="00B54705" w:rsidRPr="003D1165" w:rsidRDefault="00B54705" w:rsidP="00B54705">
            <w:pPr>
              <w:jc w:val="right"/>
              <w:rPr>
                <w:rFonts w:ascii="Arial" w:hAnsi="Arial"/>
                <w:sz w:val="26"/>
                <w:szCs w:val="26"/>
              </w:rPr>
            </w:pPr>
          </w:p>
        </w:tc>
      </w:tr>
    </w:tbl>
    <w:p w14:paraId="614A077F" w14:textId="77777777" w:rsidR="003D1165" w:rsidRPr="003D1165" w:rsidRDefault="003D1165" w:rsidP="003D1165">
      <w:pPr>
        <w:spacing w:after="120" w:line="240" w:lineRule="exact"/>
        <w:ind w:left="283" w:hanging="283"/>
        <w:jc w:val="both"/>
        <w:rPr>
          <w:rFonts w:ascii="FrankRuehl" w:hAnsi="FrankRuehl" w:cs="FrankRuehl"/>
          <w:rtl/>
        </w:rPr>
      </w:pPr>
    </w:p>
    <w:p w14:paraId="700E7836" w14:textId="77777777" w:rsidR="00076C1B" w:rsidRPr="00076C1B" w:rsidRDefault="00076C1B" w:rsidP="00076C1B">
      <w:pPr>
        <w:spacing w:after="120" w:line="240" w:lineRule="exact"/>
        <w:ind w:left="283" w:hanging="283"/>
        <w:jc w:val="both"/>
        <w:rPr>
          <w:rFonts w:ascii="FrankRuehl" w:hAnsi="FrankRuehl" w:cs="FrankRuehl"/>
          <w:rtl/>
        </w:rPr>
      </w:pPr>
      <w:bookmarkStart w:id="3" w:name="LawTable"/>
      <w:bookmarkEnd w:id="3"/>
      <w:r w:rsidRPr="00076C1B">
        <w:rPr>
          <w:rFonts w:ascii="FrankRuehl" w:hAnsi="FrankRuehl" w:cs="FrankRuehl"/>
          <w:rtl/>
        </w:rPr>
        <w:t xml:space="preserve">חקיקה שאוזכרה: </w:t>
      </w:r>
    </w:p>
    <w:p w14:paraId="7626B117" w14:textId="77777777" w:rsidR="00076C1B" w:rsidRPr="00076C1B" w:rsidRDefault="00076C1B" w:rsidP="00076C1B">
      <w:pPr>
        <w:spacing w:after="120" w:line="240" w:lineRule="exact"/>
        <w:ind w:left="283" w:hanging="283"/>
        <w:jc w:val="both"/>
        <w:rPr>
          <w:rFonts w:ascii="FrankRuehl" w:hAnsi="FrankRuehl" w:cs="FrankRuehl"/>
          <w:rtl/>
        </w:rPr>
      </w:pPr>
      <w:hyperlink r:id="rId7" w:history="1">
        <w:r w:rsidRPr="00076C1B">
          <w:rPr>
            <w:rFonts w:ascii="FrankRuehl" w:hAnsi="FrankRuehl" w:cs="FrankRuehl"/>
            <w:color w:val="0000FF"/>
            <w:u w:val="single"/>
            <w:rtl/>
          </w:rPr>
          <w:t>פקודת הסמים המסוכנים [נוסח חדש], תשל"ג-1973</w:t>
        </w:r>
      </w:hyperlink>
      <w:r w:rsidRPr="00076C1B">
        <w:rPr>
          <w:rFonts w:ascii="FrankRuehl" w:hAnsi="FrankRuehl" w:cs="FrankRuehl"/>
          <w:rtl/>
        </w:rPr>
        <w:t xml:space="preserve">: סע'  </w:t>
      </w:r>
      <w:hyperlink r:id="rId8" w:history="1">
        <w:r w:rsidRPr="00076C1B">
          <w:rPr>
            <w:rFonts w:ascii="FrankRuehl" w:hAnsi="FrankRuehl" w:cs="FrankRuehl"/>
            <w:color w:val="0000FF"/>
            <w:u w:val="single"/>
            <w:rtl/>
          </w:rPr>
          <w:t>14</w:t>
        </w:r>
      </w:hyperlink>
    </w:p>
    <w:p w14:paraId="4564BAC3" w14:textId="77777777" w:rsidR="00076C1B" w:rsidRPr="00076C1B" w:rsidRDefault="00076C1B" w:rsidP="00076C1B">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4705" w14:paraId="18DC0E4F" w14:textId="77777777" w:rsidTr="00B54705">
        <w:trPr>
          <w:trHeight w:val="355"/>
          <w:jc w:val="center"/>
        </w:trPr>
        <w:tc>
          <w:tcPr>
            <w:tcW w:w="8820" w:type="dxa"/>
            <w:tcBorders>
              <w:top w:val="nil"/>
              <w:left w:val="nil"/>
              <w:bottom w:val="nil"/>
              <w:right w:val="nil"/>
            </w:tcBorders>
            <w:shd w:val="clear" w:color="auto" w:fill="auto"/>
          </w:tcPr>
          <w:p w14:paraId="445DAAF9" w14:textId="77777777" w:rsidR="003D1165" w:rsidRPr="003D1165" w:rsidRDefault="003D1165" w:rsidP="003D1165">
            <w:pPr>
              <w:jc w:val="center"/>
              <w:rPr>
                <w:rFonts w:ascii="Arial" w:hAnsi="Arial"/>
                <w:b/>
                <w:bCs/>
                <w:sz w:val="28"/>
                <w:szCs w:val="28"/>
                <w:u w:val="single"/>
                <w:rtl/>
              </w:rPr>
            </w:pPr>
            <w:bookmarkStart w:id="4" w:name="LawTable_End"/>
            <w:bookmarkStart w:id="5" w:name="PsakDin" w:colFirst="0" w:colLast="0"/>
            <w:bookmarkEnd w:id="0"/>
            <w:bookmarkEnd w:id="4"/>
            <w:r w:rsidRPr="003D1165">
              <w:rPr>
                <w:rFonts w:ascii="Arial" w:hAnsi="Arial"/>
                <w:b/>
                <w:bCs/>
                <w:sz w:val="28"/>
                <w:szCs w:val="28"/>
                <w:u w:val="single"/>
                <w:rtl/>
              </w:rPr>
              <w:t>גזר דין</w:t>
            </w:r>
          </w:p>
          <w:p w14:paraId="5874EE05" w14:textId="77777777" w:rsidR="00B54705" w:rsidRPr="003D1165" w:rsidRDefault="00B54705" w:rsidP="003D1165">
            <w:pPr>
              <w:jc w:val="center"/>
              <w:rPr>
                <w:rFonts w:ascii="Arial" w:hAnsi="Arial"/>
                <w:bCs/>
                <w:sz w:val="28"/>
                <w:szCs w:val="28"/>
                <w:u w:val="single"/>
                <w:rtl/>
              </w:rPr>
            </w:pPr>
          </w:p>
        </w:tc>
      </w:tr>
      <w:bookmarkEnd w:id="5"/>
    </w:tbl>
    <w:p w14:paraId="4D1DB408" w14:textId="77777777" w:rsidR="00B54705" w:rsidRDefault="00B54705" w:rsidP="00B54705">
      <w:pPr>
        <w:spacing w:line="360" w:lineRule="auto"/>
        <w:jc w:val="both"/>
        <w:rPr>
          <w:rFonts w:ascii="Arial" w:hAnsi="Arial"/>
          <w:rtl/>
        </w:rPr>
      </w:pPr>
    </w:p>
    <w:p w14:paraId="07906DC0" w14:textId="77777777" w:rsidR="00B54705" w:rsidRDefault="00B54705" w:rsidP="00B54705">
      <w:pPr>
        <w:spacing w:line="360" w:lineRule="auto"/>
        <w:jc w:val="both"/>
        <w:rPr>
          <w:rFonts w:ascii="Arial" w:hAnsi="Arial"/>
          <w:rtl/>
        </w:rPr>
      </w:pPr>
      <w:bookmarkStart w:id="6" w:name="ABSTRACT_START"/>
      <w:bookmarkEnd w:id="6"/>
      <w:r>
        <w:rPr>
          <w:rFonts w:ascii="Arial" w:hAnsi="Arial" w:hint="cs"/>
          <w:rtl/>
        </w:rPr>
        <w:t xml:space="preserve">ביום 24.1.16 הודה הנאשם בכתב אישום מתוקן, במסגרת הסדר טיעון דיוני ללא הסכמה לעונש, והורשע בעבירה של תיווך בסם מסוכן, לפי </w:t>
      </w:r>
      <w:hyperlink r:id="rId9" w:history="1">
        <w:r w:rsidR="00076C1B" w:rsidRPr="00076C1B">
          <w:rPr>
            <w:rFonts w:ascii="Arial" w:hAnsi="Arial"/>
            <w:color w:val="0000FF"/>
            <w:u w:val="single"/>
            <w:rtl/>
          </w:rPr>
          <w:t>סעיף 14</w:t>
        </w:r>
      </w:hyperlink>
      <w:r>
        <w:rPr>
          <w:rFonts w:ascii="Arial" w:hAnsi="Arial" w:hint="cs"/>
          <w:rtl/>
        </w:rPr>
        <w:t xml:space="preserve"> ל</w:t>
      </w:r>
      <w:hyperlink r:id="rId10" w:history="1">
        <w:r w:rsidR="003D1165" w:rsidRPr="003D1165">
          <w:rPr>
            <w:rFonts w:ascii="Arial" w:hAnsi="Arial"/>
            <w:color w:val="0000FF"/>
            <w:u w:val="single"/>
            <w:rtl/>
          </w:rPr>
          <w:t>פקודת הסמים המסוכנים</w:t>
        </w:r>
      </w:hyperlink>
      <w:r>
        <w:rPr>
          <w:rFonts w:ascii="Arial" w:hAnsi="Arial" w:hint="cs"/>
          <w:rtl/>
        </w:rPr>
        <w:t>.</w:t>
      </w:r>
    </w:p>
    <w:p w14:paraId="4ACF263B" w14:textId="77777777" w:rsidR="00B54705" w:rsidRDefault="00B54705" w:rsidP="00B54705">
      <w:pPr>
        <w:spacing w:line="360" w:lineRule="auto"/>
        <w:jc w:val="both"/>
        <w:rPr>
          <w:rFonts w:ascii="Arial" w:hAnsi="Arial"/>
          <w:rtl/>
        </w:rPr>
      </w:pPr>
      <w:bookmarkStart w:id="7" w:name="ABSTRACT_END"/>
      <w:bookmarkEnd w:id="7"/>
    </w:p>
    <w:p w14:paraId="07FA8A37" w14:textId="77777777" w:rsidR="00B54705" w:rsidRDefault="00B54705" w:rsidP="00B54705">
      <w:pPr>
        <w:spacing w:line="360" w:lineRule="auto"/>
        <w:jc w:val="both"/>
        <w:rPr>
          <w:rFonts w:ascii="Arial" w:hAnsi="Arial"/>
          <w:rtl/>
        </w:rPr>
      </w:pPr>
      <w:r>
        <w:rPr>
          <w:rFonts w:ascii="Arial" w:hAnsi="Arial" w:hint="cs"/>
          <w:rtl/>
        </w:rPr>
        <w:t>בהתאם למוסכם, הופנה הנאשם לשירות המבחן והוגשו בעניינו שלושה תסקירים, שהאחרון שבהם מיום 23.4.17. ביום 25.4.17 טענו הצדדים לעונש, איש כעמדתו:</w:t>
      </w:r>
    </w:p>
    <w:p w14:paraId="31951F39" w14:textId="77777777" w:rsidR="00B54705" w:rsidRDefault="00B54705" w:rsidP="00B54705">
      <w:pPr>
        <w:spacing w:line="360" w:lineRule="auto"/>
        <w:jc w:val="both"/>
        <w:rPr>
          <w:rFonts w:ascii="Arial" w:hAnsi="Arial"/>
          <w:rtl/>
        </w:rPr>
      </w:pPr>
      <w:r>
        <w:rPr>
          <w:rFonts w:ascii="Arial" w:hAnsi="Arial" w:hint="cs"/>
          <w:rtl/>
        </w:rPr>
        <w:t>התביעה עתרה לעונש עיקרי של ארבעה חודשי מאסר, שיכול וירוצו בעבודות שירות אם יימצא הנאשם מתאים לכך, וזאת לאחר שמצאה כי מטעמי שיקום יש לחרוג ממתחם העונש המקובל, המחייב כליאה.</w:t>
      </w:r>
    </w:p>
    <w:p w14:paraId="40DB8CDF" w14:textId="77777777" w:rsidR="00B54705" w:rsidRDefault="00B54705" w:rsidP="00B54705">
      <w:pPr>
        <w:spacing w:line="360" w:lineRule="auto"/>
        <w:jc w:val="both"/>
        <w:rPr>
          <w:rFonts w:ascii="Arial" w:hAnsi="Arial"/>
          <w:rtl/>
        </w:rPr>
      </w:pPr>
      <w:r>
        <w:rPr>
          <w:rFonts w:ascii="Arial" w:hAnsi="Arial" w:hint="cs"/>
          <w:rtl/>
        </w:rPr>
        <w:t>ההגנה עתרה להטיל על הנאשם עונש שעיקרו של"צ, לצד צו מבחן.</w:t>
      </w:r>
    </w:p>
    <w:p w14:paraId="41B82592" w14:textId="77777777" w:rsidR="00B54705" w:rsidRDefault="00B54705" w:rsidP="00B54705">
      <w:pPr>
        <w:spacing w:line="360" w:lineRule="auto"/>
        <w:jc w:val="both"/>
        <w:rPr>
          <w:rFonts w:ascii="Arial" w:hAnsi="Arial"/>
          <w:rtl/>
        </w:rPr>
      </w:pPr>
    </w:p>
    <w:p w14:paraId="508634B8" w14:textId="77777777" w:rsidR="00B54705" w:rsidRPr="009248DA" w:rsidRDefault="00B54705" w:rsidP="00B54705">
      <w:pPr>
        <w:spacing w:line="360" w:lineRule="auto"/>
        <w:jc w:val="both"/>
        <w:rPr>
          <w:rFonts w:ascii="Arial" w:hAnsi="Arial"/>
          <w:b/>
          <w:bCs/>
          <w:u w:val="single"/>
          <w:rtl/>
        </w:rPr>
      </w:pPr>
      <w:r>
        <w:rPr>
          <w:rFonts w:ascii="Arial" w:hAnsi="Arial" w:hint="cs"/>
          <w:b/>
          <w:bCs/>
          <w:u w:val="single"/>
          <w:rtl/>
        </w:rPr>
        <w:t>מעשי הנאשם:</w:t>
      </w:r>
    </w:p>
    <w:p w14:paraId="47A15926" w14:textId="77777777" w:rsidR="00B54705" w:rsidRDefault="00B54705" w:rsidP="00B54705">
      <w:pPr>
        <w:spacing w:line="360" w:lineRule="auto"/>
        <w:jc w:val="both"/>
        <w:rPr>
          <w:rFonts w:ascii="Arial" w:hAnsi="Arial"/>
          <w:rtl/>
        </w:rPr>
      </w:pPr>
      <w:r>
        <w:rPr>
          <w:rFonts w:ascii="Arial" w:hAnsi="Arial" w:hint="cs"/>
          <w:rtl/>
        </w:rPr>
        <w:t>ב-5.11.14 בשעה 21:00 התקשרה לנאשם סוכנת משטרתית סמויה והשניים הסכימו להיפגש ליד מועדון בתל-אביב לשם העברת סם מהנאשם לסוכנת. בפגישתם בפתח המועדון, מסר הנאשם לסוכנת קוקאין במשקל 0.8159 גרם נטו וקיבל ממנה 600 ₪, ובכך עבר את עבירות התיווך המיוחסת לו.</w:t>
      </w:r>
    </w:p>
    <w:p w14:paraId="13E5ECA3" w14:textId="77777777" w:rsidR="00B54705" w:rsidRDefault="00B54705" w:rsidP="00B54705">
      <w:pPr>
        <w:spacing w:line="360" w:lineRule="auto"/>
        <w:jc w:val="both"/>
        <w:rPr>
          <w:rFonts w:ascii="Arial" w:hAnsi="Arial"/>
          <w:rtl/>
        </w:rPr>
      </w:pPr>
    </w:p>
    <w:p w14:paraId="76B3D6EB" w14:textId="77777777" w:rsidR="00B54705" w:rsidRPr="009248DA" w:rsidRDefault="00B54705" w:rsidP="00B54705">
      <w:pPr>
        <w:spacing w:line="360" w:lineRule="auto"/>
        <w:jc w:val="both"/>
        <w:rPr>
          <w:rFonts w:ascii="Arial" w:hAnsi="Arial"/>
          <w:b/>
          <w:bCs/>
          <w:u w:val="single"/>
          <w:rtl/>
        </w:rPr>
      </w:pPr>
      <w:r>
        <w:rPr>
          <w:rFonts w:ascii="Arial" w:hAnsi="Arial" w:hint="cs"/>
          <w:b/>
          <w:bCs/>
          <w:u w:val="single"/>
          <w:rtl/>
        </w:rPr>
        <w:lastRenderedPageBreak/>
        <w:t xml:space="preserve">נסיבות העבירה </w:t>
      </w:r>
      <w:r>
        <w:rPr>
          <w:rFonts w:ascii="Arial" w:hAnsi="Arial"/>
          <w:b/>
          <w:bCs/>
          <w:u w:val="single"/>
          <w:rtl/>
        </w:rPr>
        <w:t>–</w:t>
      </w:r>
      <w:r>
        <w:rPr>
          <w:rFonts w:ascii="Arial" w:hAnsi="Arial" w:hint="cs"/>
          <w:b/>
          <w:bCs/>
          <w:u w:val="single"/>
          <w:rtl/>
        </w:rPr>
        <w:t xml:space="preserve"> קביעת מתחם העונש ההולם:</w:t>
      </w:r>
    </w:p>
    <w:p w14:paraId="6C48EDEE" w14:textId="77777777" w:rsidR="00B54705" w:rsidRDefault="00B54705" w:rsidP="00B54705">
      <w:pPr>
        <w:spacing w:line="360" w:lineRule="auto"/>
        <w:jc w:val="both"/>
        <w:rPr>
          <w:rFonts w:ascii="Arial" w:hAnsi="Arial"/>
          <w:rtl/>
        </w:rPr>
      </w:pPr>
      <w:r>
        <w:rPr>
          <w:rFonts w:ascii="Arial" w:hAnsi="Arial" w:hint="cs"/>
          <w:rtl/>
        </w:rPr>
        <w:t>נסיבות העבירה חמורות, לנוכח מקום מסירת הסם (מועדון), כמות הסם וסוגו. הנאשם מסר לשירות המבחן כי ביצע את המעשה כדי שבתמורה תקיים אתו הסוכנת יחסי מין. אפילו יתקבל הסבר זה, אין בו כדי להקהות את עוקץ החומרה שבמעשה, ואולי אף להוסיף ולהחמירו.</w:t>
      </w:r>
    </w:p>
    <w:p w14:paraId="44DCA757" w14:textId="77777777" w:rsidR="00B54705" w:rsidRDefault="00B54705" w:rsidP="00B54705">
      <w:pPr>
        <w:spacing w:line="360" w:lineRule="auto"/>
        <w:jc w:val="both"/>
        <w:rPr>
          <w:rFonts w:ascii="Arial" w:hAnsi="Arial"/>
          <w:rtl/>
        </w:rPr>
      </w:pPr>
      <w:r>
        <w:rPr>
          <w:rFonts w:ascii="Arial" w:hAnsi="Arial" w:hint="cs"/>
          <w:rtl/>
        </w:rPr>
        <w:t>התביעה הציעה מתחם עונשי מקובל ואף מתון, בין 6 לבין 12 חודשי מאסר בפועל כעונש עיקרי, לנוכח תיקונו של כתב האישום והרשעת הנאשם בתיווך "בלבד". גם כ"מתווך", היה הנאשם חוליה מהותית בשלשלת הפצת הסם, ועמדת התביעה ראויה. מתחם זה ייקבע אפוא כהולם את נסיבות העבירה, לעניין עונש עיקרי.</w:t>
      </w:r>
    </w:p>
    <w:p w14:paraId="600C9363" w14:textId="77777777" w:rsidR="00B54705" w:rsidRDefault="00B54705" w:rsidP="00B54705">
      <w:pPr>
        <w:spacing w:line="360" w:lineRule="auto"/>
        <w:jc w:val="both"/>
        <w:rPr>
          <w:rFonts w:ascii="Arial" w:hAnsi="Arial"/>
          <w:rtl/>
        </w:rPr>
      </w:pPr>
    </w:p>
    <w:p w14:paraId="5D7F348D" w14:textId="77777777" w:rsidR="00B54705" w:rsidRPr="000D4132" w:rsidRDefault="00B54705" w:rsidP="00B54705">
      <w:pPr>
        <w:spacing w:line="360" w:lineRule="auto"/>
        <w:jc w:val="both"/>
        <w:rPr>
          <w:rFonts w:ascii="Arial" w:hAnsi="Arial"/>
          <w:b/>
          <w:bCs/>
          <w:u w:val="single"/>
          <w:rtl/>
        </w:rPr>
      </w:pPr>
      <w:r>
        <w:rPr>
          <w:rFonts w:ascii="Arial" w:hAnsi="Arial" w:hint="cs"/>
          <w:b/>
          <w:bCs/>
          <w:u w:val="single"/>
          <w:rtl/>
        </w:rPr>
        <w:t xml:space="preserve">נסיבות הנאשם </w:t>
      </w:r>
      <w:r>
        <w:rPr>
          <w:rFonts w:ascii="Arial" w:hAnsi="Arial"/>
          <w:b/>
          <w:bCs/>
          <w:u w:val="single"/>
          <w:rtl/>
        </w:rPr>
        <w:t>–</w:t>
      </w:r>
      <w:r>
        <w:rPr>
          <w:rFonts w:ascii="Arial" w:hAnsi="Arial" w:hint="cs"/>
          <w:b/>
          <w:bCs/>
          <w:u w:val="single"/>
          <w:rtl/>
        </w:rPr>
        <w:t xml:space="preserve"> חריגה מהמתחם מטעמי שיקום:</w:t>
      </w:r>
    </w:p>
    <w:p w14:paraId="740FDB2A" w14:textId="77777777" w:rsidR="00B54705" w:rsidRPr="008639C5" w:rsidRDefault="00B54705" w:rsidP="00B54705">
      <w:pPr>
        <w:pStyle w:val="a9"/>
        <w:numPr>
          <w:ilvl w:val="0"/>
          <w:numId w:val="1"/>
        </w:numPr>
        <w:spacing w:line="360" w:lineRule="auto"/>
        <w:jc w:val="both"/>
        <w:rPr>
          <w:rFonts w:ascii="Arial" w:hAnsi="Arial"/>
          <w:rtl/>
        </w:rPr>
      </w:pPr>
      <w:r w:rsidRPr="008639C5">
        <w:rPr>
          <w:rFonts w:ascii="Arial" w:hAnsi="Arial" w:hint="cs"/>
          <w:rtl/>
        </w:rPr>
        <w:t>הנאשם, יליד 1965, כבן 52 כיום, אב לשלושה ילדים, בקשר זוגי מזה שש שנים (אחרי גירושין), מנהל ובעלים של סנדלריה, נטול עבר פלילי וללא תיקים נוספים הפתוחים נגדו.</w:t>
      </w:r>
    </w:p>
    <w:p w14:paraId="1F57C136" w14:textId="77777777" w:rsidR="00B54705" w:rsidRPr="008639C5" w:rsidRDefault="00B54705" w:rsidP="00B54705">
      <w:pPr>
        <w:pStyle w:val="a9"/>
        <w:numPr>
          <w:ilvl w:val="0"/>
          <w:numId w:val="1"/>
        </w:numPr>
        <w:spacing w:line="360" w:lineRule="auto"/>
        <w:jc w:val="both"/>
        <w:rPr>
          <w:rFonts w:ascii="Arial" w:hAnsi="Arial"/>
          <w:rtl/>
        </w:rPr>
      </w:pPr>
      <w:r w:rsidRPr="008639C5">
        <w:rPr>
          <w:rFonts w:ascii="Arial" w:hAnsi="Arial" w:hint="cs"/>
          <w:rtl/>
        </w:rPr>
        <w:t>שירות המבחן מצא, כי הסתבכותו של הנאשם נבעה ממשבר קשה שעבר</w:t>
      </w:r>
      <w:r>
        <w:rPr>
          <w:rFonts w:ascii="Arial" w:hAnsi="Arial" w:hint="cs"/>
          <w:rtl/>
        </w:rPr>
        <w:t xml:space="preserve"> בעקבות גירושיו ושגרר ערעור כללי של מסגרות חייו. משבר זה </w:t>
      </w:r>
      <w:r w:rsidRPr="008639C5">
        <w:rPr>
          <w:rFonts w:ascii="Arial" w:hAnsi="Arial" w:hint="cs"/>
          <w:rtl/>
        </w:rPr>
        <w:t>הוביל את הנאשם לניהול אורח חיים חסר-אחריות, שהתאפיין בבליינות לא-מבוקרת, בהתערות בחברה שולית, בקשרים מיניים מזדמנים ותמורת תשלום</w:t>
      </w:r>
      <w:r>
        <w:rPr>
          <w:rFonts w:ascii="Arial" w:hAnsi="Arial" w:hint="cs"/>
          <w:rtl/>
        </w:rPr>
        <w:t>,</w:t>
      </w:r>
      <w:r w:rsidRPr="008639C5">
        <w:rPr>
          <w:rFonts w:ascii="Arial" w:hAnsi="Arial" w:hint="cs"/>
          <w:rtl/>
        </w:rPr>
        <w:t xml:space="preserve"> ובשימוש בסמים.</w:t>
      </w:r>
    </w:p>
    <w:p w14:paraId="049BFE47" w14:textId="77777777" w:rsidR="00B54705" w:rsidRPr="008639C5" w:rsidRDefault="00B54705" w:rsidP="00B54705">
      <w:pPr>
        <w:pStyle w:val="a9"/>
        <w:numPr>
          <w:ilvl w:val="0"/>
          <w:numId w:val="1"/>
        </w:numPr>
        <w:spacing w:line="360" w:lineRule="auto"/>
        <w:jc w:val="both"/>
        <w:rPr>
          <w:rFonts w:ascii="Arial" w:hAnsi="Arial"/>
          <w:rtl/>
        </w:rPr>
      </w:pPr>
      <w:r w:rsidRPr="008639C5">
        <w:rPr>
          <w:rFonts w:ascii="Arial" w:hAnsi="Arial" w:hint="cs"/>
          <w:rtl/>
        </w:rPr>
        <w:t>אם בתחילה התקשה הנאשם להפנים את מידת הסתבכותו ואחריותו</w:t>
      </w:r>
      <w:r>
        <w:rPr>
          <w:rFonts w:ascii="Arial" w:hAnsi="Arial" w:hint="cs"/>
          <w:rtl/>
        </w:rPr>
        <w:t xml:space="preserve"> להתנהלותו</w:t>
      </w:r>
      <w:r w:rsidRPr="008639C5">
        <w:rPr>
          <w:rFonts w:ascii="Arial" w:hAnsi="Arial" w:hint="cs"/>
          <w:rtl/>
        </w:rPr>
        <w:t xml:space="preserve">, ואף המשיך לצרוך סמים, הרי מעידים שני תסקירי ההמשך על התגייסות מלאה וכנה של הנאשם לשיקום חייו בכל תחום: הנאשם חדל משימוש בסמים ונרתם להליך טיפולי מוצלח בו הוא מתמיד; החל לתת משקל ראוי לחובותיו כאב וכבן-זוג; </w:t>
      </w:r>
      <w:r>
        <w:rPr>
          <w:rFonts w:ascii="Arial" w:hAnsi="Arial" w:hint="cs"/>
          <w:rtl/>
        </w:rPr>
        <w:t>ו</w:t>
      </w:r>
      <w:r w:rsidRPr="008639C5">
        <w:rPr>
          <w:rFonts w:ascii="Arial" w:hAnsi="Arial" w:hint="cs"/>
          <w:rtl/>
        </w:rPr>
        <w:t>ממשיך לקדם את עסקו ופועל בהצלחה לייצוב מצבו הכלכלי ולטיפול בחובות-עבר</w:t>
      </w:r>
      <w:r>
        <w:rPr>
          <w:rFonts w:ascii="Arial" w:hAnsi="Arial" w:hint="cs"/>
          <w:rtl/>
        </w:rPr>
        <w:t>.</w:t>
      </w:r>
      <w:r w:rsidRPr="008639C5">
        <w:rPr>
          <w:rFonts w:ascii="Arial" w:hAnsi="Arial" w:hint="cs"/>
          <w:rtl/>
        </w:rPr>
        <w:t xml:space="preserve"> ככלל, מדווח שירות המבחן על שינוי מהותי בתפיסותיו ובדרכי התנהלותו של הנאשם, שהשכיל לתפוס בשתי ידיים את הזדמנות הטיפול והשיקום שניתנה לו ומפיק ממנה את המיטב</w:t>
      </w:r>
      <w:r>
        <w:rPr>
          <w:rFonts w:ascii="Arial" w:hAnsi="Arial" w:hint="cs"/>
          <w:rtl/>
        </w:rPr>
        <w:t xml:space="preserve"> </w:t>
      </w:r>
      <w:r>
        <w:rPr>
          <w:rFonts w:ascii="Arial" w:hAnsi="Arial"/>
          <w:rtl/>
        </w:rPr>
        <w:t>–</w:t>
      </w:r>
      <w:r>
        <w:rPr>
          <w:rFonts w:ascii="Arial" w:hAnsi="Arial" w:hint="cs"/>
          <w:rtl/>
        </w:rPr>
        <w:t xml:space="preserve"> כפי שתיאר גם בדברו לעונש</w:t>
      </w:r>
      <w:r w:rsidRPr="008639C5">
        <w:rPr>
          <w:rFonts w:ascii="Arial" w:hAnsi="Arial" w:hint="cs"/>
          <w:rtl/>
        </w:rPr>
        <w:t>.</w:t>
      </w:r>
    </w:p>
    <w:p w14:paraId="6F768C1C" w14:textId="77777777" w:rsidR="00B54705" w:rsidRDefault="00B54705" w:rsidP="00B54705">
      <w:pPr>
        <w:pStyle w:val="a9"/>
        <w:numPr>
          <w:ilvl w:val="0"/>
          <w:numId w:val="1"/>
        </w:numPr>
        <w:spacing w:line="360" w:lineRule="auto"/>
        <w:jc w:val="both"/>
        <w:rPr>
          <w:rFonts w:ascii="Arial" w:hAnsi="Arial"/>
        </w:rPr>
      </w:pPr>
      <w:r w:rsidRPr="008639C5">
        <w:rPr>
          <w:rFonts w:ascii="Arial" w:hAnsi="Arial" w:hint="cs"/>
          <w:rtl/>
        </w:rPr>
        <w:t>לנוכח כל אלה, ומחמת החשש שמאסר בעבודות שירות יוביל לפגיעה עסקית-כלכלית בנאשם, ממליץ שירות המבחן על ענישה שיש עמה קונקרטיות וטיפול גם-יחד: של"צ ולחילופין מאסר בעבודות שירות לתקופה קצרה, לצד צו מבחן.</w:t>
      </w:r>
    </w:p>
    <w:p w14:paraId="31E9EF5B" w14:textId="77777777" w:rsidR="00B54705" w:rsidRDefault="00B54705" w:rsidP="00B54705">
      <w:pPr>
        <w:pStyle w:val="a9"/>
        <w:numPr>
          <w:ilvl w:val="0"/>
          <w:numId w:val="1"/>
        </w:numPr>
        <w:spacing w:line="360" w:lineRule="auto"/>
        <w:jc w:val="both"/>
        <w:rPr>
          <w:rFonts w:ascii="Arial" w:hAnsi="Arial"/>
        </w:rPr>
      </w:pPr>
      <w:r>
        <w:rPr>
          <w:rFonts w:ascii="Arial" w:hAnsi="Arial" w:hint="cs"/>
          <w:rtl/>
        </w:rPr>
        <w:t>ענייננו אפוא בנאשם, שהסיכוי לשיקומו טוב מאוד, ואף ניתן לראות בהתקדמותו עד-עתה שיקום בפועל, המצדיק חריגה ממתחם העונש ההולם (</w:t>
      </w:r>
      <w:hyperlink r:id="rId11" w:history="1">
        <w:r w:rsidR="003D1165" w:rsidRPr="003D1165">
          <w:rPr>
            <w:rFonts w:ascii="Arial" w:hAnsi="Arial"/>
            <w:color w:val="0000FF"/>
            <w:u w:val="single"/>
            <w:rtl/>
          </w:rPr>
          <w:t>ע"פ 1903/13</w:t>
        </w:r>
      </w:hyperlink>
      <w:r w:rsidRPr="008639C5">
        <w:rPr>
          <w:rFonts w:ascii="Arial" w:hAnsi="Arial"/>
          <w:rtl/>
        </w:rPr>
        <w:t xml:space="preserve"> </w:t>
      </w:r>
      <w:r w:rsidRPr="008639C5">
        <w:rPr>
          <w:rFonts w:ascii="Arial" w:hAnsi="Arial"/>
          <w:b/>
          <w:bCs/>
          <w:rtl/>
        </w:rPr>
        <w:t>עיאשה נ' מ.י.</w:t>
      </w:r>
      <w:r w:rsidRPr="008639C5">
        <w:rPr>
          <w:rFonts w:ascii="Arial" w:hAnsi="Arial"/>
          <w:rtl/>
        </w:rPr>
        <w:t xml:space="preserve"> (2013); </w:t>
      </w:r>
      <w:hyperlink r:id="rId12" w:history="1">
        <w:r w:rsidR="003D1165" w:rsidRPr="003D1165">
          <w:rPr>
            <w:rFonts w:ascii="Arial" w:hAnsi="Arial"/>
            <w:color w:val="0000FF"/>
            <w:u w:val="single"/>
            <w:rtl/>
          </w:rPr>
          <w:t>רע"פ 7683/13</w:t>
        </w:r>
      </w:hyperlink>
      <w:r w:rsidRPr="008639C5">
        <w:rPr>
          <w:rFonts w:ascii="Arial" w:hAnsi="Arial"/>
          <w:rtl/>
        </w:rPr>
        <w:t xml:space="preserve"> </w:t>
      </w:r>
      <w:r w:rsidRPr="008639C5">
        <w:rPr>
          <w:rFonts w:ascii="Arial" w:hAnsi="Arial"/>
          <w:b/>
          <w:bCs/>
          <w:rtl/>
        </w:rPr>
        <w:t>פרלמן נ' מ.י.</w:t>
      </w:r>
      <w:r w:rsidRPr="008639C5">
        <w:rPr>
          <w:rFonts w:ascii="Arial" w:hAnsi="Arial"/>
          <w:rtl/>
        </w:rPr>
        <w:t xml:space="preserve"> (2014)).</w:t>
      </w:r>
      <w:r w:rsidRPr="008639C5">
        <w:rPr>
          <w:rFonts w:ascii="Arial" w:hAnsi="Arial" w:hint="cs"/>
          <w:rtl/>
        </w:rPr>
        <w:t xml:space="preserve"> </w:t>
      </w:r>
      <w:r>
        <w:rPr>
          <w:rFonts w:ascii="Arial" w:hAnsi="Arial" w:hint="cs"/>
          <w:rtl/>
        </w:rPr>
        <w:t>ואכן, גם התביעה בהגינותה מסכימה כי יש לאפשר לנאשם ליהנות מפרי מאמציו עד-עתה ולהמשיך בשיקום חייו.</w:t>
      </w:r>
    </w:p>
    <w:p w14:paraId="76904029" w14:textId="77777777" w:rsidR="00B54705" w:rsidRDefault="00B54705" w:rsidP="00B54705">
      <w:pPr>
        <w:pStyle w:val="a9"/>
        <w:numPr>
          <w:ilvl w:val="0"/>
          <w:numId w:val="1"/>
        </w:numPr>
        <w:spacing w:line="360" w:lineRule="auto"/>
        <w:jc w:val="both"/>
        <w:rPr>
          <w:rFonts w:ascii="Arial" w:hAnsi="Arial"/>
        </w:rPr>
      </w:pPr>
      <w:r>
        <w:rPr>
          <w:rFonts w:ascii="Arial" w:hAnsi="Arial" w:hint="cs"/>
          <w:rtl/>
        </w:rPr>
        <w:t>החשש לפגיעה בעסקו של הנאשם, שניהולו כרוך במאמצי השיקום, מצטרף ליתר הנסיבות ויצדיק קיצורו של עונש מאסר בעבודות שירות; עם-זאת, אין הצדקה אמיתית לוויתור כולל על ענישה ראויה של מאסר, ולו בעבודות שירות לתקופה קצרה.</w:t>
      </w:r>
    </w:p>
    <w:p w14:paraId="16FA5763" w14:textId="77777777" w:rsidR="00B54705" w:rsidRDefault="00B54705" w:rsidP="00B54705">
      <w:pPr>
        <w:pStyle w:val="a9"/>
        <w:numPr>
          <w:ilvl w:val="0"/>
          <w:numId w:val="1"/>
        </w:numPr>
        <w:spacing w:line="360" w:lineRule="auto"/>
        <w:jc w:val="both"/>
        <w:rPr>
          <w:rFonts w:ascii="Arial" w:hAnsi="Arial"/>
        </w:rPr>
      </w:pPr>
      <w:r>
        <w:rPr>
          <w:rFonts w:ascii="Arial" w:hAnsi="Arial" w:hint="cs"/>
          <w:rtl/>
        </w:rPr>
        <w:t>שיקומו של הנאשם מאפשר להקל גם ברכיבי הענישה הנלווים.</w:t>
      </w:r>
    </w:p>
    <w:p w14:paraId="1CF7396C" w14:textId="77777777" w:rsidR="00B54705" w:rsidRDefault="00B54705" w:rsidP="00B54705">
      <w:pPr>
        <w:spacing w:line="360" w:lineRule="auto"/>
        <w:jc w:val="both"/>
        <w:rPr>
          <w:rFonts w:ascii="Arial" w:hAnsi="Arial"/>
          <w:rtl/>
        </w:rPr>
      </w:pPr>
    </w:p>
    <w:p w14:paraId="5362B083" w14:textId="77777777" w:rsidR="00B54705" w:rsidRPr="004507D7" w:rsidRDefault="00B54705" w:rsidP="00B54705">
      <w:pPr>
        <w:spacing w:line="360" w:lineRule="auto"/>
        <w:jc w:val="both"/>
        <w:rPr>
          <w:rFonts w:ascii="Arial" w:hAnsi="Arial"/>
          <w:b/>
          <w:bCs/>
          <w:u w:val="single"/>
          <w:rtl/>
        </w:rPr>
      </w:pPr>
      <w:r>
        <w:rPr>
          <w:rFonts w:ascii="Arial" w:hAnsi="Arial" w:hint="cs"/>
          <w:b/>
          <w:bCs/>
          <w:u w:val="single"/>
          <w:rtl/>
        </w:rPr>
        <w:t>סוף-דבר, אני גוזר על הנאשם את העונשים הבאים:</w:t>
      </w:r>
    </w:p>
    <w:p w14:paraId="0C1A67FC" w14:textId="77777777" w:rsidR="00B54705" w:rsidRDefault="00B54705" w:rsidP="00B54705">
      <w:pPr>
        <w:spacing w:line="360" w:lineRule="auto"/>
        <w:ind w:left="720" w:hanging="720"/>
        <w:jc w:val="both"/>
        <w:rPr>
          <w:rtl/>
        </w:rPr>
      </w:pPr>
    </w:p>
    <w:p w14:paraId="6C13F294" w14:textId="77777777" w:rsidR="00B54705" w:rsidRDefault="00B54705" w:rsidP="00B54705">
      <w:pPr>
        <w:spacing w:line="360" w:lineRule="auto"/>
        <w:ind w:left="720" w:hanging="720"/>
        <w:jc w:val="both"/>
        <w:rPr>
          <w:rtl/>
        </w:rPr>
      </w:pPr>
      <w:r>
        <w:rPr>
          <w:rFonts w:hint="cs"/>
          <w:rtl/>
        </w:rPr>
        <w:t>א.</w:t>
      </w:r>
      <w:r>
        <w:rPr>
          <w:rtl/>
        </w:rPr>
        <w:tab/>
      </w:r>
      <w:r>
        <w:rPr>
          <w:rFonts w:hint="cs"/>
          <w:rtl/>
        </w:rPr>
        <w:t>חודשיים מאסר, שירוצו בעבודות שירות החל מיום 12.9.17 בבית האבות "משען" ברמת אפעל. הנאשם מוזהר כי אי-ציות להוראות הממונה על עבודות השירות, או הממונים במקום העבודה, יוביל להפסקת העבודות ולריצוי יתרת המאסר בכליאה. אני מתיר עריכת בדיקות סמים לנאשם, ומזהיר אותו כי גם מציאת עקבות סם בבדיקה, או ניסיון לעוות תוצאות בדיקה, יובילו להפסקת העבודות ולריצוי יתרת המאסר בכליאה. תשומת לב הנאשם ליתר ההוראות בחוות-דעתו של הממונה;</w:t>
      </w:r>
    </w:p>
    <w:p w14:paraId="544E1545" w14:textId="77777777" w:rsidR="00B54705" w:rsidRDefault="00B54705" w:rsidP="00B54705">
      <w:pPr>
        <w:spacing w:line="360" w:lineRule="auto"/>
        <w:ind w:left="720" w:hanging="720"/>
        <w:jc w:val="both"/>
        <w:rPr>
          <w:rtl/>
        </w:rPr>
      </w:pPr>
    </w:p>
    <w:p w14:paraId="5292DB7F" w14:textId="77777777" w:rsidR="00B54705" w:rsidRDefault="00B54705" w:rsidP="00B54705">
      <w:pPr>
        <w:spacing w:line="360" w:lineRule="auto"/>
        <w:ind w:left="720" w:hanging="720"/>
        <w:jc w:val="both"/>
        <w:rPr>
          <w:rtl/>
        </w:rPr>
      </w:pPr>
      <w:r>
        <w:rPr>
          <w:rFonts w:hint="cs"/>
          <w:rtl/>
        </w:rPr>
        <w:t>ב.</w:t>
      </w:r>
      <w:r>
        <w:rPr>
          <w:rFonts w:hint="cs"/>
          <w:rtl/>
        </w:rPr>
        <w:tab/>
        <w:t>6 חודשי מאסר על-תנאי למשך שנתיים מהיום, שלא יעבור עבירת סמים מסוג פשע;</w:t>
      </w:r>
    </w:p>
    <w:p w14:paraId="66FB7266" w14:textId="77777777" w:rsidR="00B54705" w:rsidRDefault="00B54705" w:rsidP="00B54705">
      <w:pPr>
        <w:spacing w:line="360" w:lineRule="auto"/>
        <w:ind w:left="720" w:hanging="720"/>
        <w:jc w:val="both"/>
        <w:rPr>
          <w:rtl/>
        </w:rPr>
      </w:pPr>
    </w:p>
    <w:p w14:paraId="57609609" w14:textId="77777777" w:rsidR="00B54705" w:rsidRDefault="00B54705" w:rsidP="00B54705">
      <w:pPr>
        <w:spacing w:line="360" w:lineRule="auto"/>
        <w:ind w:left="720" w:hanging="720"/>
        <w:jc w:val="both"/>
        <w:rPr>
          <w:rtl/>
        </w:rPr>
      </w:pPr>
      <w:r>
        <w:rPr>
          <w:rFonts w:hint="cs"/>
          <w:rtl/>
        </w:rPr>
        <w:t>ג.</w:t>
      </w:r>
      <w:r>
        <w:rPr>
          <w:rtl/>
        </w:rPr>
        <w:tab/>
      </w:r>
      <w:r>
        <w:rPr>
          <w:rFonts w:hint="cs"/>
          <w:rtl/>
        </w:rPr>
        <w:t>קנס בסך 600 ₪, או שבוע מאסר תמורתו. הקנס ישולם עד ליום 1.8.17 ויועבר לזכות קרן הסמים;</w:t>
      </w:r>
    </w:p>
    <w:p w14:paraId="2F68AF16" w14:textId="77777777" w:rsidR="00B54705" w:rsidRDefault="00B54705" w:rsidP="00B54705">
      <w:pPr>
        <w:spacing w:line="360" w:lineRule="auto"/>
        <w:ind w:left="720" w:hanging="720"/>
        <w:jc w:val="both"/>
        <w:rPr>
          <w:rtl/>
        </w:rPr>
      </w:pPr>
    </w:p>
    <w:p w14:paraId="5E11B456" w14:textId="77777777" w:rsidR="00B54705" w:rsidRDefault="00B54705" w:rsidP="00B54705">
      <w:pPr>
        <w:spacing w:line="360" w:lineRule="auto"/>
        <w:ind w:left="720" w:hanging="720"/>
        <w:jc w:val="both"/>
        <w:rPr>
          <w:rtl/>
        </w:rPr>
      </w:pPr>
      <w:r>
        <w:rPr>
          <w:rFonts w:hint="cs"/>
          <w:rtl/>
        </w:rPr>
        <w:t>ד.</w:t>
      </w:r>
      <w:r>
        <w:rPr>
          <w:rtl/>
        </w:rPr>
        <w:tab/>
      </w:r>
      <w:r>
        <w:rPr>
          <w:rFonts w:hint="cs"/>
          <w:rtl/>
        </w:rPr>
        <w:t>התחייבות בסך 2,000 ₪ למשך שנתיים מהיום, שלא יעבור עבירת סמים מכל סוג. לא תיחתם ההתחייבות, ייאסר הנאשם למשך חודש ימים;</w:t>
      </w:r>
    </w:p>
    <w:p w14:paraId="68401CCF" w14:textId="77777777" w:rsidR="00B54705" w:rsidRDefault="00B54705" w:rsidP="00B54705">
      <w:pPr>
        <w:spacing w:line="360" w:lineRule="auto"/>
        <w:ind w:left="720" w:hanging="720"/>
        <w:jc w:val="both"/>
        <w:rPr>
          <w:rtl/>
        </w:rPr>
      </w:pPr>
    </w:p>
    <w:p w14:paraId="7E9E1BAB" w14:textId="77777777" w:rsidR="00B54705" w:rsidRDefault="00B54705" w:rsidP="00B54705">
      <w:pPr>
        <w:spacing w:line="360" w:lineRule="auto"/>
        <w:ind w:left="720" w:hanging="720"/>
        <w:jc w:val="both"/>
        <w:rPr>
          <w:rtl/>
        </w:rPr>
      </w:pPr>
      <w:r>
        <w:rPr>
          <w:rFonts w:hint="cs"/>
          <w:rtl/>
        </w:rPr>
        <w:t>ה.</w:t>
      </w:r>
      <w:r>
        <w:rPr>
          <w:rtl/>
        </w:rPr>
        <w:tab/>
      </w:r>
      <w:r>
        <w:rPr>
          <w:rFonts w:hint="cs"/>
          <w:rtl/>
        </w:rPr>
        <w:t>3 חודשי פסילה על-תנאי למשך שנתיים מהיום, מלנהוג או לקבל רישיון נהיגה;</w:t>
      </w:r>
    </w:p>
    <w:p w14:paraId="12987399" w14:textId="77777777" w:rsidR="00B54705" w:rsidRDefault="00B54705" w:rsidP="00B54705">
      <w:pPr>
        <w:spacing w:line="360" w:lineRule="auto"/>
        <w:ind w:left="720" w:hanging="720"/>
        <w:jc w:val="both"/>
        <w:rPr>
          <w:rtl/>
        </w:rPr>
      </w:pPr>
    </w:p>
    <w:p w14:paraId="7D976D73" w14:textId="77777777" w:rsidR="00B54705" w:rsidRDefault="00B54705" w:rsidP="00B54705">
      <w:pPr>
        <w:spacing w:line="360" w:lineRule="auto"/>
        <w:ind w:left="720" w:hanging="720"/>
        <w:jc w:val="both"/>
        <w:rPr>
          <w:rtl/>
        </w:rPr>
      </w:pPr>
      <w:r>
        <w:rPr>
          <w:rFonts w:hint="cs"/>
          <w:rtl/>
        </w:rPr>
        <w:t>ו.</w:t>
      </w:r>
      <w:r>
        <w:rPr>
          <w:rtl/>
        </w:rPr>
        <w:tab/>
      </w:r>
      <w:r>
        <w:rPr>
          <w:rFonts w:hint="cs"/>
          <w:rtl/>
        </w:rPr>
        <w:t>פיקוח שירות המבחן למשך שנה מהיום, בתנאי מפורש של המשך הטיפול ביחידה לטיפול בהתמכרויות בעיריית יהוד כל זמן ששירות המבחן ימצא צורך בכך. הנאשם מוזהר כי אי שיתוף-פעולה עם שירות המבחן יוביל להשבת התיק לבית המשפט ולהטלת עונש חלופי נוסף;</w:t>
      </w:r>
    </w:p>
    <w:p w14:paraId="354ECFD0" w14:textId="77777777" w:rsidR="00B54705" w:rsidRDefault="00B54705" w:rsidP="00B54705">
      <w:pPr>
        <w:spacing w:line="360" w:lineRule="auto"/>
        <w:ind w:left="720" w:hanging="720"/>
        <w:jc w:val="both"/>
        <w:rPr>
          <w:rtl/>
        </w:rPr>
      </w:pPr>
    </w:p>
    <w:p w14:paraId="2B871BEE" w14:textId="77777777" w:rsidR="00B54705" w:rsidRPr="003C46E0" w:rsidRDefault="00B54705" w:rsidP="00B54705">
      <w:pPr>
        <w:spacing w:line="360" w:lineRule="auto"/>
        <w:ind w:left="720" w:hanging="720"/>
        <w:jc w:val="both"/>
        <w:rPr>
          <w:b/>
          <w:bCs/>
          <w:u w:val="single"/>
          <w:rtl/>
        </w:rPr>
      </w:pPr>
      <w:r>
        <w:rPr>
          <w:rFonts w:hint="cs"/>
          <w:b/>
          <w:bCs/>
          <w:u w:val="single"/>
          <w:rtl/>
        </w:rPr>
        <w:t>הוראות נלוות:</w:t>
      </w:r>
    </w:p>
    <w:p w14:paraId="79474A3B" w14:textId="77777777" w:rsidR="00B54705" w:rsidRDefault="00B54705" w:rsidP="00B54705">
      <w:pPr>
        <w:spacing w:line="360" w:lineRule="auto"/>
        <w:jc w:val="both"/>
        <w:rPr>
          <w:rtl/>
        </w:rPr>
      </w:pPr>
      <w:r>
        <w:rPr>
          <w:rFonts w:hint="cs"/>
          <w:rtl/>
        </w:rPr>
        <w:t>א.</w:t>
      </w:r>
      <w:r>
        <w:rPr>
          <w:rtl/>
        </w:rPr>
        <w:tab/>
      </w:r>
      <w:r>
        <w:rPr>
          <w:rFonts w:hint="cs"/>
          <w:rtl/>
        </w:rPr>
        <w:t>מוצגים: הסם יושמד, וכל מוצג אחר פרט לכסף יועבר להכרעה פרטנית של קצין משטרה;</w:t>
      </w:r>
    </w:p>
    <w:p w14:paraId="3EF7B24B" w14:textId="77777777" w:rsidR="00B54705" w:rsidRDefault="00B54705" w:rsidP="00B54705">
      <w:pPr>
        <w:spacing w:line="360" w:lineRule="auto"/>
        <w:jc w:val="both"/>
        <w:rPr>
          <w:rtl/>
        </w:rPr>
      </w:pPr>
      <w:r>
        <w:rPr>
          <w:rFonts w:hint="cs"/>
          <w:rtl/>
        </w:rPr>
        <w:t>ב.</w:t>
      </w:r>
      <w:r>
        <w:rPr>
          <w:rtl/>
        </w:rPr>
        <w:tab/>
      </w:r>
      <w:r>
        <w:rPr>
          <w:rFonts w:hint="cs"/>
          <w:rtl/>
        </w:rPr>
        <w:t>ערבויות: ככל שהפקיד הנאשם פיקדון בתיק המשטרה, יושב לו;</w:t>
      </w:r>
    </w:p>
    <w:p w14:paraId="3F7FC0A3" w14:textId="77777777" w:rsidR="00B54705" w:rsidRPr="00B05847" w:rsidRDefault="00B54705" w:rsidP="00B54705">
      <w:pPr>
        <w:spacing w:line="360" w:lineRule="auto"/>
        <w:jc w:val="both"/>
        <w:rPr>
          <w:rtl/>
        </w:rPr>
      </w:pPr>
      <w:r>
        <w:rPr>
          <w:rFonts w:hint="cs"/>
          <w:rtl/>
        </w:rPr>
        <w:t>ג.</w:t>
      </w:r>
      <w:r>
        <w:rPr>
          <w:rtl/>
        </w:rPr>
        <w:tab/>
      </w:r>
      <w:r>
        <w:rPr>
          <w:rFonts w:hint="cs"/>
          <w:rtl/>
        </w:rPr>
        <w:t>עותקי גזר הדין יישלחו לשירות המבחן ולממונה על עבודות השירות;</w:t>
      </w:r>
    </w:p>
    <w:p w14:paraId="230DFB71" w14:textId="77777777" w:rsidR="00B54705" w:rsidRDefault="00B54705" w:rsidP="00B54705">
      <w:pPr>
        <w:bidi w:val="0"/>
      </w:pPr>
    </w:p>
    <w:p w14:paraId="6A73E9CD" w14:textId="77777777" w:rsidR="00B54705" w:rsidRPr="00B05847" w:rsidRDefault="00B54705" w:rsidP="00B54705">
      <w:pPr>
        <w:spacing w:line="360" w:lineRule="auto"/>
        <w:jc w:val="both"/>
        <w:rPr>
          <w:rtl/>
        </w:rPr>
      </w:pPr>
      <w:r>
        <w:rPr>
          <w:rFonts w:hint="cs"/>
          <w:rtl/>
        </w:rPr>
        <w:t>זכות ערעור תוך 45 יום מהיום לבית המשפט המחוזי.</w:t>
      </w:r>
    </w:p>
    <w:p w14:paraId="7BDD4FCF" w14:textId="77777777" w:rsidR="00B54705" w:rsidRPr="003D1165" w:rsidRDefault="003D1165" w:rsidP="00B54705">
      <w:pPr>
        <w:spacing w:line="360" w:lineRule="auto"/>
        <w:jc w:val="both"/>
        <w:rPr>
          <w:color w:val="FFFFFF"/>
          <w:sz w:val="2"/>
          <w:szCs w:val="2"/>
          <w:rtl/>
        </w:rPr>
      </w:pPr>
      <w:r w:rsidRPr="003D1165">
        <w:rPr>
          <w:color w:val="FFFFFF"/>
          <w:sz w:val="2"/>
          <w:szCs w:val="2"/>
          <w:rtl/>
        </w:rPr>
        <w:t>5129371</w:t>
      </w:r>
    </w:p>
    <w:p w14:paraId="744BBF71" w14:textId="77777777" w:rsidR="00B54705" w:rsidRPr="00250B83" w:rsidRDefault="003D1165" w:rsidP="00B54705">
      <w:pPr>
        <w:rPr>
          <w:rtl/>
        </w:rPr>
      </w:pPr>
      <w:r w:rsidRPr="003D1165">
        <w:rPr>
          <w:rFonts w:ascii="Arial" w:hAnsi="Arial"/>
          <w:color w:val="FFFFFF"/>
          <w:sz w:val="2"/>
          <w:szCs w:val="2"/>
          <w:rtl/>
        </w:rPr>
        <w:t>54678313</w:t>
      </w:r>
      <w:r>
        <w:rPr>
          <w:rFonts w:ascii="Arial" w:hAnsi="Arial"/>
          <w:rtl/>
        </w:rPr>
        <w:t xml:space="preserve">ניתן היום,  י' תמוז תשע"ז, 04 יולי 2017, בהעדר הצדדים. </w:t>
      </w:r>
    </w:p>
    <w:p w14:paraId="18FC4D03" w14:textId="77777777" w:rsidR="00B54705" w:rsidRPr="00250B83" w:rsidRDefault="00B54705" w:rsidP="00B5470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2223226A" w14:textId="77777777" w:rsidR="00B54705" w:rsidRPr="00250B83" w:rsidRDefault="00B54705" w:rsidP="00B54705">
      <w:pPr>
        <w:jc w:val="center"/>
        <w:rPr>
          <w:rFonts w:ascii="Arial" w:hAnsi="Arial"/>
          <w:rtl/>
        </w:rPr>
      </w:pPr>
    </w:p>
    <w:p w14:paraId="38EC0A6F" w14:textId="77777777" w:rsidR="00B54705" w:rsidRPr="00250B83" w:rsidRDefault="00B54705" w:rsidP="00B54705">
      <w:pPr>
        <w:rPr>
          <w:rtl/>
        </w:rPr>
      </w:pPr>
    </w:p>
    <w:p w14:paraId="52591A91" w14:textId="77777777" w:rsidR="00B54705" w:rsidRDefault="00B54705" w:rsidP="00B54705">
      <w:pPr>
        <w:pStyle w:val="a3"/>
        <w:jc w:val="center"/>
        <w:rPr>
          <w:rtl/>
        </w:rPr>
      </w:pPr>
    </w:p>
    <w:p w14:paraId="3F5D0923" w14:textId="77777777" w:rsidR="002D7B2F" w:rsidRPr="003D1165" w:rsidRDefault="002D7B2F" w:rsidP="003D1165">
      <w:pPr>
        <w:keepNext/>
        <w:rPr>
          <w:rFonts w:ascii="David" w:hAnsi="David"/>
          <w:color w:val="000000"/>
          <w:sz w:val="22"/>
          <w:szCs w:val="22"/>
          <w:rtl/>
        </w:rPr>
      </w:pPr>
    </w:p>
    <w:p w14:paraId="6F346319" w14:textId="77777777" w:rsidR="003D1165" w:rsidRPr="003D1165" w:rsidRDefault="003D1165" w:rsidP="003D1165">
      <w:pPr>
        <w:keepNext/>
        <w:rPr>
          <w:rFonts w:ascii="David" w:hAnsi="David"/>
          <w:color w:val="000000"/>
          <w:sz w:val="22"/>
          <w:szCs w:val="22"/>
          <w:rtl/>
        </w:rPr>
      </w:pPr>
      <w:r w:rsidRPr="003D1165">
        <w:rPr>
          <w:rFonts w:ascii="David" w:hAnsi="David"/>
          <w:color w:val="000000"/>
          <w:sz w:val="22"/>
          <w:szCs w:val="22"/>
          <w:rtl/>
        </w:rPr>
        <w:t>עידו דרויאן גמליאל 54678313</w:t>
      </w:r>
    </w:p>
    <w:p w14:paraId="47CA98B0" w14:textId="77777777" w:rsidR="003D1165" w:rsidRDefault="003D1165" w:rsidP="003D1165">
      <w:r w:rsidRPr="003D1165">
        <w:rPr>
          <w:color w:val="000000"/>
          <w:rtl/>
        </w:rPr>
        <w:t>נוסח מסמך זה כפוף לשינויי ניסוח ועריכה</w:t>
      </w:r>
    </w:p>
    <w:p w14:paraId="42507346" w14:textId="77777777" w:rsidR="003D1165" w:rsidRDefault="003D1165" w:rsidP="003D1165">
      <w:pPr>
        <w:rPr>
          <w:rtl/>
        </w:rPr>
      </w:pPr>
    </w:p>
    <w:p w14:paraId="23632E61" w14:textId="77777777" w:rsidR="003D1165" w:rsidRDefault="003D1165" w:rsidP="003D1165">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r w:rsidR="00820FA2">
        <w:rPr>
          <w:rFonts w:hint="cs"/>
          <w:color w:val="0000FF"/>
          <w:u w:val="single"/>
          <w:rtl/>
        </w:rPr>
        <w:t xml:space="preserve"> </w:t>
      </w:r>
    </w:p>
    <w:p w14:paraId="2EF712EF" w14:textId="77777777" w:rsidR="003D1165" w:rsidRPr="003D1165" w:rsidRDefault="003D1165" w:rsidP="003D1165">
      <w:pPr>
        <w:jc w:val="center"/>
        <w:rPr>
          <w:color w:val="0000FF"/>
          <w:u w:val="single"/>
        </w:rPr>
      </w:pPr>
    </w:p>
    <w:sectPr w:rsidR="003D1165" w:rsidRPr="003D1165" w:rsidSect="003D1165">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32E89" w14:textId="77777777" w:rsidR="005C0BE2" w:rsidRDefault="005C0BE2" w:rsidP="0097135F">
      <w:r>
        <w:separator/>
      </w:r>
    </w:p>
  </w:endnote>
  <w:endnote w:type="continuationSeparator" w:id="0">
    <w:p w14:paraId="4ACCCE95" w14:textId="77777777" w:rsidR="005C0BE2" w:rsidRDefault="005C0BE2" w:rsidP="0097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FA7F7" w14:textId="77777777" w:rsidR="003D1165" w:rsidRDefault="003D1165" w:rsidP="003D11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0B8B7E" w14:textId="77777777" w:rsidR="004D1F61" w:rsidRPr="003D1165" w:rsidRDefault="003D1165" w:rsidP="003D11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EB33D" w14:textId="77777777" w:rsidR="003D1165" w:rsidRDefault="003D1165" w:rsidP="003D11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6160">
      <w:rPr>
        <w:rFonts w:ascii="FrankRuehl" w:hAnsi="FrankRuehl" w:cs="FrankRuehl"/>
        <w:noProof/>
        <w:rtl/>
      </w:rPr>
      <w:t>1</w:t>
    </w:r>
    <w:r>
      <w:rPr>
        <w:rFonts w:ascii="FrankRuehl" w:hAnsi="FrankRuehl" w:cs="FrankRuehl"/>
        <w:rtl/>
      </w:rPr>
      <w:fldChar w:fldCharType="end"/>
    </w:r>
  </w:p>
  <w:p w14:paraId="640F2E5C" w14:textId="77777777" w:rsidR="004D1F61" w:rsidRPr="003D1165" w:rsidRDefault="003D1165" w:rsidP="003D11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033A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9168A" w14:textId="77777777" w:rsidR="005C0BE2" w:rsidRDefault="005C0BE2" w:rsidP="0097135F">
      <w:r>
        <w:separator/>
      </w:r>
    </w:p>
  </w:footnote>
  <w:footnote w:type="continuationSeparator" w:id="0">
    <w:p w14:paraId="5021D7C5" w14:textId="77777777" w:rsidR="005C0BE2" w:rsidRDefault="005C0BE2" w:rsidP="00971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80D89" w14:textId="77777777" w:rsidR="003D1165" w:rsidRPr="003D1165" w:rsidRDefault="003D1165" w:rsidP="003D11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40810-08-15</w:t>
    </w:r>
    <w:r>
      <w:rPr>
        <w:rFonts w:ascii="David" w:hAnsi="David"/>
        <w:color w:val="000000"/>
        <w:sz w:val="22"/>
        <w:szCs w:val="22"/>
        <w:rtl/>
      </w:rPr>
      <w:tab/>
      <w:t xml:space="preserve"> מדינת ישראל נ' נסים שלום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03578" w14:textId="77777777" w:rsidR="003D1165" w:rsidRPr="003D1165" w:rsidRDefault="003D1165" w:rsidP="003D116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40810-08-15</w:t>
    </w:r>
    <w:r>
      <w:rPr>
        <w:rFonts w:ascii="David" w:hAnsi="David"/>
        <w:color w:val="000000"/>
        <w:sz w:val="22"/>
        <w:szCs w:val="22"/>
        <w:rtl/>
      </w:rPr>
      <w:tab/>
      <w:t xml:space="preserve"> מדינת ישראל נ' נסים שלום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7C66"/>
    <w:multiLevelType w:val="hybridMultilevel"/>
    <w:tmpl w:val="2CE83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684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4705"/>
    <w:rsid w:val="00076C1B"/>
    <w:rsid w:val="000D044D"/>
    <w:rsid w:val="002B6160"/>
    <w:rsid w:val="002D7B2F"/>
    <w:rsid w:val="003D1165"/>
    <w:rsid w:val="004D1F61"/>
    <w:rsid w:val="00584E89"/>
    <w:rsid w:val="005C0BE2"/>
    <w:rsid w:val="005F26F3"/>
    <w:rsid w:val="00820FA2"/>
    <w:rsid w:val="0097135F"/>
    <w:rsid w:val="00B54705"/>
    <w:rsid w:val="00BA16A0"/>
    <w:rsid w:val="00CE7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013919A"/>
  <w15:chartTrackingRefBased/>
  <w15:docId w15:val="{C6305125-8A28-46C0-A506-392E18C2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470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54705"/>
    <w:pPr>
      <w:tabs>
        <w:tab w:val="center" w:pos="4153"/>
        <w:tab w:val="right" w:pos="8306"/>
      </w:tabs>
    </w:pPr>
  </w:style>
  <w:style w:type="character" w:customStyle="1" w:styleId="a4">
    <w:name w:val="כותרת עליונה תו"/>
    <w:link w:val="a3"/>
    <w:rsid w:val="00B54705"/>
    <w:rPr>
      <w:rFonts w:ascii="Times New Roman" w:eastAsia="Times New Roman" w:hAnsi="Times New Roman" w:cs="David"/>
      <w:sz w:val="24"/>
      <w:szCs w:val="24"/>
    </w:rPr>
  </w:style>
  <w:style w:type="paragraph" w:styleId="a5">
    <w:name w:val="footer"/>
    <w:basedOn w:val="a"/>
    <w:link w:val="a6"/>
    <w:rsid w:val="00B54705"/>
    <w:pPr>
      <w:tabs>
        <w:tab w:val="center" w:pos="4153"/>
        <w:tab w:val="right" w:pos="8306"/>
      </w:tabs>
    </w:pPr>
  </w:style>
  <w:style w:type="character" w:customStyle="1" w:styleId="a6">
    <w:name w:val="כותרת תחתונה תו"/>
    <w:link w:val="a5"/>
    <w:rsid w:val="00B54705"/>
    <w:rPr>
      <w:rFonts w:ascii="Times New Roman" w:eastAsia="Times New Roman" w:hAnsi="Times New Roman" w:cs="David"/>
      <w:sz w:val="24"/>
      <w:szCs w:val="24"/>
    </w:rPr>
  </w:style>
  <w:style w:type="table" w:styleId="a7">
    <w:name w:val="Table Grid"/>
    <w:basedOn w:val="a1"/>
    <w:rsid w:val="00B5470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54705"/>
  </w:style>
  <w:style w:type="paragraph" w:styleId="a9">
    <w:name w:val="List Paragraph"/>
    <w:basedOn w:val="a"/>
    <w:qFormat/>
    <w:rsid w:val="00B54705"/>
    <w:pPr>
      <w:ind w:left="720"/>
      <w:contextualSpacing/>
    </w:pPr>
  </w:style>
  <w:style w:type="character" w:styleId="Hyperlink">
    <w:name w:val="Hyperlink"/>
    <w:rsid w:val="003D1165"/>
    <w:rPr>
      <w:color w:val="0563C1"/>
      <w:u w:val="single"/>
    </w:rPr>
  </w:style>
  <w:style w:type="character" w:styleId="aa">
    <w:name w:val="Unresolved Mention"/>
    <w:rsid w:val="003D11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4"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case/10459128"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824952"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4"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4418</Characters>
  <Application>Microsoft Office Word</Application>
  <DocSecurity>0</DocSecurity>
  <Lines>36</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5291</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4063344</vt:i4>
      </vt:variant>
      <vt:variant>
        <vt:i4>15</vt:i4>
      </vt:variant>
      <vt:variant>
        <vt:i4>0</vt:i4>
      </vt:variant>
      <vt:variant>
        <vt:i4>5</vt:i4>
      </vt:variant>
      <vt:variant>
        <vt:lpwstr>http://www.nevo.co.il/case/10459128</vt:lpwstr>
      </vt:variant>
      <vt:variant>
        <vt:lpwstr/>
      </vt:variant>
      <vt:variant>
        <vt:i4>4128893</vt:i4>
      </vt:variant>
      <vt:variant>
        <vt:i4>12</vt:i4>
      </vt:variant>
      <vt:variant>
        <vt:i4>0</vt:i4>
      </vt:variant>
      <vt:variant>
        <vt:i4>5</vt:i4>
      </vt:variant>
      <vt:variant>
        <vt:lpwstr>http://www.nevo.co.il/case/6824952</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40810</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נסים שלום לוי</vt:lpwstr>
  </property>
  <property fmtid="{D5CDD505-2E9C-101B-9397-08002B2CF9AE}" pid="10" name="LAWYER">
    <vt:lpwstr>בן משה;בר טוב וחבר;לב וחזות</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20170704</vt:lpwstr>
  </property>
  <property fmtid="{D5CDD505-2E9C-101B-9397-08002B2CF9AE}" pid="14" name="TYPE_N_DATE">
    <vt:lpwstr>38020170704</vt:lpwstr>
  </property>
  <property fmtid="{D5CDD505-2E9C-101B-9397-08002B2CF9AE}" pid="15" name="CASESLISTTMP1">
    <vt:lpwstr>6824952;10459128</vt:lpwstr>
  </property>
  <property fmtid="{D5CDD505-2E9C-101B-9397-08002B2CF9AE}" pid="16" name="WORDNUMPAGES">
    <vt:lpwstr>4</vt:lpwstr>
  </property>
  <property fmtid="{D5CDD505-2E9C-101B-9397-08002B2CF9AE}" pid="17" name="TYPE_ABS_DATE">
    <vt:lpwstr>380020170704</vt:lpwstr>
  </property>
  <property fmtid="{D5CDD505-2E9C-101B-9397-08002B2CF9AE}" pid="18" name="ISABSTRACT">
    <vt:lpwstr>Y</vt:lpwstr>
  </property>
  <property fmtid="{D5CDD505-2E9C-101B-9397-08002B2CF9AE}" pid="19" name="LAWLISTTMP1">
    <vt:lpwstr>4216/014</vt:lpwstr>
  </property>
</Properties>
</file>