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188"/>
        <w:gridCol w:w="4424"/>
        <w:gridCol w:w="108"/>
      </w:tblGrid>
      <w:tr w:rsidR="007E1F52" w:rsidRPr="00166CA4" w14:paraId="1D11C4B2" w14:textId="77777777" w:rsidTr="00166CA4">
        <w:trPr>
          <w:trHeight w:hRule="exact" w:val="418"/>
          <w:jc w:val="center"/>
        </w:trPr>
        <w:tc>
          <w:tcPr>
            <w:tcW w:w="8720" w:type="dxa"/>
            <w:gridSpan w:val="3"/>
          </w:tcPr>
          <w:p w14:paraId="1EA0E22E" w14:textId="77777777" w:rsidR="007E1F52" w:rsidRPr="00166CA4" w:rsidRDefault="007E1F52" w:rsidP="00166CA4">
            <w:pPr>
              <w:pStyle w:val="a4"/>
              <w:tabs>
                <w:tab w:val="clear" w:pos="8306"/>
              </w:tabs>
              <w:jc w:val="center"/>
              <w:rPr>
                <w:rFonts w:ascii="Tahoma" w:hAnsi="Tahoma" w:cs="Tahoma"/>
                <w:b/>
                <w:bCs/>
                <w:color w:val="000080"/>
                <w:sz w:val="20"/>
                <w:szCs w:val="20"/>
                <w:rtl/>
              </w:rPr>
            </w:pPr>
            <w:bookmarkStart w:id="0" w:name="LastJudge"/>
            <w:r w:rsidRPr="00166CA4">
              <w:rPr>
                <w:rFonts w:ascii="Tahoma" w:hAnsi="Tahoma" w:cs="Tahoma"/>
                <w:b/>
                <w:bCs/>
                <w:color w:val="000080"/>
                <w:sz w:val="20"/>
                <w:szCs w:val="20"/>
                <w:rtl/>
              </w:rPr>
              <w:t>בית משפט השלום בטבריה</w:t>
            </w:r>
          </w:p>
        </w:tc>
      </w:tr>
      <w:tr w:rsidR="007E1F52" w:rsidRPr="00166CA4" w14:paraId="06EC98A0" w14:textId="77777777" w:rsidTr="00166CA4">
        <w:trPr>
          <w:gridAfter w:val="1"/>
          <w:wAfter w:w="108" w:type="dxa"/>
          <w:trHeight w:val="360"/>
          <w:jc w:val="center"/>
        </w:trPr>
        <w:tc>
          <w:tcPr>
            <w:tcW w:w="4188" w:type="dxa"/>
          </w:tcPr>
          <w:p w14:paraId="4DB3AD2A" w14:textId="77777777" w:rsidR="007E1F52" w:rsidRPr="00166CA4" w:rsidRDefault="007E1F52" w:rsidP="00166CA4">
            <w:pPr>
              <w:rPr>
                <w:b/>
                <w:bCs/>
                <w:rtl/>
              </w:rPr>
            </w:pPr>
            <w:r w:rsidRPr="00166CA4">
              <w:rPr>
                <w:rFonts w:hint="cs"/>
                <w:b/>
                <w:bCs/>
                <w:rtl/>
              </w:rPr>
              <w:t>בפני כב' ה</w:t>
            </w:r>
            <w:r w:rsidRPr="00166CA4">
              <w:rPr>
                <w:b/>
                <w:bCs/>
                <w:rtl/>
              </w:rPr>
              <w:t>שופט יריב נבון</w:t>
            </w:r>
          </w:p>
        </w:tc>
        <w:tc>
          <w:tcPr>
            <w:tcW w:w="4424" w:type="dxa"/>
          </w:tcPr>
          <w:p w14:paraId="01070F8F" w14:textId="77777777" w:rsidR="007E1F52" w:rsidRPr="00166CA4" w:rsidRDefault="007E1F52" w:rsidP="00166CA4">
            <w:pPr>
              <w:jc w:val="right"/>
              <w:rPr>
                <w:rtl/>
              </w:rPr>
            </w:pPr>
            <w:r w:rsidRPr="00166CA4">
              <w:rPr>
                <w:rtl/>
              </w:rPr>
              <w:t>ת"פ</w:t>
            </w:r>
            <w:r w:rsidRPr="00166CA4">
              <w:rPr>
                <w:rFonts w:hint="cs"/>
                <w:rtl/>
              </w:rPr>
              <w:t xml:space="preserve"> </w:t>
            </w:r>
            <w:r w:rsidRPr="00166CA4">
              <w:rPr>
                <w:rtl/>
              </w:rPr>
              <w:t>46401-08-15</w:t>
            </w:r>
            <w:r w:rsidRPr="00166CA4">
              <w:rPr>
                <w:rFonts w:hint="cs"/>
                <w:rtl/>
              </w:rPr>
              <w:t xml:space="preserve"> </w:t>
            </w:r>
            <w:r w:rsidRPr="00166CA4">
              <w:rPr>
                <w:rtl/>
              </w:rPr>
              <w:t>מדינת ישראל נ' אמארה</w:t>
            </w:r>
          </w:p>
        </w:tc>
      </w:tr>
      <w:tr w:rsidR="007E1F52" w:rsidRPr="00166CA4" w14:paraId="79031144" w14:textId="77777777" w:rsidTr="00166CA4">
        <w:trPr>
          <w:gridAfter w:val="1"/>
          <w:wAfter w:w="108" w:type="dxa"/>
          <w:trHeight w:val="360"/>
          <w:jc w:val="center"/>
        </w:trPr>
        <w:tc>
          <w:tcPr>
            <w:tcW w:w="4188" w:type="dxa"/>
          </w:tcPr>
          <w:p w14:paraId="3DA7E407" w14:textId="77777777" w:rsidR="007E1F52" w:rsidRPr="00166CA4" w:rsidRDefault="007E1F52" w:rsidP="00166CA4">
            <w:pPr>
              <w:rPr>
                <w:rtl/>
              </w:rPr>
            </w:pPr>
          </w:p>
        </w:tc>
        <w:tc>
          <w:tcPr>
            <w:tcW w:w="4424" w:type="dxa"/>
          </w:tcPr>
          <w:p w14:paraId="6CE3C4D5" w14:textId="77777777" w:rsidR="007E1F52" w:rsidRPr="00166CA4" w:rsidRDefault="007E1F52" w:rsidP="00166CA4">
            <w:pPr>
              <w:jc w:val="right"/>
              <w:rPr>
                <w:b/>
                <w:bCs/>
                <w:rtl/>
              </w:rPr>
            </w:pPr>
            <w:r w:rsidRPr="00166CA4">
              <w:rPr>
                <w:b/>
                <w:bCs/>
                <w:rtl/>
              </w:rPr>
              <w:t>27 פברואר 2017</w:t>
            </w:r>
          </w:p>
        </w:tc>
      </w:tr>
    </w:tbl>
    <w:p w14:paraId="05BA6182" w14:textId="77777777" w:rsidR="007E1F52" w:rsidRPr="00166CA4" w:rsidRDefault="007E1F52" w:rsidP="007E1F52">
      <w:pPr>
        <w:pStyle w:val="a4"/>
        <w:rPr>
          <w:rFonts w:ascii="Tahoma" w:hAnsi="Tahoma" w:cs="Tahoma"/>
          <w:b/>
          <w:bCs/>
          <w:color w:val="000080"/>
          <w:sz w:val="20"/>
          <w:szCs w:val="20"/>
          <w:rtl/>
        </w:rPr>
      </w:pPr>
    </w:p>
    <w:p w14:paraId="5A3B58D2" w14:textId="77777777" w:rsidR="007E1F52" w:rsidRPr="00166CA4" w:rsidRDefault="007E1F52" w:rsidP="007E1F52">
      <w:pPr>
        <w:spacing w:line="360" w:lineRule="auto"/>
        <w:rPr>
          <w:rtl/>
        </w:rPr>
      </w:pPr>
    </w:p>
    <w:tbl>
      <w:tblPr>
        <w:bidiVisual/>
        <w:tblW w:w="0" w:type="auto"/>
        <w:jc w:val="center"/>
        <w:tblLook w:val="0000" w:firstRow="0" w:lastRow="0" w:firstColumn="0" w:lastColumn="0" w:noHBand="0" w:noVBand="0"/>
      </w:tblPr>
      <w:tblGrid>
        <w:gridCol w:w="3973"/>
        <w:gridCol w:w="1071"/>
        <w:gridCol w:w="3676"/>
      </w:tblGrid>
      <w:tr w:rsidR="007E1F52" w:rsidRPr="00166CA4" w14:paraId="5D58A7AA" w14:textId="77777777" w:rsidTr="00166CA4">
        <w:trPr>
          <w:trHeight w:val="337"/>
          <w:jc w:val="center"/>
        </w:trPr>
        <w:tc>
          <w:tcPr>
            <w:tcW w:w="3973" w:type="dxa"/>
          </w:tcPr>
          <w:p w14:paraId="31CB4AA7" w14:textId="77777777" w:rsidR="007E1F52" w:rsidRPr="00166CA4" w:rsidRDefault="007E1F52" w:rsidP="00166CA4">
            <w:pPr>
              <w:rPr>
                <w:rFonts w:ascii="Times New Roman" w:hAnsi="Times New Roman"/>
                <w:sz w:val="26"/>
                <w:szCs w:val="26"/>
                <w:rtl/>
              </w:rPr>
            </w:pPr>
            <w:r w:rsidRPr="00166CA4">
              <w:rPr>
                <w:rFonts w:hint="cs"/>
                <w:sz w:val="26"/>
                <w:szCs w:val="26"/>
                <w:rtl/>
              </w:rPr>
              <w:t>בעניין:</w:t>
            </w:r>
          </w:p>
        </w:tc>
        <w:tc>
          <w:tcPr>
            <w:tcW w:w="1071" w:type="dxa"/>
          </w:tcPr>
          <w:p w14:paraId="5EFBC4C1" w14:textId="77777777" w:rsidR="007E1F52" w:rsidRPr="00166CA4" w:rsidRDefault="007E1F52" w:rsidP="00166CA4">
            <w:pPr>
              <w:pStyle w:val="a4"/>
              <w:jc w:val="both"/>
              <w:rPr>
                <w:sz w:val="26"/>
                <w:szCs w:val="26"/>
                <w:rtl/>
              </w:rPr>
            </w:pPr>
          </w:p>
        </w:tc>
        <w:tc>
          <w:tcPr>
            <w:tcW w:w="3676" w:type="dxa"/>
          </w:tcPr>
          <w:p w14:paraId="7BB80304" w14:textId="77777777" w:rsidR="007E1F52" w:rsidRPr="00166CA4" w:rsidRDefault="007E1F52" w:rsidP="00166CA4">
            <w:pPr>
              <w:pStyle w:val="a4"/>
              <w:jc w:val="right"/>
              <w:rPr>
                <w:rtl/>
              </w:rPr>
            </w:pPr>
          </w:p>
        </w:tc>
      </w:tr>
    </w:tbl>
    <w:p w14:paraId="2D24FE4C" w14:textId="77777777" w:rsidR="007E1F52" w:rsidRPr="00166CA4" w:rsidRDefault="007E1F52" w:rsidP="007E1F52">
      <w:pPr>
        <w:rPr>
          <w:vanish/>
        </w:rPr>
      </w:pPr>
    </w:p>
    <w:tbl>
      <w:tblPr>
        <w:bidiVisual/>
        <w:tblW w:w="8802" w:type="dxa"/>
        <w:tblInd w:w="-28" w:type="dxa"/>
        <w:tblLayout w:type="fixed"/>
        <w:tblLook w:val="01E0" w:firstRow="1" w:lastRow="1" w:firstColumn="1" w:lastColumn="1" w:noHBand="0" w:noVBand="0"/>
      </w:tblPr>
      <w:tblGrid>
        <w:gridCol w:w="4680"/>
        <w:gridCol w:w="4122"/>
      </w:tblGrid>
      <w:tr w:rsidR="007E1F52" w:rsidRPr="00166CA4" w14:paraId="6BC284C5" w14:textId="77777777" w:rsidTr="00166CA4">
        <w:tc>
          <w:tcPr>
            <w:tcW w:w="4680" w:type="dxa"/>
            <w:shd w:val="clear" w:color="auto" w:fill="auto"/>
          </w:tcPr>
          <w:p w14:paraId="7F3C85C5" w14:textId="77777777" w:rsidR="007E1F52" w:rsidRPr="00166CA4" w:rsidRDefault="007E1F52" w:rsidP="00166CA4">
            <w:bookmarkStart w:id="1" w:name="FirstAppellant"/>
            <w:r w:rsidRPr="00166CA4">
              <w:rPr>
                <w:rFonts w:ascii="Times New Roman" w:eastAsia="Times New Roman" w:hAnsi="Times New Roman" w:cs="Times New Roman"/>
                <w:rtl/>
              </w:rPr>
              <w:t xml:space="preserve">     </w:t>
            </w:r>
            <w:r w:rsidRPr="00166CA4">
              <w:rPr>
                <w:rFonts w:ascii="Times New Roman" w:eastAsia="Times New Roman" w:hAnsi="Times New Roman" w:hint="cs"/>
                <w:sz w:val="26"/>
                <w:szCs w:val="26"/>
                <w:rtl/>
              </w:rPr>
              <w:t xml:space="preserve"> </w:t>
            </w:r>
            <w:r w:rsidRPr="00166CA4">
              <w:rPr>
                <w:rFonts w:ascii="Times New Roman" w:eastAsia="Times New Roman" w:hAnsi="Times New Roman" w:hint="cs"/>
                <w:rtl/>
              </w:rPr>
              <w:t>מדינת ישראל</w:t>
            </w:r>
          </w:p>
          <w:p w14:paraId="4FE4C070" w14:textId="77777777" w:rsidR="007E1F52" w:rsidRPr="00166CA4" w:rsidRDefault="007E1F52" w:rsidP="00166CA4">
            <w:pPr>
              <w:ind w:left="26"/>
              <w:rPr>
                <w:rFonts w:ascii="Times New Roman" w:eastAsia="Times New Roman" w:hAnsi="Times New Roman"/>
                <w:sz w:val="26"/>
                <w:szCs w:val="26"/>
                <w:rtl/>
              </w:rPr>
            </w:pPr>
          </w:p>
        </w:tc>
        <w:tc>
          <w:tcPr>
            <w:tcW w:w="4122" w:type="dxa"/>
            <w:shd w:val="clear" w:color="auto" w:fill="auto"/>
          </w:tcPr>
          <w:p w14:paraId="15B77BDB" w14:textId="77777777" w:rsidR="007E1F52" w:rsidRPr="00166CA4" w:rsidRDefault="007E1F52" w:rsidP="00166CA4">
            <w:pPr>
              <w:rPr>
                <w:rFonts w:ascii="Times New Roman" w:eastAsia="Times New Roman" w:hAnsi="Times New Roman"/>
                <w:sz w:val="26"/>
                <w:szCs w:val="26"/>
                <w:rtl/>
              </w:rPr>
            </w:pPr>
          </w:p>
          <w:p w14:paraId="3B173B01" w14:textId="77777777" w:rsidR="007E1F52" w:rsidRPr="00166CA4" w:rsidRDefault="007E1F52" w:rsidP="00166CA4">
            <w:pPr>
              <w:rPr>
                <w:rFonts w:ascii="Times New Roman" w:eastAsia="Times New Roman" w:hAnsi="Times New Roman"/>
                <w:sz w:val="26"/>
                <w:szCs w:val="26"/>
                <w:rtl/>
              </w:rPr>
            </w:pPr>
          </w:p>
          <w:p w14:paraId="053F62EB" w14:textId="77777777" w:rsidR="007E1F52" w:rsidRPr="00166CA4" w:rsidRDefault="007E1F52" w:rsidP="00166CA4">
            <w:pPr>
              <w:jc w:val="right"/>
              <w:rPr>
                <w:rFonts w:ascii="Times New Roman" w:eastAsia="Times New Roman" w:hAnsi="Times New Roman"/>
                <w:sz w:val="26"/>
                <w:szCs w:val="26"/>
                <w:rtl/>
              </w:rPr>
            </w:pPr>
            <w:r w:rsidRPr="00166CA4">
              <w:rPr>
                <w:rFonts w:ascii="Times New Roman" w:eastAsia="Times New Roman" w:hAnsi="Times New Roman" w:hint="cs"/>
                <w:sz w:val="26"/>
                <w:szCs w:val="26"/>
                <w:rtl/>
              </w:rPr>
              <w:t>ה</w:t>
            </w:r>
            <w:r w:rsidRPr="00166CA4">
              <w:rPr>
                <w:rFonts w:ascii="Times New Roman" w:eastAsia="Times New Roman" w:hAnsi="Times New Roman" w:hint="cs"/>
                <w:rtl/>
              </w:rPr>
              <w:t>מאשימה</w:t>
            </w:r>
          </w:p>
        </w:tc>
      </w:tr>
      <w:bookmarkEnd w:id="1"/>
      <w:tr w:rsidR="007E1F52" w:rsidRPr="00166CA4" w14:paraId="24DBA562" w14:textId="77777777" w:rsidTr="00166CA4">
        <w:tc>
          <w:tcPr>
            <w:tcW w:w="8802" w:type="dxa"/>
            <w:gridSpan w:val="2"/>
            <w:shd w:val="clear" w:color="auto" w:fill="auto"/>
          </w:tcPr>
          <w:p w14:paraId="206C6AA3" w14:textId="77777777" w:rsidR="007E1F52" w:rsidRPr="00166CA4" w:rsidRDefault="007E1F52" w:rsidP="00166CA4">
            <w:pPr>
              <w:jc w:val="both"/>
              <w:rPr>
                <w:rFonts w:ascii="Arial" w:eastAsia="Times New Roman" w:hAnsi="Arial"/>
                <w:sz w:val="26"/>
                <w:szCs w:val="26"/>
                <w:rtl/>
              </w:rPr>
            </w:pPr>
          </w:p>
          <w:p w14:paraId="7A43A66F" w14:textId="77777777" w:rsidR="007E1F52" w:rsidRPr="00166CA4" w:rsidRDefault="007E1F52" w:rsidP="00166CA4">
            <w:pPr>
              <w:jc w:val="center"/>
              <w:rPr>
                <w:rFonts w:ascii="Arial" w:eastAsia="Times New Roman" w:hAnsi="Arial"/>
                <w:sz w:val="26"/>
                <w:szCs w:val="26"/>
                <w:rtl/>
              </w:rPr>
            </w:pPr>
            <w:r w:rsidRPr="00166CA4">
              <w:rPr>
                <w:rFonts w:ascii="Arial" w:eastAsia="Times New Roman" w:hAnsi="Arial"/>
                <w:sz w:val="26"/>
                <w:szCs w:val="26"/>
                <w:rtl/>
              </w:rPr>
              <w:t>נגד</w:t>
            </w:r>
          </w:p>
          <w:p w14:paraId="1054EB82" w14:textId="77777777" w:rsidR="007E1F52" w:rsidRPr="00166CA4" w:rsidRDefault="007E1F52" w:rsidP="00166CA4">
            <w:pPr>
              <w:jc w:val="center"/>
              <w:rPr>
                <w:rFonts w:ascii="Arial" w:eastAsia="Times New Roman" w:hAnsi="Arial"/>
                <w:sz w:val="26"/>
                <w:szCs w:val="26"/>
              </w:rPr>
            </w:pPr>
          </w:p>
        </w:tc>
      </w:tr>
      <w:tr w:rsidR="007E1F52" w:rsidRPr="00166CA4" w14:paraId="24874FA2" w14:textId="77777777" w:rsidTr="00166CA4">
        <w:tc>
          <w:tcPr>
            <w:tcW w:w="4680" w:type="dxa"/>
            <w:shd w:val="clear" w:color="auto" w:fill="auto"/>
          </w:tcPr>
          <w:p w14:paraId="19645B33" w14:textId="77777777" w:rsidR="007E1F52" w:rsidRPr="00166CA4" w:rsidRDefault="007E1F52" w:rsidP="00166CA4">
            <w:r w:rsidRPr="00166CA4">
              <w:rPr>
                <w:rFonts w:ascii="Times New Roman" w:eastAsia="Times New Roman" w:hAnsi="Times New Roman" w:cs="Times New Roman"/>
                <w:rtl/>
              </w:rPr>
              <w:t xml:space="preserve">     </w:t>
            </w:r>
            <w:r w:rsidRPr="00166CA4">
              <w:rPr>
                <w:rFonts w:ascii="Times New Roman" w:eastAsia="Times New Roman" w:hAnsi="Times New Roman" w:hint="cs"/>
                <w:sz w:val="26"/>
                <w:szCs w:val="26"/>
                <w:rtl/>
              </w:rPr>
              <w:t xml:space="preserve"> </w:t>
            </w:r>
            <w:r w:rsidRPr="00166CA4">
              <w:rPr>
                <w:rFonts w:ascii="Times New Roman" w:eastAsia="Times New Roman" w:hAnsi="Times New Roman" w:hint="cs"/>
                <w:rtl/>
              </w:rPr>
              <w:t>עדנאן אמארה</w:t>
            </w:r>
          </w:p>
          <w:p w14:paraId="3A0B68A7" w14:textId="77777777" w:rsidR="007E1F52" w:rsidRPr="00166CA4" w:rsidRDefault="007E1F52" w:rsidP="00166CA4">
            <w:pPr>
              <w:ind w:left="26"/>
              <w:rPr>
                <w:rFonts w:ascii="Times New Roman" w:eastAsia="Times New Roman" w:hAnsi="Times New Roman"/>
                <w:sz w:val="26"/>
                <w:szCs w:val="26"/>
                <w:rtl/>
              </w:rPr>
            </w:pPr>
          </w:p>
        </w:tc>
        <w:tc>
          <w:tcPr>
            <w:tcW w:w="4122" w:type="dxa"/>
            <w:shd w:val="clear" w:color="auto" w:fill="auto"/>
          </w:tcPr>
          <w:p w14:paraId="62BAA030" w14:textId="77777777" w:rsidR="007E1F52" w:rsidRPr="00166CA4" w:rsidRDefault="007E1F52" w:rsidP="00166CA4">
            <w:pPr>
              <w:jc w:val="right"/>
              <w:rPr>
                <w:rFonts w:ascii="Times New Roman" w:eastAsia="Times New Roman" w:hAnsi="Times New Roman"/>
                <w:sz w:val="26"/>
                <w:szCs w:val="26"/>
                <w:rtl/>
              </w:rPr>
            </w:pPr>
          </w:p>
          <w:p w14:paraId="2CA04341" w14:textId="77777777" w:rsidR="007E1F52" w:rsidRPr="00166CA4" w:rsidRDefault="007E1F52" w:rsidP="00166CA4">
            <w:pPr>
              <w:jc w:val="right"/>
              <w:rPr>
                <w:rFonts w:ascii="Times New Roman" w:eastAsia="Times New Roman" w:hAnsi="Times New Roman"/>
                <w:sz w:val="26"/>
                <w:szCs w:val="26"/>
                <w:rtl/>
              </w:rPr>
            </w:pPr>
          </w:p>
          <w:p w14:paraId="1B40EB15" w14:textId="77777777" w:rsidR="007E1F52" w:rsidRPr="00166CA4" w:rsidRDefault="007E1F52" w:rsidP="00166CA4">
            <w:pPr>
              <w:jc w:val="right"/>
              <w:rPr>
                <w:rFonts w:ascii="Times New Roman" w:eastAsia="Times New Roman" w:hAnsi="Times New Roman"/>
                <w:sz w:val="26"/>
                <w:szCs w:val="26"/>
                <w:rtl/>
              </w:rPr>
            </w:pPr>
            <w:r w:rsidRPr="00166CA4">
              <w:rPr>
                <w:rFonts w:ascii="Times New Roman" w:eastAsia="Times New Roman" w:hAnsi="Times New Roman" w:hint="cs"/>
                <w:sz w:val="26"/>
                <w:szCs w:val="26"/>
                <w:rtl/>
              </w:rPr>
              <w:t>הנאשם</w:t>
            </w:r>
          </w:p>
        </w:tc>
      </w:tr>
    </w:tbl>
    <w:p w14:paraId="7606CCDE" w14:textId="77777777" w:rsidR="007E1F52" w:rsidRPr="00166CA4" w:rsidRDefault="007E1F52" w:rsidP="007E1F52"/>
    <w:p w14:paraId="7DEE6ABD" w14:textId="77777777" w:rsidR="007E1F52" w:rsidRPr="00166CA4" w:rsidRDefault="007E1F52" w:rsidP="007E1F52">
      <w:pPr>
        <w:spacing w:line="360" w:lineRule="auto"/>
        <w:jc w:val="both"/>
        <w:rPr>
          <w:sz w:val="6"/>
          <w:szCs w:val="6"/>
          <w:rtl/>
        </w:rPr>
      </w:pPr>
      <w:r w:rsidRPr="00166CA4">
        <w:rPr>
          <w:sz w:val="6"/>
          <w:szCs w:val="6"/>
          <w:rtl/>
        </w:rPr>
        <w:t>&lt;#2#&gt;</w:t>
      </w:r>
    </w:p>
    <w:p w14:paraId="3E81CBDF" w14:textId="77777777" w:rsidR="007E1F52" w:rsidRPr="00166CA4" w:rsidRDefault="007E1F52" w:rsidP="007E1F52">
      <w:pPr>
        <w:pStyle w:val="12"/>
        <w:rPr>
          <w:u w:val="none"/>
          <w:rtl/>
        </w:rPr>
      </w:pPr>
      <w:r w:rsidRPr="00166CA4">
        <w:rPr>
          <w:rFonts w:hint="cs"/>
          <w:u w:val="none"/>
          <w:rtl/>
        </w:rPr>
        <w:t>נוכחים:</w:t>
      </w:r>
    </w:p>
    <w:p w14:paraId="1477038E" w14:textId="77777777" w:rsidR="007E1F52" w:rsidRPr="00166CA4" w:rsidRDefault="007E1F52" w:rsidP="007E1F52">
      <w:pPr>
        <w:pStyle w:val="12"/>
        <w:rPr>
          <w:b w:val="0"/>
          <w:bCs w:val="0"/>
          <w:u w:val="none"/>
          <w:rtl/>
        </w:rPr>
      </w:pPr>
      <w:r w:rsidRPr="00166CA4">
        <w:rPr>
          <w:rFonts w:hint="cs"/>
          <w:b w:val="0"/>
          <w:bCs w:val="0"/>
          <w:u w:val="none"/>
          <w:rtl/>
        </w:rPr>
        <w:t xml:space="preserve">מטעם המאשימה </w:t>
      </w:r>
      <w:r w:rsidRPr="00166CA4">
        <w:rPr>
          <w:b w:val="0"/>
          <w:bCs w:val="0"/>
          <w:u w:val="none"/>
          <w:rtl/>
        </w:rPr>
        <w:t>–</w:t>
      </w:r>
      <w:r w:rsidRPr="00166CA4">
        <w:rPr>
          <w:rFonts w:hint="cs"/>
          <w:b w:val="0"/>
          <w:bCs w:val="0"/>
          <w:u w:val="none"/>
          <w:rtl/>
        </w:rPr>
        <w:t xml:space="preserve"> עו"ד נוח רחאל </w:t>
      </w:r>
    </w:p>
    <w:p w14:paraId="34D01463" w14:textId="77777777" w:rsidR="007E1F52" w:rsidRPr="00166CA4" w:rsidRDefault="007E1F52" w:rsidP="007E1F52">
      <w:pPr>
        <w:pStyle w:val="12"/>
        <w:rPr>
          <w:b w:val="0"/>
          <w:bCs w:val="0"/>
          <w:u w:val="none"/>
          <w:rtl/>
        </w:rPr>
      </w:pPr>
      <w:r w:rsidRPr="00166CA4">
        <w:rPr>
          <w:rFonts w:hint="cs"/>
          <w:b w:val="0"/>
          <w:bCs w:val="0"/>
          <w:u w:val="none"/>
          <w:rtl/>
        </w:rPr>
        <w:t xml:space="preserve">מטעם הנאשם </w:t>
      </w:r>
      <w:r w:rsidRPr="00166CA4">
        <w:rPr>
          <w:b w:val="0"/>
          <w:bCs w:val="0"/>
          <w:u w:val="none"/>
          <w:rtl/>
        </w:rPr>
        <w:t>–</w:t>
      </w:r>
      <w:r w:rsidRPr="00166CA4">
        <w:rPr>
          <w:rFonts w:hint="cs"/>
          <w:b w:val="0"/>
          <w:bCs w:val="0"/>
          <w:u w:val="none"/>
          <w:rtl/>
        </w:rPr>
        <w:t xml:space="preserve"> בעצמו ו</w:t>
      </w:r>
      <w:bookmarkStart w:id="2" w:name="FirstLawyer"/>
      <w:r w:rsidRPr="00166CA4">
        <w:rPr>
          <w:rFonts w:hint="cs"/>
          <w:b w:val="0"/>
          <w:bCs w:val="0"/>
          <w:u w:val="none"/>
          <w:rtl/>
        </w:rPr>
        <w:t>ע"י</w:t>
      </w:r>
      <w:bookmarkEnd w:id="2"/>
      <w:r w:rsidRPr="00166CA4">
        <w:rPr>
          <w:rFonts w:hint="cs"/>
          <w:b w:val="0"/>
          <w:bCs w:val="0"/>
          <w:u w:val="none"/>
          <w:rtl/>
        </w:rPr>
        <w:t xml:space="preserve"> אמארה חאלד </w:t>
      </w:r>
    </w:p>
    <w:p w14:paraId="2DAADD7A" w14:textId="77777777" w:rsidR="007E1F52" w:rsidRPr="00166CA4" w:rsidRDefault="007E1F52" w:rsidP="007E1F52">
      <w:pPr>
        <w:pStyle w:val="12"/>
        <w:rPr>
          <w:b w:val="0"/>
          <w:bCs w:val="0"/>
          <w:u w:val="none"/>
          <w:rtl/>
        </w:rPr>
      </w:pPr>
    </w:p>
    <w:p w14:paraId="0EFF5E0D" w14:textId="77777777" w:rsidR="007E1F52" w:rsidRPr="00166CA4" w:rsidRDefault="007E1F52" w:rsidP="007E1F52">
      <w:pPr>
        <w:spacing w:line="360" w:lineRule="auto"/>
        <w:jc w:val="center"/>
        <w:rPr>
          <w:rFonts w:ascii="Arial" w:hAnsi="Arial"/>
          <w:b/>
          <w:bCs/>
          <w:sz w:val="28"/>
          <w:szCs w:val="28"/>
          <w:rtl/>
        </w:rPr>
      </w:pPr>
      <w:r w:rsidRPr="00166CA4">
        <w:rPr>
          <w:rFonts w:ascii="Arial" w:hAnsi="Arial"/>
          <w:b/>
          <w:color w:val="FF0000"/>
          <w:sz w:val="28"/>
          <w:rtl/>
        </w:rPr>
        <w:t>במסמך זה הושמטו פרוטוקולים</w:t>
      </w:r>
    </w:p>
    <w:p w14:paraId="75C7CC32" w14:textId="77777777" w:rsidR="00166CA4" w:rsidRPr="00166CA4" w:rsidRDefault="00166CA4" w:rsidP="00166CA4">
      <w:pPr>
        <w:spacing w:after="120" w:line="240" w:lineRule="exact"/>
        <w:ind w:left="283" w:hanging="283"/>
        <w:jc w:val="both"/>
        <w:rPr>
          <w:rFonts w:ascii="FrankRuehl" w:hAnsi="FrankRuehl" w:cs="FrankRuehl"/>
          <w:rtl/>
        </w:rPr>
      </w:pPr>
      <w:bookmarkStart w:id="3" w:name="LawTable"/>
      <w:bookmarkEnd w:id="3"/>
      <w:r w:rsidRPr="00166CA4">
        <w:rPr>
          <w:rFonts w:ascii="FrankRuehl" w:hAnsi="FrankRuehl" w:cs="FrankRuehl"/>
          <w:rtl/>
        </w:rPr>
        <w:t xml:space="preserve">חקיקה שאוזכרה: </w:t>
      </w:r>
    </w:p>
    <w:p w14:paraId="0CF19234" w14:textId="77777777" w:rsidR="00166CA4" w:rsidRPr="00166CA4" w:rsidRDefault="00166CA4" w:rsidP="00166CA4">
      <w:pPr>
        <w:spacing w:after="120" w:line="240" w:lineRule="exact"/>
        <w:ind w:left="283" w:hanging="283"/>
        <w:jc w:val="both"/>
        <w:rPr>
          <w:rFonts w:ascii="FrankRuehl" w:hAnsi="FrankRuehl" w:cs="FrankRuehl"/>
          <w:rtl/>
        </w:rPr>
      </w:pPr>
      <w:hyperlink r:id="rId6" w:history="1">
        <w:r w:rsidRPr="00166CA4">
          <w:rPr>
            <w:rFonts w:ascii="FrankRuehl" w:hAnsi="FrankRuehl" w:cs="FrankRuehl"/>
            <w:color w:val="0000FF"/>
            <w:u w:val="single"/>
            <w:rtl/>
          </w:rPr>
          <w:t>פקודת הסמים המסוכנים [נוסח חדש], תשל"ג-1973</w:t>
        </w:r>
      </w:hyperlink>
    </w:p>
    <w:p w14:paraId="2A828811" w14:textId="77777777" w:rsidR="00166CA4" w:rsidRPr="00166CA4" w:rsidRDefault="00166CA4" w:rsidP="00166CA4">
      <w:pPr>
        <w:spacing w:line="360" w:lineRule="auto"/>
        <w:jc w:val="center"/>
        <w:rPr>
          <w:rFonts w:ascii="Arial" w:hAnsi="Arial"/>
          <w:b/>
          <w:bCs/>
          <w:sz w:val="28"/>
          <w:szCs w:val="28"/>
          <w:u w:val="single"/>
          <w:rtl/>
        </w:rPr>
      </w:pPr>
      <w:bookmarkStart w:id="4" w:name="PsakDin"/>
      <w:bookmarkEnd w:id="0"/>
      <w:r w:rsidRPr="00166CA4">
        <w:rPr>
          <w:rFonts w:ascii="Arial" w:hAnsi="Arial"/>
          <w:b/>
          <w:bCs/>
          <w:sz w:val="28"/>
          <w:szCs w:val="28"/>
          <w:u w:val="single"/>
          <w:rtl/>
        </w:rPr>
        <w:t>גזר דין</w:t>
      </w:r>
    </w:p>
    <w:bookmarkEnd w:id="4"/>
    <w:p w14:paraId="6CAAD056" w14:textId="77777777" w:rsidR="007E1F52" w:rsidRDefault="007E1F52" w:rsidP="007E1F52">
      <w:pPr>
        <w:spacing w:line="360" w:lineRule="auto"/>
        <w:jc w:val="both"/>
        <w:rPr>
          <w:rFonts w:ascii="Arial" w:hAnsi="Arial"/>
        </w:rPr>
      </w:pPr>
    </w:p>
    <w:p w14:paraId="70075D1D" w14:textId="77777777" w:rsidR="007E1F52" w:rsidRDefault="007E1F52" w:rsidP="007E1F52">
      <w:pPr>
        <w:spacing w:line="360" w:lineRule="auto"/>
        <w:rPr>
          <w:rtl/>
        </w:rPr>
      </w:pPr>
      <w:r>
        <w:rPr>
          <w:rFonts w:hint="cs"/>
          <w:rtl/>
        </w:rPr>
        <w:t xml:space="preserve">הנאשם הורשע לפי הודאתו בהחזקה ושימוש בסם לצריכה עצמית וכן החזקת כלים להכנת סם לצריכה עצמית. </w:t>
      </w:r>
    </w:p>
    <w:p w14:paraId="658C14B3" w14:textId="77777777" w:rsidR="007E1F52" w:rsidRDefault="007E1F52" w:rsidP="007E1F52">
      <w:pPr>
        <w:spacing w:line="360" w:lineRule="auto"/>
        <w:rPr>
          <w:rtl/>
        </w:rPr>
      </w:pPr>
    </w:p>
    <w:p w14:paraId="4A02F7E9" w14:textId="77777777" w:rsidR="007E1F52" w:rsidRDefault="007E1F52" w:rsidP="007E1F52">
      <w:pPr>
        <w:spacing w:line="360" w:lineRule="auto"/>
        <w:rPr>
          <w:rtl/>
        </w:rPr>
      </w:pPr>
      <w:r>
        <w:rPr>
          <w:rFonts w:hint="cs"/>
          <w:rtl/>
        </w:rPr>
        <w:t xml:space="preserve">הנאשם הודה במיוחס לו באופן מידי ובהסכמת הצדדים הופנה לשירות המבחן להכנת תסקיר בעניינו. מן התסקירים שהתקבלו משך תקופה די ממושכת עולה כי הנאשם ניצל את ההזדמנות עד תום, עבר הליך ממושך במסגרת שירות המבחן והדברים הרשומים בתסקירים המדברים בעד עצמם. מן התסקיר הסופי שהוגש עולה כי הנאשם הפיק רבות מההתערבות הטיפולית בעניינו ומן המסגרת הטיפולית ביחידה לנפגעי סמים ביפיע, דבר המפחית בצורה משמעותית הן את הסיכון להישנות עבירות דומות והן את המסוכנות הנובעת ממנו. </w:t>
      </w:r>
    </w:p>
    <w:p w14:paraId="6EED7A29" w14:textId="77777777" w:rsidR="007E1F52" w:rsidRDefault="007E1F52" w:rsidP="007E1F52">
      <w:pPr>
        <w:spacing w:line="360" w:lineRule="auto"/>
        <w:rPr>
          <w:rtl/>
        </w:rPr>
      </w:pPr>
    </w:p>
    <w:p w14:paraId="277472E7" w14:textId="77777777" w:rsidR="007E1F52" w:rsidRDefault="007E1F52" w:rsidP="007E1F52">
      <w:pPr>
        <w:spacing w:line="360" w:lineRule="auto"/>
        <w:rPr>
          <w:rtl/>
        </w:rPr>
      </w:pPr>
      <w:r>
        <w:rPr>
          <w:rFonts w:hint="cs"/>
          <w:rtl/>
        </w:rPr>
        <w:t xml:space="preserve">אין זה דבר שבשגרה שבימ"ש נעתר לבקשה להאריך 3 מאסרים מותנים בגין עבירות דומות אך אין ספק כי מדובר במקרה חריג שבו הנאשם כאמור עבר כברת דרך ראויה להערכה ויש מקום לאפשר לו להמשיך בכך יחד עם פיקוח נוסף של שירות המבחן, במסגרת צו מבחן די ממושך שיושת על הנאשם אשר במסגרתו יידרש הנאשם להמשיך בטפול במסגרת היחידה לנפגעי סמים ביפיע, בתקווה שימשיך ויעשה כן. </w:t>
      </w:r>
    </w:p>
    <w:p w14:paraId="3968D312" w14:textId="77777777" w:rsidR="007E1F52" w:rsidRPr="000027E7" w:rsidRDefault="007E1F52" w:rsidP="007E1F52">
      <w:pPr>
        <w:spacing w:line="360" w:lineRule="auto"/>
        <w:rPr>
          <w:rFonts w:ascii="Calibri" w:hAnsi="Calibri"/>
          <w:rtl/>
        </w:rPr>
      </w:pPr>
    </w:p>
    <w:p w14:paraId="05763A80" w14:textId="77777777" w:rsidR="007E1F52" w:rsidRPr="000027E7" w:rsidRDefault="007E1F52" w:rsidP="007E1F52">
      <w:pPr>
        <w:spacing w:line="360" w:lineRule="auto"/>
        <w:rPr>
          <w:rFonts w:ascii="Calibri" w:hAnsi="Calibri"/>
          <w:rtl/>
        </w:rPr>
      </w:pPr>
      <w:r w:rsidRPr="000027E7">
        <w:rPr>
          <w:rFonts w:ascii="Calibri" w:hAnsi="Calibri" w:hint="cs"/>
          <w:rtl/>
        </w:rPr>
        <w:lastRenderedPageBreak/>
        <w:t xml:space="preserve">במידה והנאשם יכשל יובהר לו כי עניינו יחודש והוא צפוי למאסר בפועל ואף בכך יש כדי להוות גורם מרתיע ומספק לצורך המשך הטיפול ואף קבלת הסדר טיעון זה. </w:t>
      </w:r>
    </w:p>
    <w:p w14:paraId="23AEF5A0" w14:textId="77777777" w:rsidR="007E1F52" w:rsidRPr="000027E7" w:rsidRDefault="007E1F52" w:rsidP="007E1F52">
      <w:pPr>
        <w:spacing w:line="360" w:lineRule="auto"/>
        <w:rPr>
          <w:rFonts w:ascii="Calibri" w:hAnsi="Calibri"/>
          <w:rtl/>
        </w:rPr>
      </w:pPr>
    </w:p>
    <w:p w14:paraId="0A11CCA7" w14:textId="77777777" w:rsidR="007E1F52" w:rsidRPr="000027E7" w:rsidRDefault="007E1F52" w:rsidP="007E1F52">
      <w:pPr>
        <w:spacing w:line="360" w:lineRule="auto"/>
        <w:rPr>
          <w:rFonts w:ascii="Calibri" w:hAnsi="Calibri"/>
          <w:rtl/>
        </w:rPr>
      </w:pPr>
      <w:r w:rsidRPr="000027E7">
        <w:rPr>
          <w:rFonts w:ascii="Calibri" w:hAnsi="Calibri" w:hint="cs"/>
          <w:rtl/>
        </w:rPr>
        <w:t>לכן אני מורה כדלקמן:</w:t>
      </w:r>
    </w:p>
    <w:p w14:paraId="67E4C7C1" w14:textId="77777777" w:rsidR="007E1F52" w:rsidRPr="000027E7" w:rsidRDefault="007E1F52" w:rsidP="007E1F52">
      <w:pPr>
        <w:spacing w:line="360" w:lineRule="auto"/>
        <w:rPr>
          <w:rFonts w:ascii="Calibri" w:hAnsi="Calibri"/>
          <w:rtl/>
        </w:rPr>
      </w:pPr>
    </w:p>
    <w:p w14:paraId="4ED033F1" w14:textId="77777777" w:rsidR="007E1F52" w:rsidRPr="000027E7" w:rsidRDefault="007E1F52" w:rsidP="007E1F52">
      <w:pPr>
        <w:spacing w:line="360" w:lineRule="auto"/>
        <w:ind w:left="720" w:hanging="720"/>
        <w:rPr>
          <w:rFonts w:ascii="Calibri" w:hAnsi="Calibri"/>
          <w:rtl/>
        </w:rPr>
      </w:pPr>
      <w:r w:rsidRPr="000027E7">
        <w:rPr>
          <w:rFonts w:ascii="Calibri" w:hAnsi="Calibri" w:hint="cs"/>
          <w:rtl/>
        </w:rPr>
        <w:t xml:space="preserve">א. </w:t>
      </w:r>
      <w:r w:rsidRPr="000027E7">
        <w:rPr>
          <w:rFonts w:ascii="Calibri" w:hAnsi="Calibri"/>
          <w:rtl/>
        </w:rPr>
        <w:tab/>
      </w:r>
      <w:r w:rsidRPr="000027E7">
        <w:rPr>
          <w:rFonts w:ascii="Calibri" w:hAnsi="Calibri" w:hint="cs"/>
          <w:rtl/>
        </w:rPr>
        <w:t xml:space="preserve">ניתן בזאת צו מבחן למשך 18 חודשים מהיום כאמור בתסקיר שירות המבחן. </w:t>
      </w:r>
    </w:p>
    <w:p w14:paraId="246595EB" w14:textId="77777777" w:rsidR="007E1F52" w:rsidRPr="000027E7" w:rsidRDefault="007E1F52" w:rsidP="007E1F52">
      <w:pPr>
        <w:spacing w:line="360" w:lineRule="auto"/>
        <w:ind w:left="720" w:hanging="720"/>
        <w:rPr>
          <w:rFonts w:ascii="Calibri" w:hAnsi="Calibri"/>
          <w:rtl/>
        </w:rPr>
      </w:pPr>
    </w:p>
    <w:p w14:paraId="68352B64" w14:textId="77777777" w:rsidR="007E1F52" w:rsidRPr="000027E7" w:rsidRDefault="007E1F52" w:rsidP="007E1F52">
      <w:pPr>
        <w:spacing w:line="360" w:lineRule="auto"/>
        <w:ind w:left="720" w:hanging="720"/>
        <w:rPr>
          <w:rFonts w:ascii="Calibri" w:hAnsi="Calibri"/>
          <w:rtl/>
        </w:rPr>
      </w:pPr>
      <w:r w:rsidRPr="000027E7">
        <w:rPr>
          <w:rFonts w:ascii="Calibri" w:hAnsi="Calibri" w:hint="cs"/>
          <w:rtl/>
        </w:rPr>
        <w:t>ב.</w:t>
      </w:r>
      <w:r w:rsidRPr="000027E7">
        <w:rPr>
          <w:rFonts w:ascii="Calibri" w:hAnsi="Calibri" w:hint="cs"/>
          <w:rtl/>
        </w:rPr>
        <w:tab/>
        <w:t>אני מורה על הארכת המאסר המותנה בן 3 חודשים בתיק מספר 34229-12-12 מיום 20.6.13 וזאת למשך 3 שנים נוספות</w:t>
      </w:r>
      <w:r w:rsidRPr="000027E7">
        <w:rPr>
          <w:rFonts w:ascii="Calibri" w:hAnsi="Calibri" w:hint="cs"/>
        </w:rPr>
        <w:t xml:space="preserve"> </w:t>
      </w:r>
      <w:r w:rsidRPr="000027E7">
        <w:rPr>
          <w:rFonts w:ascii="Calibri" w:hAnsi="Calibri" w:hint="cs"/>
          <w:rtl/>
        </w:rPr>
        <w:t xml:space="preserve">. התנאי יופעל אם יעבור הנאשם כל עבירה על </w:t>
      </w:r>
      <w:hyperlink r:id="rId7" w:history="1">
        <w:r w:rsidR="00166CA4" w:rsidRPr="00166CA4">
          <w:rPr>
            <w:rFonts w:ascii="Calibri" w:hAnsi="Calibri" w:hint="eastAsia"/>
            <w:color w:val="0000FF"/>
            <w:u w:val="single"/>
            <w:rtl/>
          </w:rPr>
          <w:t>פקודת</w:t>
        </w:r>
        <w:r w:rsidR="00166CA4" w:rsidRPr="00166CA4">
          <w:rPr>
            <w:rFonts w:ascii="Calibri" w:hAnsi="Calibri"/>
            <w:color w:val="0000FF"/>
            <w:u w:val="single"/>
            <w:rtl/>
          </w:rPr>
          <w:t xml:space="preserve"> </w:t>
        </w:r>
        <w:r w:rsidR="00166CA4" w:rsidRPr="00166CA4">
          <w:rPr>
            <w:rFonts w:ascii="Calibri" w:hAnsi="Calibri" w:hint="eastAsia"/>
            <w:color w:val="0000FF"/>
            <w:u w:val="single"/>
            <w:rtl/>
          </w:rPr>
          <w:t>הסמים</w:t>
        </w:r>
        <w:r w:rsidR="00166CA4" w:rsidRPr="00166CA4">
          <w:rPr>
            <w:rFonts w:ascii="Calibri" w:hAnsi="Calibri"/>
            <w:color w:val="0000FF"/>
            <w:u w:val="single"/>
            <w:rtl/>
          </w:rPr>
          <w:t xml:space="preserve"> </w:t>
        </w:r>
        <w:r w:rsidR="00166CA4" w:rsidRPr="00166CA4">
          <w:rPr>
            <w:rFonts w:ascii="Calibri" w:hAnsi="Calibri" w:hint="eastAsia"/>
            <w:color w:val="0000FF"/>
            <w:u w:val="single"/>
            <w:rtl/>
          </w:rPr>
          <w:t>המסוכנים</w:t>
        </w:r>
      </w:hyperlink>
      <w:r w:rsidRPr="000027E7">
        <w:rPr>
          <w:rFonts w:ascii="Calibri" w:hAnsi="Calibri" w:hint="cs"/>
          <w:rtl/>
        </w:rPr>
        <w:t xml:space="preserve">.  </w:t>
      </w:r>
    </w:p>
    <w:p w14:paraId="5ACE7F0E" w14:textId="77777777" w:rsidR="007E1F52" w:rsidRPr="000027E7" w:rsidRDefault="007E1F52" w:rsidP="007E1F52">
      <w:pPr>
        <w:spacing w:line="360" w:lineRule="auto"/>
        <w:ind w:left="720" w:hanging="720"/>
        <w:rPr>
          <w:rFonts w:ascii="Calibri" w:hAnsi="Calibri"/>
          <w:rtl/>
        </w:rPr>
      </w:pPr>
    </w:p>
    <w:p w14:paraId="3EED3339" w14:textId="77777777" w:rsidR="007E1F52" w:rsidRPr="000027E7" w:rsidRDefault="007E1F52" w:rsidP="007E1F52">
      <w:pPr>
        <w:spacing w:line="360" w:lineRule="auto"/>
        <w:ind w:left="720" w:hanging="720"/>
        <w:rPr>
          <w:rFonts w:ascii="Calibri" w:hAnsi="Calibri"/>
          <w:rtl/>
        </w:rPr>
      </w:pPr>
      <w:r w:rsidRPr="000027E7">
        <w:rPr>
          <w:rFonts w:ascii="Calibri" w:hAnsi="Calibri" w:hint="cs"/>
          <w:rtl/>
        </w:rPr>
        <w:t>ג.</w:t>
      </w:r>
      <w:r w:rsidRPr="000027E7">
        <w:rPr>
          <w:rFonts w:ascii="Calibri" w:hAnsi="Calibri" w:hint="cs"/>
          <w:rtl/>
        </w:rPr>
        <w:tab/>
        <w:t>אני מורה על הארכת המאסר המותנה בן 4 חודשים בתיק מספר 55568-07-13 מיום 10.3.14 וזאת למשך 3 שנים נוספות</w:t>
      </w:r>
      <w:r w:rsidRPr="000027E7">
        <w:rPr>
          <w:rFonts w:ascii="Calibri" w:hAnsi="Calibri" w:hint="cs"/>
        </w:rPr>
        <w:t xml:space="preserve"> </w:t>
      </w:r>
      <w:r w:rsidRPr="000027E7">
        <w:rPr>
          <w:rFonts w:ascii="Calibri" w:hAnsi="Calibri" w:hint="cs"/>
          <w:rtl/>
        </w:rPr>
        <w:t xml:space="preserve">. התנאי יופעל אם יעבור הנאשם כל עבירה על </w:t>
      </w:r>
      <w:hyperlink r:id="rId8" w:history="1">
        <w:r w:rsidR="00166CA4" w:rsidRPr="00166CA4">
          <w:rPr>
            <w:rFonts w:ascii="Calibri" w:hAnsi="Calibri" w:hint="eastAsia"/>
            <w:color w:val="0000FF"/>
            <w:u w:val="single"/>
            <w:rtl/>
          </w:rPr>
          <w:t>פקודת</w:t>
        </w:r>
        <w:r w:rsidR="00166CA4" w:rsidRPr="00166CA4">
          <w:rPr>
            <w:rFonts w:ascii="Calibri" w:hAnsi="Calibri"/>
            <w:color w:val="0000FF"/>
            <w:u w:val="single"/>
            <w:rtl/>
          </w:rPr>
          <w:t xml:space="preserve"> </w:t>
        </w:r>
        <w:r w:rsidR="00166CA4" w:rsidRPr="00166CA4">
          <w:rPr>
            <w:rFonts w:ascii="Calibri" w:hAnsi="Calibri" w:hint="eastAsia"/>
            <w:color w:val="0000FF"/>
            <w:u w:val="single"/>
            <w:rtl/>
          </w:rPr>
          <w:t>הסמים</w:t>
        </w:r>
        <w:r w:rsidR="00166CA4" w:rsidRPr="00166CA4">
          <w:rPr>
            <w:rFonts w:ascii="Calibri" w:hAnsi="Calibri"/>
            <w:color w:val="0000FF"/>
            <w:u w:val="single"/>
            <w:rtl/>
          </w:rPr>
          <w:t xml:space="preserve"> </w:t>
        </w:r>
        <w:r w:rsidR="00166CA4" w:rsidRPr="00166CA4">
          <w:rPr>
            <w:rFonts w:ascii="Calibri" w:hAnsi="Calibri" w:hint="eastAsia"/>
            <w:color w:val="0000FF"/>
            <w:u w:val="single"/>
            <w:rtl/>
          </w:rPr>
          <w:t>המסוכנים</w:t>
        </w:r>
      </w:hyperlink>
      <w:r w:rsidRPr="000027E7">
        <w:rPr>
          <w:rFonts w:ascii="Calibri" w:hAnsi="Calibri" w:hint="cs"/>
          <w:rtl/>
        </w:rPr>
        <w:t>.</w:t>
      </w:r>
      <w:r w:rsidRPr="000027E7">
        <w:rPr>
          <w:rFonts w:ascii="Calibri" w:hAnsi="Calibri"/>
          <w:rtl/>
        </w:rPr>
        <w:t xml:space="preserve"> </w:t>
      </w:r>
    </w:p>
    <w:p w14:paraId="2CD2E434" w14:textId="77777777" w:rsidR="007E1F52" w:rsidRPr="000027E7" w:rsidRDefault="007E1F52" w:rsidP="007E1F52">
      <w:pPr>
        <w:spacing w:line="360" w:lineRule="auto"/>
        <w:ind w:left="720" w:hanging="720"/>
        <w:rPr>
          <w:rFonts w:ascii="Calibri" w:hAnsi="Calibri"/>
          <w:rtl/>
        </w:rPr>
      </w:pPr>
    </w:p>
    <w:p w14:paraId="31897835" w14:textId="77777777" w:rsidR="007E1F52" w:rsidRPr="000027E7" w:rsidRDefault="007E1F52" w:rsidP="007E1F52">
      <w:pPr>
        <w:spacing w:line="360" w:lineRule="auto"/>
        <w:ind w:left="720" w:hanging="720"/>
        <w:rPr>
          <w:rFonts w:ascii="Calibri" w:hAnsi="Calibri"/>
          <w:rtl/>
        </w:rPr>
      </w:pPr>
      <w:r w:rsidRPr="000027E7">
        <w:rPr>
          <w:rFonts w:ascii="Calibri" w:hAnsi="Calibri" w:hint="cs"/>
          <w:rtl/>
        </w:rPr>
        <w:t>ד.</w:t>
      </w:r>
      <w:r w:rsidRPr="000027E7">
        <w:rPr>
          <w:rFonts w:ascii="Calibri" w:hAnsi="Calibri" w:hint="cs"/>
          <w:rtl/>
        </w:rPr>
        <w:tab/>
        <w:t>אני מורה על הארכת המאסר המותנה בן 3 חודשים בתיק מספר 39077-06-13 וכן תיק 37736-06-13 מיום 8.7.14  וזאת למשך 3 שנים נוספות</w:t>
      </w:r>
      <w:r w:rsidRPr="000027E7">
        <w:rPr>
          <w:rFonts w:ascii="Calibri" w:hAnsi="Calibri" w:hint="cs"/>
        </w:rPr>
        <w:t xml:space="preserve"> </w:t>
      </w:r>
      <w:r w:rsidRPr="000027E7">
        <w:rPr>
          <w:rFonts w:ascii="Calibri" w:hAnsi="Calibri" w:hint="cs"/>
          <w:rtl/>
        </w:rPr>
        <w:t xml:space="preserve">. התנאי יופעל אם יעבור הנאשם כל עבירה על </w:t>
      </w:r>
      <w:hyperlink r:id="rId9" w:history="1">
        <w:r w:rsidR="00166CA4" w:rsidRPr="00166CA4">
          <w:rPr>
            <w:rFonts w:ascii="Calibri" w:hAnsi="Calibri" w:hint="eastAsia"/>
            <w:color w:val="0000FF"/>
            <w:u w:val="single"/>
            <w:rtl/>
          </w:rPr>
          <w:t>פקודת</w:t>
        </w:r>
        <w:r w:rsidR="00166CA4" w:rsidRPr="00166CA4">
          <w:rPr>
            <w:rFonts w:ascii="Calibri" w:hAnsi="Calibri"/>
            <w:color w:val="0000FF"/>
            <w:u w:val="single"/>
            <w:rtl/>
          </w:rPr>
          <w:t xml:space="preserve"> </w:t>
        </w:r>
        <w:r w:rsidR="00166CA4" w:rsidRPr="00166CA4">
          <w:rPr>
            <w:rFonts w:ascii="Calibri" w:hAnsi="Calibri" w:hint="eastAsia"/>
            <w:color w:val="0000FF"/>
            <w:u w:val="single"/>
            <w:rtl/>
          </w:rPr>
          <w:t>הסמים</w:t>
        </w:r>
        <w:r w:rsidR="00166CA4" w:rsidRPr="00166CA4">
          <w:rPr>
            <w:rFonts w:ascii="Calibri" w:hAnsi="Calibri"/>
            <w:color w:val="0000FF"/>
            <w:u w:val="single"/>
            <w:rtl/>
          </w:rPr>
          <w:t xml:space="preserve"> </w:t>
        </w:r>
        <w:r w:rsidR="00166CA4" w:rsidRPr="00166CA4">
          <w:rPr>
            <w:rFonts w:ascii="Calibri" w:hAnsi="Calibri" w:hint="eastAsia"/>
            <w:color w:val="0000FF"/>
            <w:u w:val="single"/>
            <w:rtl/>
          </w:rPr>
          <w:t>המסוכנים</w:t>
        </w:r>
      </w:hyperlink>
      <w:r w:rsidRPr="000027E7">
        <w:rPr>
          <w:rFonts w:ascii="Calibri" w:hAnsi="Calibri" w:hint="cs"/>
          <w:rtl/>
        </w:rPr>
        <w:t>.</w:t>
      </w:r>
    </w:p>
    <w:p w14:paraId="01D55084" w14:textId="77777777" w:rsidR="007E1F52" w:rsidRDefault="007E1F52" w:rsidP="007E1F52">
      <w:pPr>
        <w:pStyle w:val="2"/>
        <w:rPr>
          <w:szCs w:val="24"/>
          <w:u w:val="single"/>
          <w:rtl/>
        </w:rPr>
      </w:pPr>
    </w:p>
    <w:p w14:paraId="6F7E8176" w14:textId="77777777" w:rsidR="007E1F52" w:rsidRDefault="007E1F52" w:rsidP="007E1F52">
      <w:pPr>
        <w:pStyle w:val="2"/>
        <w:rPr>
          <w:szCs w:val="24"/>
          <w:u w:val="single"/>
          <w:rtl/>
        </w:rPr>
      </w:pPr>
      <w:r>
        <w:rPr>
          <w:rFonts w:hint="cs"/>
          <w:szCs w:val="24"/>
          <w:u w:val="single"/>
          <w:rtl/>
        </w:rPr>
        <w:t xml:space="preserve">מוצג סם להשמדה. </w:t>
      </w:r>
    </w:p>
    <w:p w14:paraId="63397DD5" w14:textId="77777777" w:rsidR="007E1F52" w:rsidRDefault="007E1F52" w:rsidP="007E1F52">
      <w:pPr>
        <w:pStyle w:val="2"/>
        <w:rPr>
          <w:szCs w:val="24"/>
          <w:u w:val="single"/>
          <w:rtl/>
        </w:rPr>
      </w:pPr>
    </w:p>
    <w:p w14:paraId="2F9D4FCA" w14:textId="77777777" w:rsidR="007E1F52" w:rsidRPr="00E02787" w:rsidRDefault="007E1F52" w:rsidP="007E1F52">
      <w:pPr>
        <w:pStyle w:val="2"/>
        <w:rPr>
          <w:szCs w:val="24"/>
          <w:u w:val="single"/>
          <w:rtl/>
        </w:rPr>
      </w:pPr>
    </w:p>
    <w:p w14:paraId="410AB214" w14:textId="77777777" w:rsidR="007E1F52" w:rsidRPr="00E02787" w:rsidRDefault="007E1F52" w:rsidP="007E1F52">
      <w:pPr>
        <w:pStyle w:val="2"/>
        <w:rPr>
          <w:b/>
          <w:bCs/>
          <w:szCs w:val="24"/>
          <w:u w:val="single"/>
          <w:rtl/>
        </w:rPr>
      </w:pPr>
      <w:r w:rsidRPr="00E02787">
        <w:rPr>
          <w:rFonts w:hint="cs"/>
          <w:b/>
          <w:bCs/>
          <w:szCs w:val="24"/>
          <w:u w:val="single"/>
          <w:rtl/>
        </w:rPr>
        <w:t xml:space="preserve">המזכירות תמציא העתק </w:t>
      </w:r>
      <w:r>
        <w:rPr>
          <w:rFonts w:hint="cs"/>
          <w:b/>
          <w:bCs/>
          <w:szCs w:val="24"/>
          <w:u w:val="single"/>
          <w:rtl/>
        </w:rPr>
        <w:t xml:space="preserve">לשירות המבחן. </w:t>
      </w:r>
    </w:p>
    <w:p w14:paraId="525E7DDC" w14:textId="77777777" w:rsidR="007E1F52" w:rsidRPr="00E02787" w:rsidRDefault="007E1F52" w:rsidP="007E1F52">
      <w:pPr>
        <w:pStyle w:val="2"/>
        <w:rPr>
          <w:b/>
          <w:bCs/>
          <w:szCs w:val="24"/>
          <w:rtl/>
        </w:rPr>
      </w:pPr>
    </w:p>
    <w:p w14:paraId="0E0F3D89" w14:textId="77777777" w:rsidR="007E1F52" w:rsidRPr="00E02787" w:rsidRDefault="007E1F52" w:rsidP="007E1F52">
      <w:pPr>
        <w:pStyle w:val="2"/>
        <w:rPr>
          <w:b/>
          <w:bCs/>
          <w:szCs w:val="24"/>
          <w:rtl/>
        </w:rPr>
      </w:pPr>
      <w:r w:rsidRPr="00E02787">
        <w:rPr>
          <w:rFonts w:hint="cs"/>
          <w:b/>
          <w:bCs/>
          <w:szCs w:val="24"/>
          <w:rtl/>
        </w:rPr>
        <w:t>זכות ערעור תוך 45 יום מהיום בבית משפט המחוזי בנצרת.</w:t>
      </w:r>
    </w:p>
    <w:p w14:paraId="79B877B9" w14:textId="77777777" w:rsidR="007E1F52" w:rsidRPr="00E02787" w:rsidRDefault="007E1F52" w:rsidP="007E1F52"/>
    <w:p w14:paraId="34D5F4EF" w14:textId="77777777" w:rsidR="007E1F52" w:rsidRDefault="007E1F52" w:rsidP="007E1F52">
      <w:pPr>
        <w:spacing w:line="360" w:lineRule="auto"/>
        <w:jc w:val="both"/>
        <w:rPr>
          <w:sz w:val="6"/>
          <w:szCs w:val="6"/>
          <w:rtl/>
        </w:rPr>
      </w:pPr>
      <w:r>
        <w:rPr>
          <w:rtl/>
        </w:rPr>
        <w:t xml:space="preserve"> </w:t>
      </w:r>
    </w:p>
    <w:p w14:paraId="0F225110" w14:textId="77777777" w:rsidR="007E1F52" w:rsidRDefault="007E1F52" w:rsidP="007E1F52">
      <w:pPr>
        <w:jc w:val="right"/>
        <w:rPr>
          <w:rtl/>
        </w:rPr>
      </w:pPr>
    </w:p>
    <w:p w14:paraId="328C9D4B" w14:textId="77777777" w:rsidR="007E1F52" w:rsidRDefault="00166CA4" w:rsidP="007E1F52">
      <w:pPr>
        <w:spacing w:line="360" w:lineRule="auto"/>
        <w:rPr>
          <w:rtl/>
        </w:rPr>
      </w:pPr>
      <w:r>
        <w:rPr>
          <w:b/>
          <w:bCs/>
          <w:rtl/>
        </w:rPr>
        <w:t xml:space="preserve">ניתנה והודעה היום א' אדר תשע"ז, 27/02/2017 במעמד הנוכחים. </w:t>
      </w:r>
    </w:p>
    <w:p w14:paraId="577B0EDA" w14:textId="77777777" w:rsidR="007E1F52" w:rsidRPr="00166CA4" w:rsidRDefault="00166CA4" w:rsidP="007E1F52">
      <w:pPr>
        <w:jc w:val="center"/>
        <w:rPr>
          <w:color w:val="FFFFFF"/>
          <w:sz w:val="2"/>
          <w:szCs w:val="2"/>
          <w:rtl/>
        </w:rPr>
      </w:pPr>
      <w:r w:rsidRPr="00166CA4">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E1F52" w14:paraId="4037FD65" w14:textId="77777777" w:rsidTr="00166CA4">
        <w:trPr>
          <w:trHeight w:val="316"/>
          <w:jc w:val="right"/>
        </w:trPr>
        <w:tc>
          <w:tcPr>
            <w:tcW w:w="3936" w:type="dxa"/>
            <w:shd w:val="clear" w:color="auto" w:fill="auto"/>
          </w:tcPr>
          <w:p w14:paraId="26F59B69" w14:textId="77777777" w:rsidR="007E1F52" w:rsidRPr="00166CA4" w:rsidRDefault="00166CA4" w:rsidP="00166CA4">
            <w:pPr>
              <w:jc w:val="center"/>
              <w:rPr>
                <w:rFonts w:ascii="Times New Roman" w:eastAsia="Times New Roman" w:hAnsi="Times New Roman" w:cs="Times New Roman"/>
                <w:color w:val="FFFFFF"/>
                <w:sz w:val="2"/>
                <w:szCs w:val="2"/>
              </w:rPr>
            </w:pPr>
            <w:r w:rsidRPr="00166CA4">
              <w:rPr>
                <w:rFonts w:ascii="Times New Roman" w:eastAsia="Times New Roman" w:hAnsi="Times New Roman" w:cs="Times New Roman"/>
                <w:color w:val="FFFFFF"/>
                <w:sz w:val="2"/>
                <w:szCs w:val="2"/>
                <w:rtl/>
              </w:rPr>
              <w:t>54678313</w:t>
            </w:r>
          </w:p>
          <w:p w14:paraId="3757D94C" w14:textId="77777777" w:rsidR="007E1F52" w:rsidRPr="000027E7" w:rsidRDefault="007E1F52" w:rsidP="00166CA4">
            <w:pPr>
              <w:jc w:val="center"/>
              <w:rPr>
                <w:rFonts w:ascii="Times New Roman" w:eastAsia="Times New Roman" w:hAnsi="Times New Roman" w:cs="Times New Roman"/>
                <w:rtl/>
              </w:rPr>
            </w:pPr>
          </w:p>
        </w:tc>
      </w:tr>
      <w:tr w:rsidR="007E1F52" w14:paraId="1EFCB4E5" w14:textId="77777777" w:rsidTr="00166CA4">
        <w:trPr>
          <w:trHeight w:val="361"/>
          <w:jc w:val="right"/>
        </w:trPr>
        <w:tc>
          <w:tcPr>
            <w:tcW w:w="3936" w:type="dxa"/>
            <w:shd w:val="clear" w:color="auto" w:fill="auto"/>
          </w:tcPr>
          <w:p w14:paraId="3F00DBCA" w14:textId="77777777" w:rsidR="007E1F52" w:rsidRPr="000027E7" w:rsidRDefault="007E1F52" w:rsidP="00166CA4">
            <w:pPr>
              <w:jc w:val="center"/>
              <w:rPr>
                <w:rFonts w:ascii="Times New Roman" w:eastAsia="Times New Roman" w:hAnsi="Times New Roman"/>
                <w:b/>
                <w:bCs/>
                <w:rtl/>
              </w:rPr>
            </w:pPr>
            <w:r w:rsidRPr="000027E7">
              <w:rPr>
                <w:rFonts w:ascii="Times New Roman" w:eastAsia="Times New Roman" w:hAnsi="Times New Roman" w:hint="cs"/>
                <w:b/>
                <w:bCs/>
                <w:rtl/>
              </w:rPr>
              <w:t>יריב נבון</w:t>
            </w:r>
            <w:r w:rsidRPr="000027E7">
              <w:rPr>
                <w:rFonts w:ascii="Times New Roman" w:eastAsia="Times New Roman" w:hAnsi="Times New Roman"/>
                <w:b/>
                <w:bCs/>
                <w:rtl/>
              </w:rPr>
              <w:t xml:space="preserve"> </w:t>
            </w:r>
            <w:r w:rsidRPr="000027E7">
              <w:rPr>
                <w:rFonts w:ascii="Times New Roman" w:eastAsia="Times New Roman" w:hAnsi="Times New Roman" w:hint="cs"/>
                <w:b/>
                <w:bCs/>
                <w:rtl/>
              </w:rPr>
              <w:t>, שופט</w:t>
            </w:r>
            <w:r w:rsidRPr="000027E7">
              <w:rPr>
                <w:rFonts w:ascii="Times New Roman" w:eastAsia="Times New Roman" w:hAnsi="Times New Roman"/>
                <w:b/>
                <w:bCs/>
                <w:rtl/>
              </w:rPr>
              <w:t xml:space="preserve"> </w:t>
            </w:r>
          </w:p>
        </w:tc>
      </w:tr>
    </w:tbl>
    <w:p w14:paraId="5FB466DE" w14:textId="77777777" w:rsidR="007E1F52" w:rsidRDefault="007E1F52" w:rsidP="007E1F52">
      <w:pPr>
        <w:jc w:val="right"/>
        <w:rPr>
          <w:rtl/>
        </w:rPr>
      </w:pPr>
    </w:p>
    <w:p w14:paraId="26DB3CE6" w14:textId="77777777" w:rsidR="00166CA4" w:rsidRPr="00166CA4" w:rsidRDefault="00166CA4" w:rsidP="00166CA4">
      <w:pPr>
        <w:keepNext/>
        <w:rPr>
          <w:color w:val="000000"/>
          <w:sz w:val="22"/>
          <w:szCs w:val="22"/>
          <w:rtl/>
        </w:rPr>
      </w:pPr>
    </w:p>
    <w:p w14:paraId="43BC0CC2" w14:textId="77777777" w:rsidR="00166CA4" w:rsidRPr="00166CA4" w:rsidRDefault="00166CA4" w:rsidP="00166CA4">
      <w:pPr>
        <w:keepNext/>
        <w:rPr>
          <w:color w:val="000000"/>
          <w:sz w:val="22"/>
          <w:szCs w:val="22"/>
          <w:rtl/>
        </w:rPr>
      </w:pPr>
      <w:r w:rsidRPr="00166CA4">
        <w:rPr>
          <w:color w:val="000000"/>
          <w:sz w:val="22"/>
          <w:szCs w:val="22"/>
          <w:rtl/>
        </w:rPr>
        <w:t>יריב נבון 54678313</w:t>
      </w:r>
    </w:p>
    <w:p w14:paraId="20425A13" w14:textId="77777777" w:rsidR="00166CA4" w:rsidRDefault="00166CA4" w:rsidP="00166CA4">
      <w:r w:rsidRPr="00166CA4">
        <w:rPr>
          <w:color w:val="000000"/>
          <w:rtl/>
        </w:rPr>
        <w:t>נוסח מסמך זה כפוף לשינויי ניסוח ועריכה</w:t>
      </w:r>
    </w:p>
    <w:p w14:paraId="2C865E73" w14:textId="77777777" w:rsidR="00166CA4" w:rsidRDefault="00166CA4" w:rsidP="00166CA4">
      <w:pPr>
        <w:rPr>
          <w:rtl/>
        </w:rPr>
      </w:pPr>
    </w:p>
    <w:p w14:paraId="39E2298F" w14:textId="77777777" w:rsidR="00166CA4" w:rsidRDefault="00166CA4" w:rsidP="00166CA4">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34612D3D" w14:textId="77777777" w:rsidR="00B35717" w:rsidRPr="00166CA4" w:rsidRDefault="00B35717" w:rsidP="00166CA4">
      <w:pPr>
        <w:jc w:val="center"/>
        <w:rPr>
          <w:color w:val="0000FF"/>
          <w:u w:val="single"/>
        </w:rPr>
      </w:pPr>
    </w:p>
    <w:sectPr w:rsidR="00B35717" w:rsidRPr="00166CA4" w:rsidSect="00166CA4">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308E6" w14:textId="77777777" w:rsidR="00DF2789" w:rsidRDefault="00DF2789">
      <w:r>
        <w:separator/>
      </w:r>
    </w:p>
  </w:endnote>
  <w:endnote w:type="continuationSeparator" w:id="0">
    <w:p w14:paraId="7759C23F" w14:textId="77777777" w:rsidR="00DF2789" w:rsidRDefault="00DF2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31F3C" w14:textId="77777777" w:rsidR="00DF2789" w:rsidRDefault="00DF2789" w:rsidP="00166CA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5F7230AA" w14:textId="77777777" w:rsidR="00DF2789" w:rsidRPr="00166CA4" w:rsidRDefault="00DF2789" w:rsidP="00166CA4">
    <w:pPr>
      <w:pStyle w:val="a5"/>
      <w:pBdr>
        <w:top w:val="single" w:sz="4" w:space="1" w:color="auto"/>
        <w:between w:val="single" w:sz="4" w:space="0" w:color="auto"/>
      </w:pBdr>
      <w:spacing w:after="60"/>
      <w:jc w:val="center"/>
      <w:rPr>
        <w:rFonts w:ascii="FrankRuehl" w:hAnsi="FrankRuehl" w:cs="FrankRuehl"/>
        <w:color w:val="000000"/>
      </w:rPr>
    </w:pPr>
    <w:r w:rsidRPr="00166CA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34995" w14:textId="77777777" w:rsidR="00DF2789" w:rsidRDefault="00DF2789" w:rsidP="00166CA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36259">
      <w:rPr>
        <w:rFonts w:ascii="FrankRuehl" w:hAnsi="FrankRuehl" w:cs="FrankRuehl"/>
        <w:noProof/>
        <w:rtl/>
      </w:rPr>
      <w:t>1</w:t>
    </w:r>
    <w:r>
      <w:rPr>
        <w:rFonts w:ascii="FrankRuehl" w:hAnsi="FrankRuehl" w:cs="FrankRuehl"/>
        <w:rtl/>
      </w:rPr>
      <w:fldChar w:fldCharType="end"/>
    </w:r>
  </w:p>
  <w:p w14:paraId="287A9E4A" w14:textId="77777777" w:rsidR="00DF2789" w:rsidRPr="00166CA4" w:rsidRDefault="00DF2789" w:rsidP="00166CA4">
    <w:pPr>
      <w:pStyle w:val="a5"/>
      <w:pBdr>
        <w:top w:val="single" w:sz="4" w:space="1" w:color="auto"/>
        <w:between w:val="single" w:sz="4" w:space="0" w:color="auto"/>
      </w:pBdr>
      <w:spacing w:after="60"/>
      <w:jc w:val="center"/>
      <w:rPr>
        <w:rFonts w:ascii="FrankRuehl" w:hAnsi="FrankRuehl" w:cs="FrankRuehl"/>
        <w:color w:val="000000"/>
      </w:rPr>
    </w:pPr>
    <w:r w:rsidRPr="00166CA4">
      <w:rPr>
        <w:rFonts w:ascii="FrankRuehl" w:hAnsi="FrankRuehl" w:cs="FrankRuehl"/>
        <w:color w:val="000000"/>
      </w:rPr>
      <w:pict w14:anchorId="108602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E54D2" w14:textId="77777777" w:rsidR="00DF2789" w:rsidRDefault="00DF2789">
      <w:r>
        <w:separator/>
      </w:r>
    </w:p>
  </w:footnote>
  <w:footnote w:type="continuationSeparator" w:id="0">
    <w:p w14:paraId="12B431D4" w14:textId="77777777" w:rsidR="00DF2789" w:rsidRDefault="00DF2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67DB9" w14:textId="77777777" w:rsidR="00DF2789" w:rsidRPr="00166CA4" w:rsidRDefault="00DF2789" w:rsidP="00166CA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46401-08-15</w:t>
    </w:r>
    <w:r>
      <w:rPr>
        <w:color w:val="000000"/>
        <w:sz w:val="22"/>
        <w:szCs w:val="22"/>
        <w:rtl/>
      </w:rPr>
      <w:tab/>
      <w:t xml:space="preserve"> מדינת ישראל נ' עדנאן אמארה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AA384" w14:textId="77777777" w:rsidR="00DF2789" w:rsidRPr="00166CA4" w:rsidRDefault="00DF2789" w:rsidP="00166CA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46401-08-15</w:t>
    </w:r>
    <w:r>
      <w:rPr>
        <w:color w:val="000000"/>
        <w:sz w:val="22"/>
        <w:szCs w:val="22"/>
        <w:rtl/>
      </w:rPr>
      <w:tab/>
      <w:t xml:space="preserve"> מדינת ישראל נ' עדנאן אמארה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E1F52"/>
    <w:rsid w:val="00004B4A"/>
    <w:rsid w:val="000258C6"/>
    <w:rsid w:val="00036259"/>
    <w:rsid w:val="00092DB2"/>
    <w:rsid w:val="000B222D"/>
    <w:rsid w:val="000F3716"/>
    <w:rsid w:val="000F776E"/>
    <w:rsid w:val="001163D9"/>
    <w:rsid w:val="00123268"/>
    <w:rsid w:val="0013605C"/>
    <w:rsid w:val="0015154B"/>
    <w:rsid w:val="00152B10"/>
    <w:rsid w:val="00166CA4"/>
    <w:rsid w:val="0017711A"/>
    <w:rsid w:val="00203146"/>
    <w:rsid w:val="002474C9"/>
    <w:rsid w:val="002B1389"/>
    <w:rsid w:val="002D2C1C"/>
    <w:rsid w:val="002E4BA2"/>
    <w:rsid w:val="00327617"/>
    <w:rsid w:val="00371D27"/>
    <w:rsid w:val="00374124"/>
    <w:rsid w:val="003B69A4"/>
    <w:rsid w:val="003B74A1"/>
    <w:rsid w:val="003C709F"/>
    <w:rsid w:val="003D65D3"/>
    <w:rsid w:val="003E51B4"/>
    <w:rsid w:val="003F02C5"/>
    <w:rsid w:val="004D1A95"/>
    <w:rsid w:val="004D5997"/>
    <w:rsid w:val="00533D5C"/>
    <w:rsid w:val="00551C5E"/>
    <w:rsid w:val="005638FB"/>
    <w:rsid w:val="00582B08"/>
    <w:rsid w:val="005847C1"/>
    <w:rsid w:val="005B4DDE"/>
    <w:rsid w:val="005E305D"/>
    <w:rsid w:val="00671477"/>
    <w:rsid w:val="006D1E81"/>
    <w:rsid w:val="00710EDB"/>
    <w:rsid w:val="007171C2"/>
    <w:rsid w:val="00720984"/>
    <w:rsid w:val="007900C5"/>
    <w:rsid w:val="007A3B68"/>
    <w:rsid w:val="007D10E0"/>
    <w:rsid w:val="007E1F52"/>
    <w:rsid w:val="007E62CB"/>
    <w:rsid w:val="008043FC"/>
    <w:rsid w:val="008057C3"/>
    <w:rsid w:val="00860D56"/>
    <w:rsid w:val="00866CE3"/>
    <w:rsid w:val="00875CAA"/>
    <w:rsid w:val="008760F0"/>
    <w:rsid w:val="008B2C82"/>
    <w:rsid w:val="008B7532"/>
    <w:rsid w:val="008D4AF6"/>
    <w:rsid w:val="00901DEA"/>
    <w:rsid w:val="00913EC5"/>
    <w:rsid w:val="00946CA3"/>
    <w:rsid w:val="009A4E50"/>
    <w:rsid w:val="009A720E"/>
    <w:rsid w:val="009B4682"/>
    <w:rsid w:val="00A03304"/>
    <w:rsid w:val="00A24369"/>
    <w:rsid w:val="00A40140"/>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D36BA"/>
    <w:rsid w:val="00DE1662"/>
    <w:rsid w:val="00DF2789"/>
    <w:rsid w:val="00E45CCB"/>
    <w:rsid w:val="00E61C95"/>
    <w:rsid w:val="00EA60CD"/>
    <w:rsid w:val="00EE2A1B"/>
    <w:rsid w:val="00F274FE"/>
    <w:rsid w:val="00FD0A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241AB9"/>
  <w15:chartTrackingRefBased/>
  <w15:docId w15:val="{AF815EF3-7911-4E2D-B5A2-7FB764905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E1F52"/>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7E1F52"/>
  </w:style>
  <w:style w:type="paragraph" w:styleId="a4">
    <w:name w:val="header"/>
    <w:basedOn w:val="a"/>
    <w:rsid w:val="007E1F52"/>
    <w:pPr>
      <w:tabs>
        <w:tab w:val="center" w:pos="4153"/>
        <w:tab w:val="right" w:pos="8306"/>
      </w:tabs>
    </w:pPr>
  </w:style>
  <w:style w:type="paragraph" w:styleId="a5">
    <w:name w:val="footer"/>
    <w:basedOn w:val="a"/>
    <w:rsid w:val="007E1F52"/>
    <w:pPr>
      <w:tabs>
        <w:tab w:val="center" w:pos="4153"/>
        <w:tab w:val="right" w:pos="8306"/>
      </w:tabs>
    </w:pPr>
  </w:style>
  <w:style w:type="character" w:styleId="a6">
    <w:name w:val="page number"/>
    <w:basedOn w:val="a0"/>
    <w:rsid w:val="007E1F52"/>
  </w:style>
  <w:style w:type="paragraph" w:customStyle="1" w:styleId="12">
    <w:name w:val="רגיל + ‏12 נק'"/>
    <w:aliases w:val="מיושר לשני הצדדים,מרווח בין שורות:  שורה וחצי"/>
    <w:basedOn w:val="a"/>
    <w:rsid w:val="007E1F52"/>
    <w:rPr>
      <w:rFonts w:ascii="Times New Roman" w:eastAsia="Times New Roman" w:hAnsi="Times New Roman"/>
      <w:b/>
      <w:bCs/>
      <w:u w:val="single"/>
    </w:rPr>
  </w:style>
  <w:style w:type="paragraph" w:styleId="2">
    <w:name w:val="Body Text 2"/>
    <w:basedOn w:val="a"/>
    <w:link w:val="20"/>
    <w:rsid w:val="007E1F52"/>
    <w:pPr>
      <w:spacing w:line="360" w:lineRule="auto"/>
      <w:jc w:val="both"/>
    </w:pPr>
    <w:rPr>
      <w:rFonts w:ascii="Times New Roman" w:eastAsia="Times New Roman" w:hAnsi="Times New Roman"/>
      <w:szCs w:val="28"/>
      <w:lang w:eastAsia="he-IL"/>
    </w:rPr>
  </w:style>
  <w:style w:type="character" w:customStyle="1" w:styleId="20">
    <w:name w:val="גוף טקסט 2 תו"/>
    <w:link w:val="2"/>
    <w:rsid w:val="007E1F52"/>
    <w:rPr>
      <w:rFonts w:cs="David"/>
      <w:sz w:val="24"/>
      <w:szCs w:val="28"/>
      <w:lang w:val="en-US" w:eastAsia="he-IL" w:bidi="he-IL"/>
    </w:rPr>
  </w:style>
  <w:style w:type="character" w:styleId="Hyperlink">
    <w:name w:val="Hyperlink"/>
    <w:basedOn w:val="a0"/>
    <w:rsid w:val="00166C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2615</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8257637</vt:i4>
      </vt:variant>
      <vt:variant>
        <vt:i4>9</vt:i4>
      </vt:variant>
      <vt:variant>
        <vt:i4>0</vt:i4>
      </vt:variant>
      <vt:variant>
        <vt:i4>5</vt:i4>
      </vt:variant>
      <vt:variant>
        <vt:lpwstr>http://www.nevo.co.il/law/4216</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2025-04-22T22:50:00Z</dcterms:created>
  <dcterms:modified xsi:type="dcterms:W3CDTF">2025-04-22T22:50:00Z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46401</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עדנאן אמארה</vt:lpwstr>
  </property>
  <property fmtid="{D5CDD505-2E9C-101B-9397-08002B2CF9AE}" pid="10" name="LAWYER">
    <vt:lpwstr>אמארה חאלד;נוח רחאל</vt:lpwstr>
  </property>
  <property fmtid="{D5CDD505-2E9C-101B-9397-08002B2CF9AE}" pid="11" name="JUDGE">
    <vt:lpwstr>יריב נבון</vt:lpwstr>
  </property>
  <property fmtid="{D5CDD505-2E9C-101B-9397-08002B2CF9AE}" pid="12" name="CITY">
    <vt:lpwstr>טב'</vt:lpwstr>
  </property>
  <property fmtid="{D5CDD505-2E9C-101B-9397-08002B2CF9AE}" pid="13" name="DATE">
    <vt:lpwstr>20170227</vt:lpwstr>
  </property>
  <property fmtid="{D5CDD505-2E9C-101B-9397-08002B2CF9AE}" pid="14" name="TYPE_N_DATE">
    <vt:lpwstr>38020170227</vt:lpwstr>
  </property>
  <property fmtid="{D5CDD505-2E9C-101B-9397-08002B2CF9AE}" pid="15" name="CASENOTES1">
    <vt:lpwstr>ProcID=158&amp;PartA=34229&amp;PartB=12&amp;PartC=12</vt:lpwstr>
  </property>
  <property fmtid="{D5CDD505-2E9C-101B-9397-08002B2CF9AE}" pid="16" name="CASENOTES2">
    <vt:lpwstr>ProcID=158&amp;PartA=55568&amp;PartB=07&amp;PartC=13</vt:lpwstr>
  </property>
  <property fmtid="{D5CDD505-2E9C-101B-9397-08002B2CF9AE}" pid="17" name="CASENOTES3">
    <vt:lpwstr>ProcID=158&amp;PartA=39077&amp;PartB=06&amp;PartC=13</vt:lpwstr>
  </property>
  <property fmtid="{D5CDD505-2E9C-101B-9397-08002B2CF9AE}" pid="18" name="LAWLISTTMP1">
    <vt:lpwstr>4216:3</vt:lpwstr>
  </property>
  <property fmtid="{D5CDD505-2E9C-101B-9397-08002B2CF9AE}" pid="19" name="WORDNUMPAGES">
    <vt:lpwstr>2</vt:lpwstr>
  </property>
  <property fmtid="{D5CDD505-2E9C-101B-9397-08002B2CF9AE}" pid="20" name="TYPE_ABS_DATE">
    <vt:lpwstr>380020170227</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