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013BE" w:rsidRPr="006D39F3" w14:paraId="0A8DA9D1" w14:textId="77777777" w:rsidTr="00FE6803">
        <w:trPr>
          <w:trHeight w:hRule="exact" w:val="418"/>
          <w:jc w:val="center"/>
        </w:trPr>
        <w:tc>
          <w:tcPr>
            <w:tcW w:w="8721" w:type="dxa"/>
            <w:gridSpan w:val="2"/>
          </w:tcPr>
          <w:p w14:paraId="079C1992" w14:textId="77777777" w:rsidR="009013BE" w:rsidRPr="006D39F3" w:rsidRDefault="009013BE" w:rsidP="00091805">
            <w:pPr>
              <w:pStyle w:val="a3"/>
              <w:jc w:val="center"/>
              <w:rPr>
                <w:rFonts w:ascii="Tahoma" w:hAnsi="Tahoma" w:cs="Tahoma"/>
                <w:color w:val="000080"/>
                <w:rtl/>
              </w:rPr>
            </w:pPr>
            <w:bookmarkStart w:id="0" w:name="LastJudge"/>
            <w:r w:rsidRPr="006D39F3">
              <w:rPr>
                <w:rFonts w:ascii="Tahoma" w:hAnsi="Tahoma" w:cs="Tahoma"/>
                <w:b/>
                <w:bCs/>
                <w:color w:val="000080"/>
                <w:sz w:val="20"/>
                <w:szCs w:val="20"/>
                <w:rtl/>
              </w:rPr>
              <w:t xml:space="preserve">בית משפט השלום בקריית גת - בשבתו בבימ"ש </w:t>
            </w:r>
            <w:r w:rsidRPr="006D39F3">
              <w:rPr>
                <w:rFonts w:ascii="Tahoma" w:hAnsi="Tahoma" w:cs="Tahoma" w:hint="cs"/>
                <w:b/>
                <w:bCs/>
                <w:color w:val="000080"/>
                <w:sz w:val="20"/>
                <w:szCs w:val="20"/>
                <w:rtl/>
              </w:rPr>
              <w:t>אשקלון</w:t>
            </w:r>
          </w:p>
        </w:tc>
      </w:tr>
      <w:tr w:rsidR="009013BE" w:rsidRPr="006D39F3" w14:paraId="2A360CE3" w14:textId="77777777" w:rsidTr="00FE6803">
        <w:trPr>
          <w:trHeight w:val="337"/>
          <w:jc w:val="center"/>
        </w:trPr>
        <w:tc>
          <w:tcPr>
            <w:tcW w:w="5054" w:type="dxa"/>
          </w:tcPr>
          <w:p w14:paraId="77B87E1B" w14:textId="77777777" w:rsidR="009013BE" w:rsidRPr="006D39F3" w:rsidRDefault="009013BE" w:rsidP="00091805">
            <w:pPr>
              <w:rPr>
                <w:rFonts w:cs="FrankRuehl"/>
                <w:sz w:val="28"/>
                <w:szCs w:val="28"/>
                <w:rtl/>
              </w:rPr>
            </w:pPr>
            <w:r w:rsidRPr="006D39F3">
              <w:rPr>
                <w:rFonts w:cs="FrankRuehl"/>
                <w:sz w:val="28"/>
                <w:szCs w:val="28"/>
                <w:rtl/>
              </w:rPr>
              <w:t>ת"פ</w:t>
            </w:r>
            <w:r w:rsidRPr="006D39F3">
              <w:rPr>
                <w:rFonts w:cs="FrankRuehl" w:hint="cs"/>
                <w:sz w:val="28"/>
                <w:szCs w:val="28"/>
                <w:rtl/>
              </w:rPr>
              <w:t xml:space="preserve"> </w:t>
            </w:r>
            <w:r w:rsidRPr="006D39F3">
              <w:rPr>
                <w:rFonts w:cs="FrankRuehl"/>
                <w:sz w:val="28"/>
                <w:szCs w:val="28"/>
                <w:rtl/>
              </w:rPr>
              <w:t>49156-08-15</w:t>
            </w:r>
            <w:r w:rsidRPr="006D39F3">
              <w:rPr>
                <w:rFonts w:cs="FrankRuehl" w:hint="cs"/>
                <w:sz w:val="28"/>
                <w:szCs w:val="28"/>
                <w:rtl/>
              </w:rPr>
              <w:t xml:space="preserve"> </w:t>
            </w:r>
            <w:r w:rsidRPr="006D39F3">
              <w:rPr>
                <w:rFonts w:cs="FrankRuehl"/>
                <w:sz w:val="28"/>
                <w:szCs w:val="28"/>
                <w:rtl/>
              </w:rPr>
              <w:t>מדינת ישראל נ' זיתון</w:t>
            </w:r>
          </w:p>
          <w:p w14:paraId="7BCAC113" w14:textId="77777777" w:rsidR="009013BE" w:rsidRPr="006D39F3" w:rsidRDefault="009013BE" w:rsidP="00091805">
            <w:pPr>
              <w:pStyle w:val="a3"/>
              <w:rPr>
                <w:rFonts w:cs="FrankRuehl"/>
                <w:sz w:val="28"/>
                <w:szCs w:val="28"/>
                <w:rtl/>
              </w:rPr>
            </w:pPr>
          </w:p>
        </w:tc>
        <w:tc>
          <w:tcPr>
            <w:tcW w:w="3667" w:type="dxa"/>
          </w:tcPr>
          <w:p w14:paraId="2C5DEC11" w14:textId="77777777" w:rsidR="009013BE" w:rsidRPr="006D39F3" w:rsidRDefault="009013BE" w:rsidP="00091805">
            <w:pPr>
              <w:pStyle w:val="a3"/>
              <w:jc w:val="right"/>
              <w:rPr>
                <w:rFonts w:cs="FrankRuehl"/>
                <w:sz w:val="28"/>
                <w:szCs w:val="28"/>
                <w:rtl/>
              </w:rPr>
            </w:pPr>
          </w:p>
        </w:tc>
      </w:tr>
    </w:tbl>
    <w:p w14:paraId="76992998" w14:textId="77777777" w:rsidR="009013BE" w:rsidRPr="006D39F3" w:rsidRDefault="009013BE" w:rsidP="009013BE">
      <w:pPr>
        <w:pStyle w:val="a3"/>
        <w:rPr>
          <w:rtl/>
        </w:rPr>
      </w:pPr>
      <w:r w:rsidRPr="006D39F3">
        <w:rPr>
          <w:rFonts w:hint="cs"/>
          <w:rtl/>
        </w:rPr>
        <w:t xml:space="preserve"> </w:t>
      </w:r>
    </w:p>
    <w:p w14:paraId="6CDD90D8" w14:textId="77777777" w:rsidR="009013BE" w:rsidRPr="006D39F3" w:rsidRDefault="009013BE" w:rsidP="009013B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013BE" w:rsidRPr="006D39F3" w14:paraId="0588DEFF" w14:textId="77777777" w:rsidTr="009013BE">
        <w:trPr>
          <w:trHeight w:val="295"/>
          <w:jc w:val="center"/>
        </w:trPr>
        <w:tc>
          <w:tcPr>
            <w:tcW w:w="923" w:type="dxa"/>
            <w:tcBorders>
              <w:top w:val="nil"/>
              <w:left w:val="nil"/>
              <w:bottom w:val="nil"/>
              <w:right w:val="nil"/>
            </w:tcBorders>
            <w:shd w:val="clear" w:color="auto" w:fill="auto"/>
          </w:tcPr>
          <w:p w14:paraId="0B0AAC94" w14:textId="77777777" w:rsidR="009013BE" w:rsidRPr="006D39F3" w:rsidRDefault="009013BE" w:rsidP="009013BE">
            <w:pPr>
              <w:jc w:val="both"/>
              <w:rPr>
                <w:rFonts w:ascii="Arial" w:hAnsi="Arial" w:cs="FrankRuehl"/>
                <w:sz w:val="28"/>
                <w:szCs w:val="28"/>
              </w:rPr>
            </w:pPr>
            <w:r w:rsidRPr="006D39F3">
              <w:rPr>
                <w:rFonts w:ascii="Arial" w:hAnsi="Arial" w:cs="FrankRuehl" w:hint="cs"/>
                <w:sz w:val="28"/>
                <w:szCs w:val="28"/>
                <w:rtl/>
              </w:rPr>
              <w:t>ב</w:t>
            </w:r>
            <w:r w:rsidRPr="006D39F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38B51DA" w14:textId="77777777" w:rsidR="009013BE" w:rsidRPr="006D39F3" w:rsidRDefault="009013BE" w:rsidP="00091805">
            <w:pPr>
              <w:rPr>
                <w:rFonts w:ascii="Arial" w:hAnsi="Arial"/>
                <w:b/>
                <w:bCs/>
                <w:rtl/>
              </w:rPr>
            </w:pPr>
            <w:r w:rsidRPr="006D39F3">
              <w:rPr>
                <w:rFonts w:ascii="Arial" w:hAnsi="Arial" w:hint="cs"/>
                <w:b/>
                <w:bCs/>
                <w:rtl/>
              </w:rPr>
              <w:t>כבוד ה</w:t>
            </w:r>
            <w:r w:rsidRPr="006D39F3">
              <w:rPr>
                <w:rFonts w:ascii="Arial" w:hAnsi="Arial"/>
                <w:b/>
                <w:bCs/>
                <w:rtl/>
              </w:rPr>
              <w:t>שופטת</w:t>
            </w:r>
            <w:r w:rsidRPr="006D39F3">
              <w:rPr>
                <w:rFonts w:ascii="Arial" w:hAnsi="Arial" w:hint="cs"/>
                <w:b/>
                <w:bCs/>
                <w:rtl/>
              </w:rPr>
              <w:t xml:space="preserve">  </w:t>
            </w:r>
            <w:r w:rsidRPr="006D39F3">
              <w:rPr>
                <w:rFonts w:ascii="Arial" w:hAnsi="Arial"/>
                <w:b/>
                <w:bCs/>
                <w:rtl/>
              </w:rPr>
              <w:t>נועה חקלאי</w:t>
            </w:r>
          </w:p>
          <w:p w14:paraId="02CFF8DB" w14:textId="77777777" w:rsidR="009013BE" w:rsidRPr="006D39F3" w:rsidRDefault="009013BE" w:rsidP="00091805">
            <w:pPr>
              <w:rPr>
                <w:rtl/>
              </w:rPr>
            </w:pPr>
          </w:p>
          <w:p w14:paraId="7F8AA92B" w14:textId="77777777" w:rsidR="009013BE" w:rsidRPr="006D39F3" w:rsidRDefault="009013BE" w:rsidP="009013BE">
            <w:pPr>
              <w:jc w:val="both"/>
              <w:rPr>
                <w:rFonts w:ascii="Arial" w:hAnsi="Arial" w:cs="FrankRuehl"/>
                <w:sz w:val="28"/>
                <w:szCs w:val="28"/>
              </w:rPr>
            </w:pPr>
          </w:p>
        </w:tc>
      </w:tr>
      <w:tr w:rsidR="009013BE" w:rsidRPr="006D39F3" w14:paraId="09AC8761" w14:textId="77777777" w:rsidTr="009013BE">
        <w:trPr>
          <w:trHeight w:val="355"/>
          <w:jc w:val="center"/>
        </w:trPr>
        <w:tc>
          <w:tcPr>
            <w:tcW w:w="923" w:type="dxa"/>
            <w:tcBorders>
              <w:top w:val="nil"/>
              <w:left w:val="nil"/>
              <w:bottom w:val="nil"/>
              <w:right w:val="nil"/>
            </w:tcBorders>
            <w:shd w:val="clear" w:color="auto" w:fill="auto"/>
          </w:tcPr>
          <w:p w14:paraId="6EDF974E" w14:textId="77777777" w:rsidR="009013BE" w:rsidRPr="006D39F3" w:rsidRDefault="009013BE" w:rsidP="009013BE">
            <w:pPr>
              <w:jc w:val="both"/>
              <w:rPr>
                <w:rFonts w:ascii="Arial" w:hAnsi="Arial" w:cs="FrankRuehl"/>
                <w:sz w:val="28"/>
                <w:szCs w:val="28"/>
              </w:rPr>
            </w:pPr>
            <w:bookmarkStart w:id="1" w:name="FirstAppellant"/>
            <w:r w:rsidRPr="006D39F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2BC6DCB" w14:textId="77777777" w:rsidR="009013BE" w:rsidRPr="006D39F3" w:rsidRDefault="009013BE" w:rsidP="00091805">
            <w:r w:rsidRPr="006D39F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1CCD24C" w14:textId="77777777" w:rsidR="009013BE" w:rsidRPr="006D39F3" w:rsidRDefault="009013BE" w:rsidP="009013BE">
            <w:pPr>
              <w:jc w:val="both"/>
              <w:rPr>
                <w:rFonts w:ascii="Arial" w:hAnsi="Arial" w:cs="FrankRuehl"/>
                <w:sz w:val="28"/>
                <w:szCs w:val="28"/>
              </w:rPr>
            </w:pPr>
          </w:p>
        </w:tc>
      </w:tr>
      <w:bookmarkEnd w:id="1"/>
      <w:tr w:rsidR="009013BE" w:rsidRPr="006D39F3" w14:paraId="59ED5137" w14:textId="77777777" w:rsidTr="009013BE">
        <w:trPr>
          <w:trHeight w:val="355"/>
          <w:jc w:val="center"/>
        </w:trPr>
        <w:tc>
          <w:tcPr>
            <w:tcW w:w="923" w:type="dxa"/>
            <w:tcBorders>
              <w:top w:val="nil"/>
              <w:left w:val="nil"/>
              <w:bottom w:val="nil"/>
              <w:right w:val="nil"/>
            </w:tcBorders>
            <w:shd w:val="clear" w:color="auto" w:fill="auto"/>
          </w:tcPr>
          <w:p w14:paraId="3AD23894" w14:textId="77777777" w:rsidR="009013BE" w:rsidRPr="006D39F3" w:rsidRDefault="009013BE" w:rsidP="009013B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D16347" w14:textId="77777777" w:rsidR="009013BE" w:rsidRPr="006D39F3" w:rsidRDefault="009013BE" w:rsidP="009013BE">
            <w:pPr>
              <w:jc w:val="both"/>
              <w:rPr>
                <w:rtl/>
              </w:rPr>
            </w:pPr>
          </w:p>
        </w:tc>
        <w:tc>
          <w:tcPr>
            <w:tcW w:w="3771" w:type="dxa"/>
            <w:tcBorders>
              <w:top w:val="nil"/>
              <w:left w:val="nil"/>
              <w:bottom w:val="nil"/>
              <w:right w:val="nil"/>
            </w:tcBorders>
            <w:shd w:val="clear" w:color="auto" w:fill="auto"/>
          </w:tcPr>
          <w:p w14:paraId="54DA68A4" w14:textId="77777777" w:rsidR="009013BE" w:rsidRPr="006D39F3" w:rsidRDefault="009013BE" w:rsidP="009013BE">
            <w:pPr>
              <w:jc w:val="right"/>
              <w:rPr>
                <w:rFonts w:ascii="Arial" w:hAnsi="Arial" w:cs="FrankRuehl"/>
                <w:sz w:val="28"/>
                <w:szCs w:val="28"/>
                <w:rtl/>
              </w:rPr>
            </w:pPr>
            <w:r w:rsidRPr="006D39F3">
              <w:rPr>
                <w:rFonts w:ascii="Arial" w:hAnsi="Arial" w:cs="FrankRuehl" w:hint="cs"/>
                <w:sz w:val="28"/>
                <w:szCs w:val="28"/>
                <w:rtl/>
              </w:rPr>
              <w:t>ה</w:t>
            </w:r>
            <w:r w:rsidRPr="006D39F3">
              <w:rPr>
                <w:rFonts w:ascii="Arial" w:hAnsi="Arial" w:cs="FrankRuehl"/>
                <w:sz w:val="28"/>
                <w:szCs w:val="28"/>
                <w:rtl/>
              </w:rPr>
              <w:t>מאשימה</w:t>
            </w:r>
          </w:p>
        </w:tc>
      </w:tr>
      <w:tr w:rsidR="009013BE" w:rsidRPr="006D39F3" w14:paraId="3945DA86" w14:textId="77777777" w:rsidTr="009013BE">
        <w:trPr>
          <w:trHeight w:val="355"/>
          <w:jc w:val="center"/>
        </w:trPr>
        <w:tc>
          <w:tcPr>
            <w:tcW w:w="923" w:type="dxa"/>
            <w:tcBorders>
              <w:top w:val="nil"/>
              <w:left w:val="nil"/>
              <w:bottom w:val="nil"/>
              <w:right w:val="nil"/>
            </w:tcBorders>
            <w:shd w:val="clear" w:color="auto" w:fill="auto"/>
          </w:tcPr>
          <w:p w14:paraId="00518B91" w14:textId="77777777" w:rsidR="009013BE" w:rsidRPr="006D39F3" w:rsidRDefault="009013BE" w:rsidP="009013B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363F252" w14:textId="77777777" w:rsidR="009013BE" w:rsidRPr="006D39F3" w:rsidRDefault="009013BE" w:rsidP="009013BE">
            <w:pPr>
              <w:jc w:val="center"/>
              <w:rPr>
                <w:rFonts w:ascii="Arial" w:hAnsi="Arial" w:cs="FrankRuehl"/>
                <w:b/>
                <w:bCs/>
                <w:sz w:val="28"/>
                <w:szCs w:val="28"/>
                <w:rtl/>
              </w:rPr>
            </w:pPr>
          </w:p>
          <w:p w14:paraId="3C5419EB" w14:textId="77777777" w:rsidR="009013BE" w:rsidRPr="006D39F3" w:rsidRDefault="009013BE" w:rsidP="009013BE">
            <w:pPr>
              <w:jc w:val="center"/>
              <w:rPr>
                <w:rFonts w:ascii="Arial" w:hAnsi="Arial" w:cs="FrankRuehl"/>
                <w:b/>
                <w:bCs/>
                <w:sz w:val="28"/>
                <w:szCs w:val="28"/>
                <w:rtl/>
              </w:rPr>
            </w:pPr>
            <w:r w:rsidRPr="006D39F3">
              <w:rPr>
                <w:rFonts w:ascii="Arial" w:hAnsi="Arial" w:cs="FrankRuehl"/>
                <w:b/>
                <w:bCs/>
                <w:sz w:val="28"/>
                <w:szCs w:val="28"/>
                <w:rtl/>
              </w:rPr>
              <w:t>נגד</w:t>
            </w:r>
          </w:p>
          <w:p w14:paraId="01732457" w14:textId="77777777" w:rsidR="009013BE" w:rsidRPr="006D39F3" w:rsidRDefault="009013BE" w:rsidP="009013BE">
            <w:pPr>
              <w:jc w:val="both"/>
              <w:rPr>
                <w:rFonts w:ascii="Arial" w:hAnsi="Arial" w:cs="FrankRuehl"/>
                <w:sz w:val="28"/>
                <w:szCs w:val="28"/>
              </w:rPr>
            </w:pPr>
          </w:p>
        </w:tc>
      </w:tr>
      <w:tr w:rsidR="009013BE" w:rsidRPr="006D39F3" w14:paraId="49D2BD9B" w14:textId="77777777" w:rsidTr="009013BE">
        <w:trPr>
          <w:trHeight w:val="355"/>
          <w:jc w:val="center"/>
        </w:trPr>
        <w:tc>
          <w:tcPr>
            <w:tcW w:w="923" w:type="dxa"/>
            <w:tcBorders>
              <w:top w:val="nil"/>
              <w:left w:val="nil"/>
              <w:bottom w:val="nil"/>
              <w:right w:val="nil"/>
            </w:tcBorders>
            <w:shd w:val="clear" w:color="auto" w:fill="auto"/>
          </w:tcPr>
          <w:p w14:paraId="47DD1402" w14:textId="77777777" w:rsidR="009013BE" w:rsidRPr="006D39F3" w:rsidRDefault="009013BE" w:rsidP="00091805">
            <w:pPr>
              <w:rPr>
                <w:rFonts w:ascii="Arial" w:hAnsi="Arial" w:cs="FrankRuehl"/>
                <w:sz w:val="28"/>
                <w:szCs w:val="28"/>
                <w:rtl/>
              </w:rPr>
            </w:pPr>
          </w:p>
        </w:tc>
        <w:tc>
          <w:tcPr>
            <w:tcW w:w="4126" w:type="dxa"/>
            <w:tcBorders>
              <w:top w:val="nil"/>
              <w:left w:val="nil"/>
              <w:bottom w:val="nil"/>
              <w:right w:val="nil"/>
            </w:tcBorders>
            <w:shd w:val="clear" w:color="auto" w:fill="auto"/>
          </w:tcPr>
          <w:p w14:paraId="0755610E" w14:textId="77777777" w:rsidR="009013BE" w:rsidRPr="006D39F3" w:rsidRDefault="009013BE" w:rsidP="00091805">
            <w:pPr>
              <w:rPr>
                <w:rtl/>
              </w:rPr>
            </w:pPr>
            <w:r w:rsidRPr="006D39F3">
              <w:rPr>
                <w:rFonts w:ascii="Arial" w:hAnsi="Arial" w:cs="FrankRuehl"/>
                <w:sz w:val="28"/>
                <w:szCs w:val="28"/>
                <w:rtl/>
              </w:rPr>
              <w:t>גיהד זיתון</w:t>
            </w:r>
          </w:p>
        </w:tc>
        <w:tc>
          <w:tcPr>
            <w:tcW w:w="3771" w:type="dxa"/>
            <w:tcBorders>
              <w:top w:val="nil"/>
              <w:left w:val="nil"/>
              <w:bottom w:val="nil"/>
              <w:right w:val="nil"/>
            </w:tcBorders>
            <w:shd w:val="clear" w:color="auto" w:fill="auto"/>
          </w:tcPr>
          <w:p w14:paraId="7178FEC5" w14:textId="77777777" w:rsidR="009013BE" w:rsidRPr="006D39F3" w:rsidRDefault="009013BE" w:rsidP="009013BE">
            <w:pPr>
              <w:jc w:val="right"/>
              <w:rPr>
                <w:rFonts w:ascii="Arial" w:hAnsi="Arial" w:cs="FrankRuehl"/>
                <w:sz w:val="28"/>
                <w:szCs w:val="28"/>
              </w:rPr>
            </w:pPr>
          </w:p>
        </w:tc>
      </w:tr>
      <w:tr w:rsidR="009013BE" w:rsidRPr="006D39F3" w14:paraId="2A628D32" w14:textId="77777777" w:rsidTr="009013BE">
        <w:trPr>
          <w:trHeight w:val="355"/>
          <w:jc w:val="center"/>
        </w:trPr>
        <w:tc>
          <w:tcPr>
            <w:tcW w:w="923" w:type="dxa"/>
            <w:tcBorders>
              <w:top w:val="nil"/>
              <w:left w:val="nil"/>
              <w:bottom w:val="nil"/>
              <w:right w:val="nil"/>
            </w:tcBorders>
            <w:shd w:val="clear" w:color="auto" w:fill="auto"/>
          </w:tcPr>
          <w:p w14:paraId="34C0CED5" w14:textId="77777777" w:rsidR="009013BE" w:rsidRPr="006D39F3" w:rsidRDefault="009013BE" w:rsidP="009013B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CB8DF4" w14:textId="77777777" w:rsidR="009013BE" w:rsidRPr="006D39F3" w:rsidRDefault="009013BE" w:rsidP="009013BE">
            <w:pPr>
              <w:jc w:val="both"/>
              <w:rPr>
                <w:rtl/>
              </w:rPr>
            </w:pPr>
          </w:p>
        </w:tc>
        <w:tc>
          <w:tcPr>
            <w:tcW w:w="3771" w:type="dxa"/>
            <w:tcBorders>
              <w:top w:val="nil"/>
              <w:left w:val="nil"/>
              <w:bottom w:val="nil"/>
              <w:right w:val="nil"/>
            </w:tcBorders>
            <w:shd w:val="clear" w:color="auto" w:fill="auto"/>
          </w:tcPr>
          <w:p w14:paraId="1311BBE9" w14:textId="77777777" w:rsidR="009013BE" w:rsidRPr="006D39F3" w:rsidRDefault="009013BE" w:rsidP="009013BE">
            <w:pPr>
              <w:jc w:val="right"/>
              <w:rPr>
                <w:rFonts w:ascii="Arial" w:hAnsi="Arial" w:cs="FrankRuehl"/>
                <w:sz w:val="28"/>
                <w:szCs w:val="28"/>
              </w:rPr>
            </w:pPr>
            <w:r w:rsidRPr="006D39F3">
              <w:rPr>
                <w:rFonts w:ascii="Arial" w:hAnsi="Arial" w:cs="FrankRuehl" w:hint="cs"/>
                <w:sz w:val="28"/>
                <w:szCs w:val="28"/>
                <w:rtl/>
              </w:rPr>
              <w:t>ה</w:t>
            </w:r>
            <w:r w:rsidRPr="006D39F3">
              <w:rPr>
                <w:rFonts w:ascii="Arial" w:hAnsi="Arial" w:cs="FrankRuehl"/>
                <w:sz w:val="28"/>
                <w:szCs w:val="28"/>
                <w:rtl/>
              </w:rPr>
              <w:t>נאשם</w:t>
            </w:r>
          </w:p>
        </w:tc>
      </w:tr>
    </w:tbl>
    <w:p w14:paraId="21CF8FCE" w14:textId="77777777" w:rsidR="00FE6803" w:rsidRDefault="00FE6803" w:rsidP="009013BE">
      <w:pPr>
        <w:rPr>
          <w:rtl/>
        </w:rPr>
      </w:pPr>
      <w:bookmarkStart w:id="2" w:name="LawTable"/>
      <w:bookmarkEnd w:id="2"/>
    </w:p>
    <w:p w14:paraId="32CCA71B" w14:textId="77777777" w:rsidR="00FE6803" w:rsidRPr="00FE6803" w:rsidRDefault="00FE6803" w:rsidP="00FE6803">
      <w:pPr>
        <w:spacing w:after="120" w:line="240" w:lineRule="exact"/>
        <w:ind w:left="283" w:hanging="283"/>
        <w:jc w:val="both"/>
        <w:rPr>
          <w:rFonts w:ascii="FrankRuehl" w:hAnsi="FrankRuehl" w:cs="FrankRuehl"/>
          <w:rtl/>
        </w:rPr>
      </w:pPr>
    </w:p>
    <w:p w14:paraId="70338568" w14:textId="77777777" w:rsidR="00FE6803" w:rsidRPr="00FE6803" w:rsidRDefault="00FE6803" w:rsidP="00FE6803">
      <w:pPr>
        <w:spacing w:after="120" w:line="240" w:lineRule="exact"/>
        <w:ind w:left="283" w:hanging="283"/>
        <w:jc w:val="both"/>
        <w:rPr>
          <w:rFonts w:ascii="FrankRuehl" w:hAnsi="FrankRuehl" w:cs="FrankRuehl"/>
          <w:rtl/>
        </w:rPr>
      </w:pPr>
      <w:r w:rsidRPr="00FE6803">
        <w:rPr>
          <w:rFonts w:ascii="FrankRuehl" w:hAnsi="FrankRuehl" w:cs="FrankRuehl"/>
          <w:rtl/>
        </w:rPr>
        <w:t xml:space="preserve">חקיקה שאוזכרה: </w:t>
      </w:r>
    </w:p>
    <w:p w14:paraId="0391D561" w14:textId="77777777" w:rsidR="00FE6803" w:rsidRPr="00FE6803" w:rsidRDefault="00FE6803" w:rsidP="00FE6803">
      <w:pPr>
        <w:spacing w:after="120" w:line="240" w:lineRule="exact"/>
        <w:ind w:left="283" w:hanging="283"/>
        <w:jc w:val="both"/>
        <w:rPr>
          <w:rFonts w:ascii="FrankRuehl" w:hAnsi="FrankRuehl" w:cs="FrankRuehl"/>
          <w:rtl/>
        </w:rPr>
      </w:pPr>
      <w:hyperlink r:id="rId7" w:history="1">
        <w:r w:rsidRPr="00FE6803">
          <w:rPr>
            <w:rFonts w:ascii="FrankRuehl" w:hAnsi="FrankRuehl" w:cs="FrankRuehl"/>
            <w:color w:val="0000FF"/>
            <w:u w:val="single"/>
            <w:rtl/>
          </w:rPr>
          <w:t>פקודת הסמים המסוכנים [נוסח חדש], תשל"ג-1973</w:t>
        </w:r>
      </w:hyperlink>
      <w:r w:rsidRPr="00FE6803">
        <w:rPr>
          <w:rFonts w:ascii="FrankRuehl" w:hAnsi="FrankRuehl" w:cs="FrankRuehl"/>
          <w:rtl/>
        </w:rPr>
        <w:t xml:space="preserve">: סע'  </w:t>
      </w:r>
      <w:hyperlink r:id="rId8" w:history="1">
        <w:r w:rsidRPr="00FE6803">
          <w:rPr>
            <w:rFonts w:ascii="FrankRuehl" w:hAnsi="FrankRuehl" w:cs="FrankRuehl"/>
            <w:color w:val="0000FF"/>
            <w:u w:val="single"/>
            <w:rtl/>
          </w:rPr>
          <w:t>7.א.</w:t>
        </w:r>
      </w:hyperlink>
      <w:r w:rsidRPr="00FE6803">
        <w:rPr>
          <w:rFonts w:ascii="FrankRuehl" w:hAnsi="FrankRuehl" w:cs="FrankRuehl"/>
          <w:rtl/>
        </w:rPr>
        <w:t xml:space="preserve">, </w:t>
      </w:r>
      <w:hyperlink r:id="rId9" w:history="1">
        <w:r w:rsidRPr="00FE6803">
          <w:rPr>
            <w:rFonts w:ascii="FrankRuehl" w:hAnsi="FrankRuehl" w:cs="FrankRuehl"/>
            <w:color w:val="0000FF"/>
            <w:u w:val="single"/>
            <w:rtl/>
          </w:rPr>
          <w:t>7.ג</w:t>
        </w:r>
      </w:hyperlink>
    </w:p>
    <w:p w14:paraId="0CB3A19D" w14:textId="77777777" w:rsidR="00FE6803" w:rsidRPr="00FE6803" w:rsidRDefault="00FE6803" w:rsidP="00FE6803">
      <w:pPr>
        <w:spacing w:after="120" w:line="240" w:lineRule="exact"/>
        <w:ind w:left="283" w:hanging="283"/>
        <w:jc w:val="both"/>
        <w:rPr>
          <w:rFonts w:ascii="FrankRuehl" w:hAnsi="FrankRuehl" w:cs="FrankRuehl"/>
          <w:rtl/>
        </w:rPr>
      </w:pPr>
      <w:hyperlink r:id="rId10" w:history="1">
        <w:r w:rsidRPr="00FE6803">
          <w:rPr>
            <w:rFonts w:ascii="FrankRuehl" w:hAnsi="FrankRuehl" w:cs="FrankRuehl"/>
            <w:color w:val="0000FF"/>
            <w:u w:val="single"/>
            <w:rtl/>
          </w:rPr>
          <w:t>חוק העונשין, תשל"ז-1977</w:t>
        </w:r>
      </w:hyperlink>
      <w:r w:rsidRPr="00FE6803">
        <w:rPr>
          <w:rFonts w:ascii="FrankRuehl" w:hAnsi="FrankRuehl" w:cs="FrankRuehl"/>
          <w:rtl/>
        </w:rPr>
        <w:t xml:space="preserve">: סע'  </w:t>
      </w:r>
      <w:hyperlink r:id="rId11" w:history="1">
        <w:r w:rsidRPr="00FE6803">
          <w:rPr>
            <w:rFonts w:ascii="FrankRuehl" w:hAnsi="FrankRuehl" w:cs="FrankRuehl"/>
            <w:color w:val="0000FF"/>
            <w:u w:val="single"/>
            <w:rtl/>
          </w:rPr>
          <w:t>40ד'</w:t>
        </w:r>
      </w:hyperlink>
      <w:r w:rsidRPr="00FE6803">
        <w:rPr>
          <w:rFonts w:ascii="FrankRuehl" w:hAnsi="FrankRuehl" w:cs="FrankRuehl"/>
          <w:rtl/>
        </w:rPr>
        <w:t xml:space="preserve">, </w:t>
      </w:r>
      <w:hyperlink r:id="rId12" w:history="1">
        <w:r w:rsidRPr="00FE6803">
          <w:rPr>
            <w:rFonts w:ascii="FrankRuehl" w:hAnsi="FrankRuehl" w:cs="FrankRuehl"/>
            <w:color w:val="0000FF"/>
            <w:u w:val="single"/>
            <w:rtl/>
          </w:rPr>
          <w:t>58</w:t>
        </w:r>
      </w:hyperlink>
    </w:p>
    <w:p w14:paraId="624BC06D" w14:textId="77777777" w:rsidR="006D39F3" w:rsidRPr="006D39F3" w:rsidRDefault="006D39F3" w:rsidP="009013BE">
      <w:pPr>
        <w:rPr>
          <w:rtl/>
        </w:rPr>
      </w:pPr>
    </w:p>
    <w:p w14:paraId="0F21FEE0" w14:textId="77777777" w:rsidR="009013BE" w:rsidRPr="006D39F3" w:rsidRDefault="009013BE" w:rsidP="009013B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13BE" w14:paraId="659EF28E" w14:textId="77777777" w:rsidTr="009013BE">
        <w:trPr>
          <w:trHeight w:val="355"/>
          <w:jc w:val="center"/>
        </w:trPr>
        <w:tc>
          <w:tcPr>
            <w:tcW w:w="8820" w:type="dxa"/>
            <w:tcBorders>
              <w:top w:val="nil"/>
              <w:left w:val="nil"/>
              <w:bottom w:val="nil"/>
              <w:right w:val="nil"/>
            </w:tcBorders>
            <w:shd w:val="clear" w:color="auto" w:fill="auto"/>
          </w:tcPr>
          <w:p w14:paraId="263B92B8" w14:textId="77777777" w:rsidR="006D39F3" w:rsidRPr="006D39F3" w:rsidRDefault="006D39F3" w:rsidP="006D39F3">
            <w:pPr>
              <w:jc w:val="center"/>
              <w:rPr>
                <w:rFonts w:ascii="Arial" w:hAnsi="Arial" w:cs="FrankRuehl"/>
                <w:b/>
                <w:bCs/>
                <w:sz w:val="32"/>
                <w:szCs w:val="32"/>
                <w:u w:val="single"/>
                <w:rtl/>
              </w:rPr>
            </w:pPr>
            <w:bookmarkStart w:id="3" w:name="PsakDin" w:colFirst="0" w:colLast="0"/>
            <w:bookmarkEnd w:id="0"/>
            <w:r w:rsidRPr="006D39F3">
              <w:rPr>
                <w:rFonts w:ascii="Arial" w:hAnsi="Arial" w:cs="FrankRuehl"/>
                <w:b/>
                <w:bCs/>
                <w:sz w:val="32"/>
                <w:szCs w:val="32"/>
                <w:u w:val="single"/>
                <w:rtl/>
              </w:rPr>
              <w:t>גזר דין</w:t>
            </w:r>
          </w:p>
          <w:p w14:paraId="56787149" w14:textId="77777777" w:rsidR="009013BE" w:rsidRPr="006D39F3" w:rsidRDefault="009013BE" w:rsidP="006D39F3">
            <w:pPr>
              <w:jc w:val="center"/>
              <w:rPr>
                <w:rFonts w:ascii="Arial" w:hAnsi="Arial" w:cs="FrankRuehl"/>
                <w:bCs/>
                <w:sz w:val="32"/>
                <w:szCs w:val="32"/>
                <w:u w:val="single"/>
                <w:rtl/>
              </w:rPr>
            </w:pPr>
          </w:p>
        </w:tc>
      </w:tr>
      <w:bookmarkEnd w:id="3"/>
    </w:tbl>
    <w:p w14:paraId="1DCC2727" w14:textId="77777777" w:rsidR="009013BE" w:rsidRPr="00B05847" w:rsidRDefault="009013BE" w:rsidP="009013BE">
      <w:pPr>
        <w:rPr>
          <w:rFonts w:ascii="Arial" w:hAnsi="Arial"/>
          <w:rtl/>
        </w:rPr>
      </w:pPr>
    </w:p>
    <w:p w14:paraId="3C06B66B" w14:textId="77777777" w:rsidR="009013BE" w:rsidRPr="00B05847" w:rsidRDefault="009013BE" w:rsidP="009013BE">
      <w:pPr>
        <w:rPr>
          <w:rFonts w:ascii="Arial" w:hAnsi="Arial"/>
          <w:rtl/>
        </w:rPr>
      </w:pPr>
    </w:p>
    <w:p w14:paraId="68910A00" w14:textId="77777777" w:rsidR="009013BE" w:rsidRDefault="009013BE" w:rsidP="009013BE">
      <w:pPr>
        <w:spacing w:before="100" w:beforeAutospacing="1" w:after="100" w:afterAutospacing="1" w:line="288" w:lineRule="auto"/>
        <w:rPr>
          <w:bCs/>
          <w:u w:val="single"/>
          <w:rtl/>
          <w:lang w:eastAsia="he-IL"/>
        </w:rPr>
      </w:pPr>
      <w:r>
        <w:rPr>
          <w:rFonts w:hint="cs"/>
          <w:bCs/>
          <w:u w:val="single"/>
          <w:rtl/>
          <w:lang w:eastAsia="he-IL"/>
        </w:rPr>
        <w:t>רקע</w:t>
      </w:r>
    </w:p>
    <w:p w14:paraId="1F3987C1" w14:textId="77777777" w:rsidR="009013BE" w:rsidRDefault="009013BE" w:rsidP="009013BE">
      <w:pPr>
        <w:numPr>
          <w:ilvl w:val="0"/>
          <w:numId w:val="1"/>
        </w:numPr>
        <w:spacing w:before="100" w:beforeAutospacing="1" w:after="100" w:afterAutospacing="1" w:line="288" w:lineRule="auto"/>
        <w:contextualSpacing/>
        <w:jc w:val="both"/>
        <w:rPr>
          <w:rFonts w:ascii="David" w:hAnsi="David"/>
          <w:color w:val="000000"/>
          <w:rtl/>
        </w:rPr>
      </w:pPr>
      <w:bookmarkStart w:id="4" w:name="ABSTRACT_START"/>
      <w:bookmarkEnd w:id="4"/>
      <w:r>
        <w:rPr>
          <w:rFonts w:hint="cs"/>
          <w:color w:val="000000"/>
          <w:rtl/>
        </w:rPr>
        <w:t xml:space="preserve">הנאשם הורשע על פי הודאתו בעבירה של החזקת סמים שלא לצריכה עצמית, בניגוד </w:t>
      </w:r>
      <w:hyperlink r:id="rId13" w:history="1">
        <w:r w:rsidR="00FE6803" w:rsidRPr="00FE6803">
          <w:rPr>
            <w:color w:val="0000FF"/>
            <w:u w:val="single"/>
            <w:rtl/>
          </w:rPr>
          <w:t>לסעיף 7(א)+7(ג)</w:t>
        </w:r>
      </w:hyperlink>
      <w:r>
        <w:rPr>
          <w:rFonts w:hint="cs"/>
          <w:color w:val="000000"/>
          <w:rtl/>
        </w:rPr>
        <w:t xml:space="preserve"> רישא ל</w:t>
      </w:r>
      <w:hyperlink r:id="rId14" w:history="1">
        <w:r w:rsidR="006D39F3" w:rsidRPr="006D39F3">
          <w:rPr>
            <w:rStyle w:val="Hyperlink"/>
            <w:rFonts w:cs="David" w:hint="eastAsia"/>
            <w:rtl/>
          </w:rPr>
          <w:t>פקודת</w:t>
        </w:r>
        <w:r w:rsidR="006D39F3" w:rsidRPr="006D39F3">
          <w:rPr>
            <w:rStyle w:val="Hyperlink"/>
            <w:rFonts w:cs="David"/>
            <w:rtl/>
          </w:rPr>
          <w:t xml:space="preserve"> הסמים המסוכנים</w:t>
        </w:r>
      </w:hyperlink>
      <w:r>
        <w:rPr>
          <w:rFonts w:hint="cs"/>
          <w:color w:val="000000"/>
          <w:rtl/>
        </w:rPr>
        <w:t>, (נוסח חדש) התשל"ג-1973.</w:t>
      </w:r>
    </w:p>
    <w:p w14:paraId="7D19C436" w14:textId="77777777" w:rsidR="009013BE" w:rsidRDefault="009013BE" w:rsidP="009013BE">
      <w:pPr>
        <w:spacing w:before="100" w:beforeAutospacing="1" w:after="100" w:afterAutospacing="1" w:line="288" w:lineRule="auto"/>
        <w:ind w:left="360"/>
        <w:contextualSpacing/>
        <w:jc w:val="both"/>
        <w:rPr>
          <w:color w:val="000000"/>
          <w:highlight w:val="yellow"/>
        </w:rPr>
      </w:pPr>
      <w:bookmarkStart w:id="5" w:name="ABSTRACT_END"/>
      <w:bookmarkEnd w:id="5"/>
    </w:p>
    <w:p w14:paraId="6089484C" w14:textId="77777777" w:rsidR="009013BE" w:rsidRDefault="009013BE" w:rsidP="009013BE">
      <w:pPr>
        <w:spacing w:before="100" w:beforeAutospacing="1" w:after="100" w:afterAutospacing="1" w:line="288" w:lineRule="auto"/>
        <w:ind w:left="360"/>
        <w:contextualSpacing/>
        <w:jc w:val="both"/>
        <w:rPr>
          <w:color w:val="000000"/>
          <w:rtl/>
        </w:rPr>
      </w:pPr>
      <w:r>
        <w:rPr>
          <w:rFonts w:hint="cs"/>
          <w:color w:val="000000"/>
          <w:rtl/>
        </w:rPr>
        <w:t>על פי עובדות כתב האישום ביום 3.2.15 בתחנת דלק "פז" בצומת עד הלום, החזיק הנאשם בידו בסם מסוכן מסוג קוקאין במשקל של 8.46 גרם נטו, זאת שלא לצריכתו העצמית וללא היתר כדין מאת המנהל.</w:t>
      </w:r>
    </w:p>
    <w:p w14:paraId="0DA76F0B" w14:textId="77777777" w:rsidR="009013BE" w:rsidRDefault="009013BE" w:rsidP="009013BE">
      <w:pPr>
        <w:spacing w:before="100" w:beforeAutospacing="1" w:after="100" w:afterAutospacing="1" w:line="288" w:lineRule="auto"/>
        <w:jc w:val="both"/>
        <w:rPr>
          <w:bCs/>
          <w:u w:val="single"/>
          <w:rtl/>
          <w:lang w:eastAsia="he-IL"/>
        </w:rPr>
      </w:pPr>
    </w:p>
    <w:p w14:paraId="6B5BADE5" w14:textId="77777777" w:rsidR="009013BE" w:rsidRDefault="009013BE" w:rsidP="009013BE">
      <w:pPr>
        <w:spacing w:before="100" w:beforeAutospacing="1" w:after="100" w:afterAutospacing="1" w:line="288" w:lineRule="auto"/>
        <w:jc w:val="both"/>
        <w:rPr>
          <w:bCs/>
          <w:u w:val="single"/>
          <w:rtl/>
          <w:lang w:eastAsia="he-IL"/>
        </w:rPr>
      </w:pPr>
      <w:r>
        <w:rPr>
          <w:rFonts w:hint="cs"/>
          <w:bCs/>
          <w:u w:val="single"/>
          <w:rtl/>
          <w:lang w:eastAsia="he-IL"/>
        </w:rPr>
        <w:t>הסדר הטיעון</w:t>
      </w:r>
    </w:p>
    <w:p w14:paraId="372B0D2C" w14:textId="77777777" w:rsidR="009013BE" w:rsidRDefault="009013BE" w:rsidP="009013BE">
      <w:pPr>
        <w:numPr>
          <w:ilvl w:val="0"/>
          <w:numId w:val="1"/>
        </w:numPr>
        <w:spacing w:before="100" w:beforeAutospacing="1" w:after="100" w:afterAutospacing="1" w:line="288" w:lineRule="auto"/>
        <w:contextualSpacing/>
        <w:jc w:val="both"/>
        <w:rPr>
          <w:b/>
          <w:rtl/>
          <w:lang w:eastAsia="he-IL"/>
        </w:rPr>
      </w:pPr>
      <w:r>
        <w:rPr>
          <w:rFonts w:hint="cs"/>
          <w:b/>
          <w:rtl/>
          <w:lang w:eastAsia="he-IL"/>
        </w:rPr>
        <w:t>ביום 20.3.17 הציגו הצדדים הסדר טיעון על פיו הנאשם יודה בכתב האישום, יורשע ויופנה לשירות המבחן. לא הוצגה הסכמה עונשית.</w:t>
      </w:r>
    </w:p>
    <w:p w14:paraId="09A528E1" w14:textId="77777777" w:rsidR="009013BE" w:rsidRDefault="009013BE" w:rsidP="009013BE">
      <w:pPr>
        <w:spacing w:before="100" w:beforeAutospacing="1" w:after="100" w:afterAutospacing="1" w:line="288" w:lineRule="auto"/>
        <w:jc w:val="both"/>
        <w:rPr>
          <w:bCs/>
          <w:u w:val="single"/>
          <w:lang w:eastAsia="he-IL"/>
        </w:rPr>
      </w:pPr>
    </w:p>
    <w:p w14:paraId="201DF5B0" w14:textId="77777777" w:rsidR="009013BE" w:rsidRDefault="009013BE" w:rsidP="009013BE">
      <w:pPr>
        <w:spacing w:before="100" w:beforeAutospacing="1" w:after="100" w:afterAutospacing="1" w:line="288" w:lineRule="auto"/>
        <w:jc w:val="both"/>
        <w:rPr>
          <w:bCs/>
          <w:u w:val="single"/>
          <w:rtl/>
          <w:lang w:eastAsia="he-IL"/>
        </w:rPr>
      </w:pPr>
      <w:r>
        <w:rPr>
          <w:rFonts w:hint="cs"/>
          <w:bCs/>
          <w:u w:val="single"/>
          <w:rtl/>
          <w:lang w:eastAsia="he-IL"/>
        </w:rPr>
        <w:lastRenderedPageBreak/>
        <w:t xml:space="preserve">תסקיר שירות המבחן </w:t>
      </w:r>
    </w:p>
    <w:p w14:paraId="38673263" w14:textId="77777777" w:rsidR="009013BE" w:rsidRDefault="009013BE" w:rsidP="009013BE">
      <w:pPr>
        <w:numPr>
          <w:ilvl w:val="0"/>
          <w:numId w:val="1"/>
        </w:numPr>
        <w:spacing w:before="100" w:beforeAutospacing="1" w:after="100" w:afterAutospacing="1" w:line="288" w:lineRule="auto"/>
        <w:contextualSpacing/>
        <w:jc w:val="both"/>
        <w:rPr>
          <w:b/>
          <w:rtl/>
          <w:lang w:eastAsia="he-IL"/>
        </w:rPr>
      </w:pPr>
      <w:r>
        <w:rPr>
          <w:rFonts w:hint="cs"/>
          <w:b/>
          <w:rtl/>
          <w:lang w:eastAsia="he-IL"/>
        </w:rPr>
        <w:t xml:space="preserve">בתסקיר מיום 23.8.17 סקר שירות המבחן את הרקע האישי, המשפחתי והעברייני של הנאשם. הנאשם בן 26, נשוי ואב לילדה בת שנה, מתגורר בלוד, במתחם משפחתי. בוגר 7 שנות לימוד, מוכר כנכה 52% מביטוח לאומי, נפצע בילדותו עת נפל מקומה רביעית כשהיה בן 13. כתוצאה מהנפילה סובל מקרע בכבד, בעל כליה אחת, סובל מקשיי נשימה, נפגע קוגניטיבית וסובל מגמגום. לפני מספר חודשים החל לעבוד בעסק לשטיפת רכבים. הנאשם שיתף כי אביו ז"ל ואחיו עסקו בסחר בסמים ונשפטו למאסרים ממושכים. לדבריו אביו נפטר ב-2014 ואחיו הגדולים חדלו ממעורבותם בעבירות סחר בסמים וכיום מנהלים אורח חיים נורמטיבי. </w:t>
      </w:r>
    </w:p>
    <w:p w14:paraId="6A04C472"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לנאשם הרשעה קודמת בעבירות אלימות וסמים, תלוי ועומד מאסר מותנה בר הפעלה.</w:t>
      </w:r>
    </w:p>
    <w:p w14:paraId="53F14A5D"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 xml:space="preserve">באשר לביצוע העבירה הנדונה, הנאשם לקח אחריות והביע חרטה, לדבריו סחר בקוקאין למטרות רווח, תוך שהושפע מסביבתו. </w:t>
      </w:r>
    </w:p>
    <w:p w14:paraId="6ABEC2C6"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 xml:space="preserve">הנאשם מסר בדיקות לאיתור שרידי סם שנמצאו תקינות. עם זאת, לשתי בדיקות רצופות לא הגיע, ללא סיבה מצדקת, להערכת שירות המבחן על רקע קשיי התארגנות של הנאשם. </w:t>
      </w:r>
    </w:p>
    <w:p w14:paraId="334322D6"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שירות המבחן התרשם כי הנאשם אוחז בעמדות מקלות כלפי החוק לעניין הסחר בסמים, לנאשם נורמות התנהגות עברייניות, נטייה להיגרר, קשיי התארגנות, כוחות דלים, מודעות עצמית נמוכה, ענישה קודמת לא הרתיעה אותו. הנאשם מתקשה בהפנמה של חוקים וגבולות להתנהגותו.</w:t>
      </w:r>
    </w:p>
    <w:p w14:paraId="319C3DB7"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לאור נתוניו האישיים שירות המבחן העריך כי ענישה קונקרטית נוספת תשפיע באופן חלקי על הפחתת הסיכון.</w:t>
      </w:r>
    </w:p>
    <w:p w14:paraId="51F86461"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שירות המבחן ציין כי הנאשם ביטא רצון לשינוי בהתנהגותו, אך התרשם כי מדובר באמירה הצהרתית בלבד.  בהמשך האבחון, לאחר מספר שיחות, למרות שעדיין חווה אמביוולנטיות ביחס לטיפול, הביע נכונות להשתלב בטיפול קבוצתי יעודי לסובלים מקשיים קוגנטיבים.  שירות המבחן מציין כי הטיפול בשלב הראשוני, הקבוצה החלה לפעול באוגוסט 2017, אך הנאשם משתף פעולה. להערכת שירות המבחן התמדה בהליך הטיפולי תפחית את הסיכון להישנות עבירות.</w:t>
      </w:r>
    </w:p>
    <w:p w14:paraId="412FC158"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שירות המבחן ציין כי הפנה את הנאשם לאגף השיקום בביטוח לאומי לבחון שיקום תעסוקתי, אך הנאשם בחר להמשיך לעבוד בשטיפת כלי רכב בעסק המשפחתי ולא להיעזר באגף השיקום של הביטוח הלאומי.</w:t>
      </w:r>
    </w:p>
    <w:p w14:paraId="60191A38"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 xml:space="preserve">שירות המבחן, ציין כי חלה התמתנות במעורבותו הפלילית ולראיה לא נפתחו כנגדו תיקים נוספים. עוד ציין כי מאז מועד העבירה הנאשם התחתן ונולדה לו ילדה ויש בכך להוות גורם ממתן להישנות עבירות. </w:t>
      </w:r>
    </w:p>
    <w:p w14:paraId="3E0FBA99" w14:textId="77777777" w:rsidR="009013BE" w:rsidRDefault="009013BE" w:rsidP="009013BE">
      <w:pPr>
        <w:spacing w:before="100" w:beforeAutospacing="1" w:after="100" w:afterAutospacing="1" w:line="288" w:lineRule="auto"/>
        <w:ind w:left="360"/>
        <w:contextualSpacing/>
        <w:jc w:val="both"/>
        <w:rPr>
          <w:b/>
          <w:rtl/>
          <w:lang w:eastAsia="he-IL"/>
        </w:rPr>
      </w:pPr>
      <w:r>
        <w:rPr>
          <w:rFonts w:hint="cs"/>
          <w:b/>
          <w:rtl/>
          <w:lang w:eastAsia="he-IL"/>
        </w:rPr>
        <w:t>לאור האמור שירות המבחן המליץ על העמדת הנאשם במבחן והארכת המאסר המותנה.</w:t>
      </w:r>
    </w:p>
    <w:p w14:paraId="7C765AC4" w14:textId="77777777" w:rsidR="009013BE" w:rsidRDefault="009013BE" w:rsidP="009013BE">
      <w:pPr>
        <w:spacing w:before="100" w:beforeAutospacing="1" w:after="100" w:afterAutospacing="1" w:line="288" w:lineRule="auto"/>
        <w:jc w:val="both"/>
        <w:rPr>
          <w:bCs/>
          <w:u w:val="single"/>
          <w:lang w:eastAsia="he-IL"/>
        </w:rPr>
      </w:pPr>
    </w:p>
    <w:p w14:paraId="63851394" w14:textId="77777777" w:rsidR="009013BE" w:rsidRDefault="009013BE" w:rsidP="009013BE">
      <w:pPr>
        <w:spacing w:before="100" w:beforeAutospacing="1" w:after="100" w:afterAutospacing="1" w:line="288" w:lineRule="auto"/>
        <w:jc w:val="both"/>
        <w:rPr>
          <w:bCs/>
          <w:u w:val="single"/>
          <w:rtl/>
          <w:lang w:eastAsia="he-IL"/>
        </w:rPr>
      </w:pPr>
      <w:r>
        <w:rPr>
          <w:rFonts w:hint="cs"/>
          <w:bCs/>
          <w:u w:val="single"/>
          <w:rtl/>
          <w:lang w:eastAsia="he-IL"/>
        </w:rPr>
        <w:t>טיעוני הצדדים</w:t>
      </w:r>
    </w:p>
    <w:p w14:paraId="034CF0B5" w14:textId="77777777" w:rsidR="009013BE" w:rsidRDefault="009013BE" w:rsidP="009013BE">
      <w:pPr>
        <w:numPr>
          <w:ilvl w:val="0"/>
          <w:numId w:val="1"/>
        </w:numPr>
        <w:spacing w:before="100" w:beforeAutospacing="1" w:after="100" w:afterAutospacing="1" w:line="288" w:lineRule="auto"/>
        <w:contextualSpacing/>
        <w:jc w:val="both"/>
        <w:rPr>
          <w:bCs/>
          <w:u w:val="single"/>
          <w:lang w:eastAsia="he-IL"/>
        </w:rPr>
      </w:pPr>
      <w:r>
        <w:rPr>
          <w:rFonts w:hint="cs"/>
          <w:color w:val="000000"/>
          <w:rtl/>
        </w:rPr>
        <w:t xml:space="preserve">ב"כ המאשימה הגישה את הרשעתו הקודמת של הנאשם, הפנתה לחומרת העבירה, לערכים המוגנים שנפגעו כתוצאה ממעשיו של הנאשם, לפסיקה התומכת בטיעוניה. המאשימה טענה כי מתחם העונש ההולם נע בין 8-18 חודשי מאסר, התייחסה לתסקיר שירות המבחן ולכך שהנאשם ציין בפני שירות המבחן כי סחר בקוקאין במטרה להרוויח כסף קל ומהיר. לדבריה אין הצדקה  לסטות ממתחם העונש ההולם ועתרה להטיל על הנאשם מאסר בפועל ברף הבינוני-גבוה של המתחם, הפעלת המאסר המותנה במצטבר, מאסר על תנאי, פסילה בפועל ופסילה על תנאי, התחייבות וקנס. </w:t>
      </w:r>
    </w:p>
    <w:p w14:paraId="39BAFE5C" w14:textId="77777777" w:rsidR="009013BE" w:rsidRDefault="009013BE" w:rsidP="009013BE">
      <w:pPr>
        <w:spacing w:before="100" w:beforeAutospacing="1" w:after="100" w:afterAutospacing="1" w:line="288" w:lineRule="auto"/>
        <w:ind w:left="360"/>
        <w:contextualSpacing/>
        <w:jc w:val="both"/>
        <w:rPr>
          <w:bCs/>
          <w:highlight w:val="yellow"/>
          <w:u w:val="single"/>
          <w:lang w:eastAsia="he-IL"/>
        </w:rPr>
      </w:pPr>
    </w:p>
    <w:p w14:paraId="55BCE883" w14:textId="77777777" w:rsidR="009013BE" w:rsidRDefault="009013BE" w:rsidP="009013BE">
      <w:pPr>
        <w:numPr>
          <w:ilvl w:val="0"/>
          <w:numId w:val="1"/>
        </w:numPr>
        <w:spacing w:before="100" w:beforeAutospacing="1" w:after="100" w:afterAutospacing="1" w:line="288" w:lineRule="auto"/>
        <w:contextualSpacing/>
        <w:jc w:val="both"/>
        <w:rPr>
          <w:lang w:eastAsia="he-IL"/>
        </w:rPr>
      </w:pPr>
      <w:r w:rsidRPr="009013BE">
        <w:rPr>
          <w:rFonts w:ascii="Calibri" w:hAnsi="Calibri" w:hint="cs"/>
          <w:color w:val="000000"/>
          <w:rtl/>
        </w:rPr>
        <w:t>ב</w:t>
      </w:r>
      <w:r>
        <w:rPr>
          <w:rFonts w:hint="cs"/>
          <w:color w:val="000000"/>
          <w:rtl/>
        </w:rPr>
        <w:t xml:space="preserve">"כ הנאשם התייחסה לגילו הצעיר של הנאשם, לנסיבות חייו, לפציעתו אשר השפיעה על חייו, למצבו הרפואי נכון להיום, הציגה תעודה רפואית, ציינה כי לא נפתחו לנאשם תיקים נוספים, כי הנאשם באותו האירוע היה עם אחר והושפע ממנו ומאז נותק הקשר ביניהם. לדבריה </w:t>
      </w:r>
      <w:r>
        <w:rPr>
          <w:rFonts w:hint="cs"/>
          <w:rtl/>
          <w:lang w:eastAsia="he-IL"/>
        </w:rPr>
        <w:t>הנאשם נמצא במספר קבוצות טיפול ומשתף את שירות המבחן בנכונותו לנהל אורח חיים נורמטיבי. ב"כ הנאשם הגישה פסיקה התומכת בטיעוניה, ביקשה לאמץ את המלצת שירות המבחן, להטיל צו מבחן ולהאריך המאסר המותנה.</w:t>
      </w:r>
    </w:p>
    <w:p w14:paraId="4B30D94F" w14:textId="77777777" w:rsidR="009013BE" w:rsidRDefault="009013BE" w:rsidP="009013BE">
      <w:pPr>
        <w:spacing w:before="100" w:beforeAutospacing="1" w:after="100" w:afterAutospacing="1" w:line="288" w:lineRule="auto"/>
        <w:ind w:left="360"/>
        <w:contextualSpacing/>
        <w:jc w:val="both"/>
        <w:rPr>
          <w:b/>
          <w:lang w:eastAsia="he-IL"/>
        </w:rPr>
      </w:pPr>
    </w:p>
    <w:p w14:paraId="2C0D7EDF" w14:textId="77777777" w:rsidR="009013BE" w:rsidRDefault="009013BE" w:rsidP="009013BE">
      <w:pPr>
        <w:numPr>
          <w:ilvl w:val="0"/>
          <w:numId w:val="1"/>
        </w:numPr>
        <w:spacing w:before="100" w:beforeAutospacing="1" w:after="100" w:afterAutospacing="1" w:line="288" w:lineRule="auto"/>
        <w:contextualSpacing/>
        <w:jc w:val="both"/>
        <w:rPr>
          <w:b/>
          <w:rtl/>
          <w:lang w:eastAsia="he-IL"/>
        </w:rPr>
      </w:pPr>
      <w:r>
        <w:rPr>
          <w:rFonts w:hint="cs"/>
          <w:b/>
          <w:rtl/>
          <w:lang w:eastAsia="he-IL"/>
        </w:rPr>
        <w:t xml:space="preserve">הנאשם ביקש לומר דברים. לדבריו התחתן, נולדה לו בת, עובד קצת, עוזר לשכנו, מעוניין ללכת לשיחות במשך השנה וציין כי השיחות היטיבו עמו. הנאשם מסר כי הפסיק עם הסמים, בריאותו אינה טובה ולא ימכור סמים בעתיד. </w:t>
      </w:r>
    </w:p>
    <w:p w14:paraId="1CC8FC51" w14:textId="77777777" w:rsidR="009013BE" w:rsidRDefault="009013BE" w:rsidP="009013BE">
      <w:pPr>
        <w:bidi w:val="0"/>
        <w:spacing w:line="288" w:lineRule="auto"/>
        <w:ind w:left="720"/>
        <w:contextualSpacing/>
        <w:jc w:val="both"/>
        <w:rPr>
          <w:b/>
          <w:highlight w:val="yellow"/>
          <w:lang w:eastAsia="he-IL"/>
        </w:rPr>
      </w:pPr>
    </w:p>
    <w:p w14:paraId="658477F4" w14:textId="77777777" w:rsidR="009013BE" w:rsidRDefault="009013BE" w:rsidP="009013BE">
      <w:pPr>
        <w:spacing w:before="100" w:beforeAutospacing="1" w:after="100" w:afterAutospacing="1" w:line="288" w:lineRule="auto"/>
        <w:jc w:val="both"/>
        <w:rPr>
          <w:bCs/>
          <w:u w:val="single"/>
          <w:lang w:eastAsia="he-IL"/>
        </w:rPr>
      </w:pPr>
      <w:r>
        <w:rPr>
          <w:rFonts w:hint="cs"/>
          <w:bCs/>
          <w:u w:val="single"/>
          <w:rtl/>
          <w:lang w:eastAsia="he-IL"/>
        </w:rPr>
        <w:t xml:space="preserve">דיון  </w:t>
      </w:r>
    </w:p>
    <w:p w14:paraId="25FAC540" w14:textId="77777777" w:rsidR="009013BE" w:rsidRDefault="009013BE" w:rsidP="009013BE">
      <w:pPr>
        <w:spacing w:before="100" w:beforeAutospacing="1" w:after="100" w:afterAutospacing="1" w:line="288" w:lineRule="auto"/>
        <w:jc w:val="both"/>
        <w:rPr>
          <w:bCs/>
          <w:u w:val="single"/>
          <w:rtl/>
          <w:lang w:eastAsia="he-IL"/>
        </w:rPr>
      </w:pPr>
      <w:r>
        <w:rPr>
          <w:rFonts w:hint="cs"/>
          <w:bCs/>
          <w:u w:val="single"/>
          <w:rtl/>
          <w:lang w:eastAsia="he-IL"/>
        </w:rPr>
        <w:t>מתחם העונש ההולם</w:t>
      </w:r>
    </w:p>
    <w:p w14:paraId="206DFA86" w14:textId="77777777" w:rsidR="009013BE" w:rsidRDefault="009013BE" w:rsidP="009013BE">
      <w:pPr>
        <w:numPr>
          <w:ilvl w:val="0"/>
          <w:numId w:val="1"/>
        </w:numPr>
        <w:spacing w:after="160" w:line="288" w:lineRule="auto"/>
        <w:contextualSpacing/>
        <w:jc w:val="both"/>
        <w:rPr>
          <w:rFonts w:ascii="Calibri" w:hAnsi="Calibri"/>
          <w:rtl/>
        </w:rPr>
      </w:pPr>
      <w:r>
        <w:rPr>
          <w:rFonts w:hint="cs"/>
          <w:bCs/>
          <w:rtl/>
          <w:lang w:eastAsia="he-IL"/>
        </w:rPr>
        <w:t>הערך החברתי</w:t>
      </w:r>
      <w:r>
        <w:rPr>
          <w:rFonts w:hint="cs"/>
          <w:b/>
          <w:rtl/>
          <w:lang w:eastAsia="he-IL"/>
        </w:rPr>
        <w:t xml:space="preserve"> אשר נפגע הינו ההגנה מפני הנזקים הישירים והעקיפים אשר נגרמים עקב השימוש בסמים.</w:t>
      </w:r>
    </w:p>
    <w:p w14:paraId="3630AB17" w14:textId="77777777" w:rsidR="009013BE" w:rsidRDefault="009013BE" w:rsidP="009013BE">
      <w:pPr>
        <w:spacing w:after="160" w:line="288" w:lineRule="auto"/>
        <w:ind w:left="720"/>
        <w:contextualSpacing/>
        <w:jc w:val="both"/>
        <w:rPr>
          <w:rFonts w:ascii="Calibri" w:hAnsi="Calibri"/>
        </w:rPr>
      </w:pPr>
    </w:p>
    <w:p w14:paraId="042064FB" w14:textId="77777777" w:rsidR="009013BE" w:rsidRDefault="009013BE" w:rsidP="009013BE">
      <w:pPr>
        <w:numPr>
          <w:ilvl w:val="0"/>
          <w:numId w:val="1"/>
        </w:numPr>
        <w:spacing w:after="160" w:line="288" w:lineRule="auto"/>
        <w:contextualSpacing/>
        <w:jc w:val="both"/>
        <w:rPr>
          <w:rFonts w:ascii="Calibri" w:hAnsi="Calibri"/>
        </w:rPr>
      </w:pPr>
      <w:r>
        <w:rPr>
          <w:rFonts w:ascii="Calibri" w:hAnsi="Calibri" w:hint="cs"/>
          <w:rtl/>
        </w:rPr>
        <w:t>בית המשפט העליון הדגיש פעמים רבות את חומרתן של עבירות הסמים שלא לצריכה עצמית וחזר לא אחת על הצורך, ככלל, בהטלת ענישה חמורה בגין עבירות אלה.</w:t>
      </w:r>
    </w:p>
    <w:p w14:paraId="69CE9991" w14:textId="77777777" w:rsidR="009013BE" w:rsidRDefault="009013BE" w:rsidP="009013BE">
      <w:pPr>
        <w:spacing w:after="160" w:line="288" w:lineRule="auto"/>
        <w:ind w:left="360"/>
        <w:contextualSpacing/>
        <w:jc w:val="both"/>
        <w:rPr>
          <w:rFonts w:ascii="Calibri" w:hAnsi="Calibri"/>
        </w:rPr>
      </w:pPr>
    </w:p>
    <w:p w14:paraId="35E64C35" w14:textId="77777777" w:rsidR="009013BE" w:rsidRDefault="009013BE" w:rsidP="009013BE">
      <w:pPr>
        <w:spacing w:after="160" w:line="288" w:lineRule="auto"/>
        <w:ind w:left="360"/>
        <w:contextualSpacing/>
        <w:jc w:val="both"/>
        <w:rPr>
          <w:rFonts w:ascii="Calibri" w:hAnsi="Calibri"/>
          <w:rtl/>
        </w:rPr>
      </w:pPr>
      <w:r>
        <w:rPr>
          <w:rFonts w:ascii="Calibri" w:hAnsi="Calibri" w:hint="cs"/>
          <w:rtl/>
        </w:rPr>
        <w:t>ראו למשל, ב</w:t>
      </w:r>
      <w:hyperlink r:id="rId15" w:history="1">
        <w:r w:rsidR="006D39F3" w:rsidRPr="006D39F3">
          <w:rPr>
            <w:rStyle w:val="Hyperlink"/>
            <w:rFonts w:ascii="Calibri" w:hAnsi="Calibri" w:cs="David" w:hint="eastAsia"/>
            <w:rtl/>
          </w:rPr>
          <w:t>ע</w:t>
        </w:r>
        <w:r w:rsidR="006D39F3" w:rsidRPr="006D39F3">
          <w:rPr>
            <w:rStyle w:val="Hyperlink"/>
            <w:rFonts w:ascii="Calibri" w:hAnsi="Calibri" w:cs="David"/>
            <w:rtl/>
          </w:rPr>
          <w:t>"</w:t>
        </w:r>
        <w:r w:rsidR="006D39F3" w:rsidRPr="006D39F3">
          <w:rPr>
            <w:rStyle w:val="Hyperlink"/>
            <w:rFonts w:ascii="Calibri" w:hAnsi="Calibri" w:cs="David" w:hint="eastAsia"/>
            <w:rtl/>
          </w:rPr>
          <w:t>פ</w:t>
        </w:r>
        <w:r w:rsidR="006D39F3" w:rsidRPr="006D39F3">
          <w:rPr>
            <w:rStyle w:val="Hyperlink"/>
            <w:rFonts w:ascii="Calibri" w:hAnsi="Calibri" w:cs="David"/>
            <w:rtl/>
          </w:rPr>
          <w:t xml:space="preserve"> 211/09</w:t>
        </w:r>
      </w:hyperlink>
      <w:r>
        <w:rPr>
          <w:rFonts w:ascii="Calibri" w:hAnsi="Calibri" w:hint="cs"/>
          <w:rtl/>
        </w:rPr>
        <w:t xml:space="preserve"> </w:t>
      </w:r>
      <w:r>
        <w:rPr>
          <w:rFonts w:ascii="Calibri" w:hAnsi="Calibri" w:hint="cs"/>
          <w:b/>
          <w:bCs/>
          <w:rtl/>
        </w:rPr>
        <w:t>אזולאי נ' מדינת ישראל</w:t>
      </w:r>
      <w:r>
        <w:rPr>
          <w:rFonts w:ascii="Calibri" w:hAnsi="Calibri" w:hint="cs"/>
          <w:rtl/>
        </w:rPr>
        <w:t xml:space="preserve"> (22.6.2010):</w:t>
      </w:r>
    </w:p>
    <w:p w14:paraId="5F0662BF" w14:textId="77777777" w:rsidR="009013BE" w:rsidRDefault="009013BE" w:rsidP="009013BE">
      <w:pPr>
        <w:spacing w:after="160" w:line="288" w:lineRule="auto"/>
        <w:ind w:firstLine="720"/>
        <w:contextualSpacing/>
        <w:jc w:val="both"/>
        <w:rPr>
          <w:rFonts w:ascii="Calibri" w:hAnsi="Calibri"/>
          <w:rtl/>
        </w:rPr>
      </w:pPr>
    </w:p>
    <w:p w14:paraId="13071CE5" w14:textId="77777777" w:rsidR="009013BE" w:rsidRDefault="009013BE" w:rsidP="009013BE">
      <w:pPr>
        <w:tabs>
          <w:tab w:val="left" w:pos="800"/>
        </w:tabs>
        <w:overflowPunct w:val="0"/>
        <w:autoSpaceDE w:val="0"/>
        <w:autoSpaceDN w:val="0"/>
        <w:adjustRightInd w:val="0"/>
        <w:spacing w:after="200" w:line="288" w:lineRule="auto"/>
        <w:ind w:left="1076" w:right="1418"/>
        <w:jc w:val="both"/>
        <w:rPr>
          <w:rFonts w:ascii="Calibri" w:hAnsi="Calibri"/>
          <w:rtl/>
        </w:rPr>
      </w:pPr>
      <w:r>
        <w:rPr>
          <w:rFonts w:ascii="Calibri" w:hAnsi="Calibri" w:hint="cs"/>
          <w:rtl/>
        </w:rPr>
        <w:t>"על חומרתה המופלגת של עבירת החזקת סמים מסוכנים שלא לצריכה עצמית אין צורך להכביר מילים ...</w:t>
      </w:r>
      <w:r>
        <w:rPr>
          <w:rFonts w:ascii="Calibri" w:hAnsi="Calibri" w:hint="cs"/>
          <w:spacing w:val="10"/>
          <w:rtl/>
        </w:rPr>
        <w:t xml:space="preserve"> </w:t>
      </w:r>
      <w:r>
        <w:rPr>
          <w:rFonts w:ascii="Calibri" w:hAnsi="Calibri" w:hint="cs"/>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p>
    <w:p w14:paraId="12EC3910" w14:textId="77777777" w:rsidR="009013BE" w:rsidRDefault="009013BE" w:rsidP="009013BE">
      <w:pPr>
        <w:numPr>
          <w:ilvl w:val="0"/>
          <w:numId w:val="1"/>
        </w:numPr>
        <w:spacing w:before="100" w:beforeAutospacing="1" w:after="100" w:afterAutospacing="1" w:line="288" w:lineRule="auto"/>
        <w:contextualSpacing/>
        <w:jc w:val="both"/>
        <w:rPr>
          <w:rFonts w:ascii="David" w:hAnsi="David"/>
          <w:rtl/>
        </w:rPr>
      </w:pPr>
      <w:r>
        <w:rPr>
          <w:rFonts w:hint="cs"/>
          <w:bCs/>
          <w:rtl/>
          <w:lang w:eastAsia="he-IL"/>
        </w:rPr>
        <w:t>מידת הפגיעה בערך המוגן</w:t>
      </w:r>
      <w:r>
        <w:rPr>
          <w:rFonts w:hint="cs"/>
          <w:b/>
          <w:rtl/>
          <w:lang w:eastAsia="he-IL"/>
        </w:rPr>
        <w:t xml:space="preserve"> היא משמעותית, בשים לב לכמות הסם שהחזיק הנאשם, לסוגו (</w:t>
      </w:r>
      <w:r>
        <w:rPr>
          <w:rFonts w:hint="cs"/>
          <w:color w:val="000000"/>
          <w:rtl/>
        </w:rPr>
        <w:t>8.46 גרם</w:t>
      </w:r>
      <w:r>
        <w:rPr>
          <w:rFonts w:hint="cs"/>
          <w:b/>
          <w:rtl/>
          <w:lang w:eastAsia="he-IL"/>
        </w:rPr>
        <w:t xml:space="preserve"> קוקאין) ולכך שלא נועד לשימוש עצמי.</w:t>
      </w:r>
    </w:p>
    <w:p w14:paraId="0B55D350" w14:textId="77777777" w:rsidR="009013BE" w:rsidRDefault="009013BE" w:rsidP="009013BE">
      <w:pPr>
        <w:bidi w:val="0"/>
        <w:spacing w:line="288" w:lineRule="auto"/>
        <w:ind w:left="720"/>
        <w:contextualSpacing/>
        <w:jc w:val="both"/>
        <w:rPr>
          <w:rFonts w:ascii="Calibri" w:hAnsi="Calibri"/>
          <w:b/>
          <w:bCs/>
          <w:highlight w:val="yellow"/>
        </w:rPr>
      </w:pPr>
    </w:p>
    <w:p w14:paraId="769855E3" w14:textId="77777777" w:rsidR="009013BE" w:rsidRDefault="009013BE" w:rsidP="009013BE">
      <w:pPr>
        <w:numPr>
          <w:ilvl w:val="0"/>
          <w:numId w:val="1"/>
        </w:numPr>
        <w:spacing w:before="100" w:beforeAutospacing="1" w:after="100" w:afterAutospacing="1" w:line="288" w:lineRule="auto"/>
        <w:contextualSpacing/>
        <w:jc w:val="both"/>
        <w:rPr>
          <w:b/>
          <w:rtl/>
          <w:lang w:eastAsia="he-IL"/>
        </w:rPr>
      </w:pPr>
      <w:r>
        <w:rPr>
          <w:rFonts w:ascii="Calibri" w:hAnsi="Calibri" w:hint="cs"/>
          <w:b/>
          <w:bCs/>
          <w:rtl/>
        </w:rPr>
        <w:t xml:space="preserve">באשר לנסיבות ביצוע העבירה, </w:t>
      </w:r>
      <w:r>
        <w:rPr>
          <w:rFonts w:ascii="Calibri" w:hAnsi="Calibri" w:hint="cs"/>
          <w:rtl/>
        </w:rPr>
        <w:t xml:space="preserve"> לקחתי בחשבון כי הנאשם החזיק את הסם בידו, במתחם תחנת הדלק, כי הסם לא נועד לשימושו העצמי. לקחתי בחשבון את דברי הנאשם בפני שירות המבחן כי </w:t>
      </w:r>
      <w:r>
        <w:rPr>
          <w:rFonts w:hint="cs"/>
          <w:b/>
          <w:rtl/>
          <w:lang w:eastAsia="he-IL"/>
        </w:rPr>
        <w:t xml:space="preserve">סחר בקוקאין כדי להפיק רווח כספי קל ומהיר. </w:t>
      </w:r>
    </w:p>
    <w:p w14:paraId="4D23DDA6" w14:textId="77777777" w:rsidR="009013BE" w:rsidRDefault="009013BE" w:rsidP="009013BE">
      <w:pPr>
        <w:spacing w:before="100" w:beforeAutospacing="1" w:after="100" w:afterAutospacing="1" w:line="288" w:lineRule="auto"/>
        <w:ind w:left="360"/>
        <w:contextualSpacing/>
        <w:jc w:val="both"/>
        <w:rPr>
          <w:b/>
          <w:lang w:eastAsia="he-IL"/>
        </w:rPr>
      </w:pPr>
    </w:p>
    <w:p w14:paraId="73FB10A1" w14:textId="77777777" w:rsidR="009013BE" w:rsidRDefault="009013BE" w:rsidP="009013BE">
      <w:pPr>
        <w:numPr>
          <w:ilvl w:val="0"/>
          <w:numId w:val="1"/>
        </w:numPr>
        <w:spacing w:before="100" w:beforeAutospacing="1" w:after="100" w:afterAutospacing="1" w:line="288" w:lineRule="auto"/>
        <w:contextualSpacing/>
        <w:jc w:val="both"/>
        <w:rPr>
          <w:b/>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מידת הענישה משתנה בהתאם לכמות הסם, סוגו, נסיבות אישיות ועוד. במקרים דומים (מבחינת סוג וכמות הסם) הוטלו על נאשמים עונשים 6-24 חודשי מאסר ועונשים נלווים. ראו למשל:</w:t>
      </w:r>
    </w:p>
    <w:p w14:paraId="01B9DCD7" w14:textId="77777777" w:rsidR="009013BE" w:rsidRDefault="009013BE" w:rsidP="009013BE">
      <w:pPr>
        <w:spacing w:before="100" w:beforeAutospacing="1" w:after="100" w:afterAutospacing="1" w:line="288" w:lineRule="auto"/>
        <w:ind w:left="360"/>
        <w:contextualSpacing/>
        <w:jc w:val="both"/>
        <w:rPr>
          <w:b/>
          <w:lang w:eastAsia="he-IL"/>
        </w:rPr>
      </w:pPr>
    </w:p>
    <w:p w14:paraId="5259CA65" w14:textId="77777777" w:rsidR="009013BE" w:rsidRDefault="006D39F3" w:rsidP="009013BE">
      <w:pPr>
        <w:numPr>
          <w:ilvl w:val="0"/>
          <w:numId w:val="2"/>
        </w:numPr>
        <w:autoSpaceDE w:val="0"/>
        <w:autoSpaceDN w:val="0"/>
        <w:adjustRightInd w:val="0"/>
        <w:spacing w:before="100" w:beforeAutospacing="1" w:after="100" w:afterAutospacing="1" w:line="288" w:lineRule="auto"/>
        <w:contextualSpacing/>
        <w:jc w:val="both"/>
        <w:rPr>
          <w:b/>
          <w:lang w:eastAsia="he-IL"/>
        </w:rPr>
      </w:pPr>
      <w:hyperlink r:id="rId16" w:history="1">
        <w:r w:rsidRPr="006D39F3">
          <w:rPr>
            <w:rStyle w:val="Hyperlink"/>
            <w:rFonts w:ascii="Calibri" w:hAnsi="Calibri" w:cs="David" w:hint="eastAsia"/>
            <w:rtl/>
          </w:rPr>
          <w:t>רע</w:t>
        </w:r>
        <w:r w:rsidRPr="006D39F3">
          <w:rPr>
            <w:rStyle w:val="Hyperlink"/>
            <w:rFonts w:ascii="Calibri" w:hAnsi="Calibri" w:cs="David"/>
            <w:rtl/>
          </w:rPr>
          <w:t>"</w:t>
        </w:r>
        <w:r w:rsidRPr="006D39F3">
          <w:rPr>
            <w:rStyle w:val="Hyperlink"/>
            <w:rFonts w:ascii="Calibri" w:hAnsi="Calibri" w:cs="David" w:hint="eastAsia"/>
            <w:rtl/>
          </w:rPr>
          <w:t>פ</w:t>
        </w:r>
        <w:r w:rsidRPr="006D39F3">
          <w:rPr>
            <w:rStyle w:val="Hyperlink"/>
            <w:rFonts w:ascii="Calibri" w:hAnsi="Calibri" w:cs="David"/>
            <w:rtl/>
          </w:rPr>
          <w:t xml:space="preserve"> 1122/17</w:t>
        </w:r>
      </w:hyperlink>
      <w:r w:rsidR="009013BE">
        <w:rPr>
          <w:rFonts w:ascii="Calibri" w:hAnsi="Calibri" w:hint="cs"/>
          <w:rtl/>
        </w:rPr>
        <w:t xml:space="preserve"> </w:t>
      </w:r>
      <w:r w:rsidR="009013BE">
        <w:rPr>
          <w:rFonts w:ascii="Calibri" w:hAnsi="Calibri" w:hint="cs"/>
          <w:b/>
          <w:bCs/>
          <w:rtl/>
        </w:rPr>
        <w:t>אלון</w:t>
      </w:r>
      <w:r w:rsidR="009013BE">
        <w:rPr>
          <w:rFonts w:ascii="Calibri" w:hAnsi="Calibri"/>
          <w:b/>
          <w:bCs/>
        </w:rPr>
        <w:t xml:space="preserve"> </w:t>
      </w:r>
      <w:r w:rsidR="009013BE">
        <w:rPr>
          <w:rFonts w:ascii="Calibri" w:hAnsi="Calibri" w:hint="cs"/>
          <w:b/>
          <w:bCs/>
          <w:rtl/>
        </w:rPr>
        <w:t>גולדשטיין נ'</w:t>
      </w:r>
      <w:r w:rsidR="009013BE">
        <w:rPr>
          <w:rFonts w:ascii="Calibri" w:hAnsi="Calibri"/>
          <w:b/>
          <w:bCs/>
        </w:rPr>
        <w:t xml:space="preserve"> </w:t>
      </w:r>
      <w:r w:rsidR="009013BE">
        <w:rPr>
          <w:rFonts w:ascii="Calibri" w:hAnsi="Calibri" w:hint="cs"/>
          <w:b/>
          <w:bCs/>
          <w:rtl/>
        </w:rPr>
        <w:t>מדינת</w:t>
      </w:r>
      <w:r w:rsidR="009013BE">
        <w:rPr>
          <w:rFonts w:ascii="Calibri" w:hAnsi="Calibri"/>
          <w:b/>
          <w:bCs/>
        </w:rPr>
        <w:t xml:space="preserve"> </w:t>
      </w:r>
      <w:r w:rsidR="009013BE">
        <w:rPr>
          <w:rFonts w:ascii="Calibri" w:hAnsi="Calibri" w:hint="cs"/>
          <w:b/>
          <w:bCs/>
          <w:rtl/>
        </w:rPr>
        <w:t xml:space="preserve">ישראל </w:t>
      </w:r>
      <w:r w:rsidR="009013BE">
        <w:rPr>
          <w:rFonts w:ascii="Calibri" w:hAnsi="Calibri" w:hint="cs"/>
          <w:rtl/>
        </w:rPr>
        <w:t xml:space="preserve">(05.07.17) המבקש הורשע שני אישומים. באחד </w:t>
      </w:r>
      <w:r w:rsidR="009013BE">
        <w:rPr>
          <w:rFonts w:ascii="Calibri" w:hAnsi="Calibri"/>
        </w:rPr>
        <w:t xml:space="preserve"> </w:t>
      </w:r>
      <w:r w:rsidR="009013BE">
        <w:rPr>
          <w:rFonts w:ascii="Calibri" w:hAnsi="Calibri" w:hint="cs"/>
          <w:rtl/>
        </w:rPr>
        <w:t>נהג</w:t>
      </w:r>
      <w:r w:rsidR="009013BE">
        <w:rPr>
          <w:rFonts w:ascii="Calibri" w:hAnsi="Calibri"/>
        </w:rPr>
        <w:t xml:space="preserve"> </w:t>
      </w:r>
      <w:r w:rsidR="009013BE">
        <w:rPr>
          <w:rFonts w:ascii="Calibri" w:hAnsi="Calibri" w:hint="cs"/>
          <w:rtl/>
        </w:rPr>
        <w:t>בקטנועו והרכיב נוסע,</w:t>
      </w:r>
      <w:r w:rsidR="009013BE">
        <w:rPr>
          <w:rFonts w:ascii="Calibri" w:hAnsi="Calibri"/>
        </w:rPr>
        <w:t xml:space="preserve"> </w:t>
      </w:r>
      <w:r w:rsidR="009013BE">
        <w:rPr>
          <w:rFonts w:ascii="Calibri" w:hAnsi="Calibri" w:hint="cs"/>
          <w:rtl/>
        </w:rPr>
        <w:t>כשבגופו</w:t>
      </w:r>
      <w:r w:rsidR="009013BE">
        <w:rPr>
          <w:rFonts w:ascii="Calibri" w:hAnsi="Calibri"/>
        </w:rPr>
        <w:t xml:space="preserve"> </w:t>
      </w:r>
      <w:r w:rsidR="009013BE">
        <w:rPr>
          <w:rFonts w:ascii="Calibri" w:hAnsi="Calibri" w:hint="cs"/>
          <w:rtl/>
        </w:rPr>
        <w:t>של</w:t>
      </w:r>
      <w:r w:rsidR="009013BE">
        <w:rPr>
          <w:rFonts w:ascii="Calibri" w:hAnsi="Calibri"/>
        </w:rPr>
        <w:t xml:space="preserve"> </w:t>
      </w:r>
      <w:r w:rsidR="009013BE">
        <w:rPr>
          <w:rFonts w:ascii="Calibri" w:hAnsi="Calibri" w:hint="cs"/>
          <w:rtl/>
        </w:rPr>
        <w:t>המבקש</w:t>
      </w:r>
      <w:r w:rsidR="009013BE">
        <w:rPr>
          <w:rFonts w:ascii="Calibri" w:hAnsi="Calibri"/>
        </w:rPr>
        <w:t xml:space="preserve"> </w:t>
      </w:r>
      <w:r w:rsidR="009013BE">
        <w:rPr>
          <w:rFonts w:ascii="Calibri" w:hAnsi="Calibri" w:hint="cs"/>
          <w:rtl/>
        </w:rPr>
        <w:t>תוצרי</w:t>
      </w:r>
      <w:r w:rsidR="009013BE">
        <w:rPr>
          <w:rFonts w:ascii="Calibri" w:hAnsi="Calibri"/>
        </w:rPr>
        <w:t xml:space="preserve"> </w:t>
      </w:r>
      <w:r w:rsidR="009013BE">
        <w:rPr>
          <w:rFonts w:ascii="Calibri" w:hAnsi="Calibri" w:hint="cs"/>
          <w:rtl/>
        </w:rPr>
        <w:t>חילוף</w:t>
      </w:r>
      <w:r w:rsidR="009013BE">
        <w:rPr>
          <w:rFonts w:ascii="Calibri" w:hAnsi="Calibri"/>
        </w:rPr>
        <w:t xml:space="preserve"> </w:t>
      </w:r>
      <w:r w:rsidR="009013BE">
        <w:rPr>
          <w:rFonts w:ascii="Calibri" w:hAnsi="Calibri" w:hint="cs"/>
          <w:rtl/>
        </w:rPr>
        <w:t>חומרים</w:t>
      </w:r>
      <w:r w:rsidR="009013BE">
        <w:rPr>
          <w:rFonts w:ascii="Calibri" w:hAnsi="Calibri"/>
        </w:rPr>
        <w:t xml:space="preserve"> </w:t>
      </w:r>
      <w:r w:rsidR="009013BE">
        <w:rPr>
          <w:rFonts w:ascii="Calibri" w:hAnsi="Calibri" w:hint="cs"/>
          <w:rtl/>
        </w:rPr>
        <w:t>של</w:t>
      </w:r>
      <w:r w:rsidR="009013BE">
        <w:rPr>
          <w:rFonts w:ascii="Calibri" w:hAnsi="Calibri"/>
        </w:rPr>
        <w:t xml:space="preserve"> </w:t>
      </w:r>
      <w:r w:rsidR="009013BE">
        <w:rPr>
          <w:rFonts w:ascii="Calibri" w:hAnsi="Calibri" w:hint="cs"/>
          <w:rtl/>
        </w:rPr>
        <w:t>סם מסוכן</w:t>
      </w:r>
      <w:r w:rsidR="009013BE">
        <w:rPr>
          <w:rFonts w:ascii="Calibri" w:hAnsi="Calibri"/>
        </w:rPr>
        <w:t xml:space="preserve"> </w:t>
      </w:r>
      <w:r w:rsidR="009013BE">
        <w:rPr>
          <w:rFonts w:ascii="Calibri" w:hAnsi="Calibri" w:hint="cs"/>
          <w:rtl/>
        </w:rPr>
        <w:t>מסוג</w:t>
      </w:r>
      <w:r w:rsidR="009013BE">
        <w:rPr>
          <w:rFonts w:ascii="Calibri" w:hAnsi="Calibri"/>
        </w:rPr>
        <w:t xml:space="preserve"> </w:t>
      </w:r>
      <w:r w:rsidR="009013BE">
        <w:rPr>
          <w:rFonts w:ascii="Calibri" w:hAnsi="Calibri" w:hint="cs"/>
          <w:rtl/>
        </w:rPr>
        <w:t>קוקאין ובנוסף החזיק על גופו קוקאין</w:t>
      </w:r>
      <w:r w:rsidR="009013BE">
        <w:rPr>
          <w:rFonts w:ascii="Calibri" w:hAnsi="Calibri"/>
        </w:rPr>
        <w:t xml:space="preserve"> </w:t>
      </w:r>
      <w:r w:rsidR="009013BE">
        <w:rPr>
          <w:rFonts w:ascii="Calibri" w:hAnsi="Calibri" w:hint="cs"/>
          <w:rtl/>
        </w:rPr>
        <w:t>במשקל</w:t>
      </w:r>
      <w:r w:rsidR="009013BE">
        <w:rPr>
          <w:rFonts w:ascii="Calibri" w:hAnsi="Calibri"/>
        </w:rPr>
        <w:t xml:space="preserve"> </w:t>
      </w:r>
      <w:r w:rsidR="009013BE">
        <w:rPr>
          <w:rFonts w:ascii="Calibri" w:hAnsi="Calibri" w:hint="cs"/>
          <w:rtl/>
        </w:rPr>
        <w:t>כולל</w:t>
      </w:r>
      <w:r w:rsidR="009013BE">
        <w:rPr>
          <w:rFonts w:ascii="Calibri" w:hAnsi="Calibri"/>
        </w:rPr>
        <w:t xml:space="preserve"> </w:t>
      </w:r>
      <w:r w:rsidR="009013BE">
        <w:rPr>
          <w:rFonts w:ascii="Calibri" w:hAnsi="Calibri" w:hint="cs"/>
          <w:rtl/>
        </w:rPr>
        <w:t>של 5.28 גרם</w:t>
      </w:r>
      <w:r w:rsidR="009013BE">
        <w:rPr>
          <w:rFonts w:ascii="Calibri" w:hAnsi="Calibri"/>
        </w:rPr>
        <w:t xml:space="preserve"> </w:t>
      </w:r>
      <w:r w:rsidR="009013BE">
        <w:rPr>
          <w:rFonts w:ascii="Calibri" w:hAnsi="Calibri" w:hint="cs"/>
          <w:rtl/>
        </w:rPr>
        <w:t>נטו, שלא</w:t>
      </w:r>
      <w:r w:rsidR="009013BE">
        <w:rPr>
          <w:rFonts w:ascii="Calibri" w:hAnsi="Calibri"/>
        </w:rPr>
        <w:t xml:space="preserve"> </w:t>
      </w:r>
      <w:r w:rsidR="009013BE">
        <w:rPr>
          <w:rFonts w:ascii="Calibri" w:hAnsi="Calibri" w:hint="cs"/>
          <w:rtl/>
        </w:rPr>
        <w:t>לצריכתו</w:t>
      </w:r>
      <w:r w:rsidR="009013BE">
        <w:rPr>
          <w:rFonts w:ascii="Calibri" w:hAnsi="Calibri"/>
        </w:rPr>
        <w:t xml:space="preserve"> </w:t>
      </w:r>
      <w:r w:rsidR="009013BE">
        <w:rPr>
          <w:rFonts w:ascii="Calibri" w:hAnsi="Calibri" w:hint="cs"/>
          <w:rtl/>
        </w:rPr>
        <w:t>העצמית, וכן</w:t>
      </w:r>
      <w:r w:rsidR="009013BE">
        <w:rPr>
          <w:rFonts w:ascii="Calibri" w:hAnsi="Calibri"/>
        </w:rPr>
        <w:t xml:space="preserve"> </w:t>
      </w:r>
      <w:r w:rsidR="009013BE">
        <w:rPr>
          <w:rFonts w:ascii="Calibri" w:hAnsi="Calibri" w:hint="cs"/>
          <w:rtl/>
        </w:rPr>
        <w:t>במשקל</w:t>
      </w:r>
      <w:r w:rsidR="009013BE">
        <w:rPr>
          <w:rFonts w:ascii="Calibri" w:hAnsi="Calibri"/>
        </w:rPr>
        <w:t xml:space="preserve"> </w:t>
      </w:r>
      <w:r w:rsidR="009013BE">
        <w:rPr>
          <w:rFonts w:ascii="Calibri" w:hAnsi="Calibri" w:hint="cs"/>
          <w:rtl/>
        </w:rPr>
        <w:t>אלקטרוני. באישום</w:t>
      </w:r>
      <w:r w:rsidR="009013BE">
        <w:rPr>
          <w:rFonts w:ascii="Calibri" w:hAnsi="Calibri"/>
        </w:rPr>
        <w:t xml:space="preserve"> </w:t>
      </w:r>
      <w:r w:rsidR="009013BE">
        <w:rPr>
          <w:rFonts w:ascii="Calibri" w:hAnsi="Calibri" w:hint="cs"/>
          <w:rtl/>
        </w:rPr>
        <w:t>שני החזיק 9 מנות</w:t>
      </w:r>
      <w:r w:rsidR="009013BE">
        <w:rPr>
          <w:rFonts w:ascii="Calibri" w:hAnsi="Calibri"/>
        </w:rPr>
        <w:t xml:space="preserve"> </w:t>
      </w:r>
      <w:r w:rsidR="009013BE">
        <w:rPr>
          <w:rFonts w:ascii="Calibri" w:hAnsi="Calibri" w:hint="cs"/>
          <w:rtl/>
        </w:rPr>
        <w:t>של</w:t>
      </w:r>
      <w:r w:rsidR="009013BE">
        <w:rPr>
          <w:rFonts w:ascii="Calibri" w:hAnsi="Calibri"/>
        </w:rPr>
        <w:t xml:space="preserve"> </w:t>
      </w:r>
      <w:r w:rsidR="009013BE">
        <w:rPr>
          <w:rFonts w:ascii="Calibri" w:hAnsi="Calibri" w:hint="cs"/>
          <w:rtl/>
        </w:rPr>
        <w:t>סם</w:t>
      </w:r>
      <w:r w:rsidR="009013BE">
        <w:rPr>
          <w:rFonts w:ascii="Calibri" w:hAnsi="Calibri"/>
        </w:rPr>
        <w:t xml:space="preserve"> </w:t>
      </w:r>
      <w:r w:rsidR="009013BE">
        <w:rPr>
          <w:rFonts w:ascii="Calibri" w:hAnsi="Calibri" w:hint="cs"/>
          <w:rtl/>
        </w:rPr>
        <w:t>מסוכן</w:t>
      </w:r>
      <w:r w:rsidR="009013BE">
        <w:rPr>
          <w:rFonts w:ascii="Calibri" w:hAnsi="Calibri"/>
        </w:rPr>
        <w:t xml:space="preserve"> </w:t>
      </w:r>
      <w:r w:rsidR="009013BE">
        <w:rPr>
          <w:rFonts w:ascii="Calibri" w:hAnsi="Calibri" w:hint="cs"/>
          <w:rtl/>
        </w:rPr>
        <w:t xml:space="preserve">מסוג </w:t>
      </w:r>
      <w:r w:rsidR="009013BE">
        <w:rPr>
          <w:rFonts w:ascii="Calibri" w:hAnsi="Calibri"/>
        </w:rPr>
        <w:t xml:space="preserve"> MDMA</w:t>
      </w:r>
      <w:r w:rsidR="009013BE">
        <w:rPr>
          <w:rFonts w:ascii="Calibri" w:hAnsi="Calibri" w:hint="cs"/>
          <w:rtl/>
        </w:rPr>
        <w:t xml:space="preserve"> במשקל</w:t>
      </w:r>
      <w:r w:rsidR="009013BE">
        <w:rPr>
          <w:rFonts w:ascii="Calibri" w:hAnsi="Calibri"/>
        </w:rPr>
        <w:t xml:space="preserve"> </w:t>
      </w:r>
      <w:r w:rsidR="009013BE">
        <w:rPr>
          <w:rFonts w:ascii="Calibri" w:hAnsi="Calibri" w:hint="cs"/>
          <w:rtl/>
        </w:rPr>
        <w:t>כולל</w:t>
      </w:r>
      <w:r w:rsidR="009013BE">
        <w:rPr>
          <w:rFonts w:ascii="Calibri" w:hAnsi="Calibri"/>
        </w:rPr>
        <w:t xml:space="preserve"> </w:t>
      </w:r>
      <w:r w:rsidR="009013BE">
        <w:rPr>
          <w:rFonts w:ascii="Calibri" w:hAnsi="Calibri" w:hint="cs"/>
          <w:rtl/>
        </w:rPr>
        <w:t>של 5.5 גרם</w:t>
      </w:r>
      <w:r w:rsidR="009013BE">
        <w:rPr>
          <w:rFonts w:ascii="Calibri" w:hAnsi="Calibri"/>
        </w:rPr>
        <w:t xml:space="preserve"> </w:t>
      </w:r>
      <w:r w:rsidR="009013BE">
        <w:rPr>
          <w:rFonts w:ascii="Calibri" w:hAnsi="Calibri" w:hint="cs"/>
          <w:rtl/>
        </w:rPr>
        <w:t>וכן</w:t>
      </w:r>
      <w:r w:rsidR="009013BE">
        <w:rPr>
          <w:rFonts w:ascii="Calibri" w:hAnsi="Calibri"/>
        </w:rPr>
        <w:t xml:space="preserve"> </w:t>
      </w:r>
      <w:r w:rsidR="009013BE">
        <w:rPr>
          <w:rFonts w:ascii="Calibri" w:hAnsi="Calibri" w:hint="cs"/>
          <w:rtl/>
        </w:rPr>
        <w:t>ב- 27 קוקאין</w:t>
      </w:r>
      <w:r w:rsidR="009013BE">
        <w:rPr>
          <w:rFonts w:ascii="Calibri" w:hAnsi="Calibri"/>
        </w:rPr>
        <w:t xml:space="preserve"> </w:t>
      </w:r>
      <w:r w:rsidR="009013BE">
        <w:rPr>
          <w:rFonts w:ascii="Calibri" w:hAnsi="Calibri" w:hint="cs"/>
          <w:rtl/>
        </w:rPr>
        <w:t>במשקל</w:t>
      </w:r>
      <w:r w:rsidR="009013BE">
        <w:rPr>
          <w:rFonts w:ascii="Calibri" w:hAnsi="Calibri"/>
        </w:rPr>
        <w:t xml:space="preserve"> </w:t>
      </w:r>
      <w:r w:rsidR="009013BE">
        <w:rPr>
          <w:rFonts w:ascii="Calibri" w:hAnsi="Calibri" w:hint="cs"/>
          <w:rtl/>
        </w:rPr>
        <w:t>כולל</w:t>
      </w:r>
      <w:r w:rsidR="009013BE">
        <w:rPr>
          <w:rFonts w:ascii="Calibri" w:hAnsi="Calibri"/>
        </w:rPr>
        <w:t xml:space="preserve"> </w:t>
      </w:r>
      <w:r w:rsidR="009013BE">
        <w:rPr>
          <w:rFonts w:ascii="Calibri" w:hAnsi="Calibri" w:hint="cs"/>
          <w:rtl/>
        </w:rPr>
        <w:t>של 13.3731 גרם, והכל</w:t>
      </w:r>
      <w:r w:rsidR="009013BE">
        <w:rPr>
          <w:rFonts w:ascii="Calibri" w:hAnsi="Calibri"/>
        </w:rPr>
        <w:t xml:space="preserve"> </w:t>
      </w:r>
      <w:r w:rsidR="009013BE">
        <w:rPr>
          <w:rFonts w:ascii="Calibri" w:hAnsi="Calibri" w:hint="cs"/>
          <w:rtl/>
        </w:rPr>
        <w:t>שלא</w:t>
      </w:r>
      <w:r w:rsidR="009013BE">
        <w:rPr>
          <w:rFonts w:ascii="Calibri" w:hAnsi="Calibri"/>
        </w:rPr>
        <w:t xml:space="preserve"> </w:t>
      </w:r>
      <w:r w:rsidR="009013BE">
        <w:rPr>
          <w:rFonts w:ascii="Calibri" w:hAnsi="Calibri" w:hint="cs"/>
          <w:rtl/>
        </w:rPr>
        <w:t>לצריכתו</w:t>
      </w:r>
      <w:r w:rsidR="009013BE">
        <w:rPr>
          <w:rFonts w:ascii="Calibri" w:hAnsi="Calibri"/>
        </w:rPr>
        <w:t xml:space="preserve"> </w:t>
      </w:r>
      <w:r w:rsidR="009013BE">
        <w:rPr>
          <w:rFonts w:ascii="Calibri" w:hAnsi="Calibri" w:hint="cs"/>
          <w:rtl/>
        </w:rPr>
        <w:t>העצמית. בית משפט קמא גזר 6 חודשי מאסר שירוצו בעבודות שירות וענישה נלווית. בית המשפט המחוזי קבע כי המתחם נע בין 10-24 חודשי מאסר</w:t>
      </w:r>
      <w:r w:rsidR="009013BE">
        <w:rPr>
          <w:rFonts w:ascii="Calibri" w:hAnsi="Calibri"/>
        </w:rPr>
        <w:t xml:space="preserve"> </w:t>
      </w:r>
      <w:r w:rsidR="009013BE">
        <w:rPr>
          <w:rFonts w:ascii="Calibri" w:hAnsi="Calibri" w:hint="cs"/>
          <w:rtl/>
        </w:rPr>
        <w:t>וגזר על המבקש 10 חודשי</w:t>
      </w:r>
      <w:r w:rsidR="009013BE">
        <w:rPr>
          <w:rFonts w:ascii="Calibri" w:hAnsi="Calibri"/>
        </w:rPr>
        <w:t xml:space="preserve"> </w:t>
      </w:r>
      <w:r w:rsidR="009013BE">
        <w:rPr>
          <w:rFonts w:ascii="Calibri" w:hAnsi="Calibri" w:hint="cs"/>
          <w:rtl/>
        </w:rPr>
        <w:t>מאסר. בקשת רשות ערעור נדחתה.</w:t>
      </w:r>
    </w:p>
    <w:p w14:paraId="59B65790" w14:textId="77777777" w:rsidR="009013BE" w:rsidRDefault="006D39F3" w:rsidP="009013BE">
      <w:pPr>
        <w:numPr>
          <w:ilvl w:val="0"/>
          <w:numId w:val="3"/>
        </w:numPr>
        <w:autoSpaceDE w:val="0"/>
        <w:autoSpaceDN w:val="0"/>
        <w:adjustRightInd w:val="0"/>
        <w:spacing w:before="100" w:after="100" w:line="288" w:lineRule="auto"/>
        <w:contextualSpacing/>
        <w:jc w:val="both"/>
        <w:rPr>
          <w:rFonts w:ascii="Calibri" w:hAnsi="Calibri"/>
        </w:rPr>
      </w:pPr>
      <w:hyperlink r:id="rId17" w:history="1">
        <w:r w:rsidRPr="006D39F3">
          <w:rPr>
            <w:rStyle w:val="Hyperlink"/>
            <w:rFonts w:ascii="Calibri" w:hAnsi="Calibri" w:cs="David" w:hint="eastAsia"/>
            <w:rtl/>
          </w:rPr>
          <w:t>רע</w:t>
        </w:r>
        <w:r w:rsidRPr="006D39F3">
          <w:rPr>
            <w:rStyle w:val="Hyperlink"/>
            <w:rFonts w:ascii="Calibri" w:hAnsi="Calibri" w:cs="David"/>
            <w:rtl/>
          </w:rPr>
          <w:t>"</w:t>
        </w:r>
        <w:r w:rsidRPr="006D39F3">
          <w:rPr>
            <w:rStyle w:val="Hyperlink"/>
            <w:rFonts w:ascii="Calibri" w:hAnsi="Calibri" w:cs="David" w:hint="eastAsia"/>
            <w:rtl/>
          </w:rPr>
          <w:t>פ</w:t>
        </w:r>
        <w:r w:rsidRPr="006D39F3">
          <w:rPr>
            <w:rStyle w:val="Hyperlink"/>
            <w:rFonts w:ascii="Calibri" w:hAnsi="Calibri" w:cs="David"/>
            <w:rtl/>
          </w:rPr>
          <w:t xml:space="preserve"> 894/16</w:t>
        </w:r>
      </w:hyperlink>
      <w:r w:rsidR="009013BE">
        <w:rPr>
          <w:rFonts w:ascii="Calibri" w:hAnsi="Calibri" w:hint="cs"/>
          <w:rtl/>
        </w:rPr>
        <w:t xml:space="preserve"> </w:t>
      </w:r>
      <w:r w:rsidR="009013BE">
        <w:rPr>
          <w:rFonts w:ascii="Calibri" w:hAnsi="Calibri" w:hint="cs"/>
          <w:b/>
          <w:bCs/>
          <w:rtl/>
        </w:rPr>
        <w:t>פרץ נ' מדינת ישראל</w:t>
      </w:r>
      <w:r w:rsidR="009013BE">
        <w:rPr>
          <w:rFonts w:ascii="Calibri" w:hAnsi="Calibri" w:hint="cs"/>
          <w:rtl/>
        </w:rPr>
        <w:t xml:space="preserve"> (פורסם בנבו, 10.2.16), המבקש הורשע בביצוע עבירה של החזקת סם מסוג קוקאין במשקל של 31.05 גרם שלא לצריכתו העצמית. בית משפט השלום קבע כי מתחם העונש ההולם נע בין  15-36 חודשי מאסר וגזר על המבקש 15 חודשי מאסר בפועל וענישה נלווית. ערעורים בבית משפט המחוזי ובבית המשפט העליון נדחו. </w:t>
      </w:r>
    </w:p>
    <w:p w14:paraId="434A1C1C" w14:textId="77777777" w:rsidR="009013BE" w:rsidRDefault="006D39F3" w:rsidP="009013BE">
      <w:pPr>
        <w:numPr>
          <w:ilvl w:val="0"/>
          <w:numId w:val="3"/>
        </w:numPr>
        <w:autoSpaceDE w:val="0"/>
        <w:autoSpaceDN w:val="0"/>
        <w:adjustRightInd w:val="0"/>
        <w:spacing w:before="100" w:after="100" w:line="288" w:lineRule="auto"/>
        <w:contextualSpacing/>
        <w:jc w:val="both"/>
        <w:rPr>
          <w:rFonts w:ascii="Calibri" w:hAnsi="Calibri"/>
        </w:rPr>
      </w:pPr>
      <w:hyperlink r:id="rId18" w:history="1">
        <w:r w:rsidRPr="006D39F3">
          <w:rPr>
            <w:rStyle w:val="Hyperlink"/>
            <w:rFonts w:ascii="Calibri" w:hAnsi="Calibri" w:cs="David" w:hint="eastAsia"/>
            <w:rtl/>
          </w:rPr>
          <w:t>רע</w:t>
        </w:r>
        <w:r w:rsidRPr="006D39F3">
          <w:rPr>
            <w:rStyle w:val="Hyperlink"/>
            <w:rFonts w:ascii="Calibri" w:hAnsi="Calibri" w:cs="David"/>
            <w:rtl/>
          </w:rPr>
          <w:t>"</w:t>
        </w:r>
        <w:r w:rsidRPr="006D39F3">
          <w:rPr>
            <w:rStyle w:val="Hyperlink"/>
            <w:rFonts w:ascii="Calibri" w:hAnsi="Calibri" w:cs="David" w:hint="eastAsia"/>
            <w:rtl/>
          </w:rPr>
          <w:t>פ</w:t>
        </w:r>
        <w:r w:rsidRPr="006D39F3">
          <w:rPr>
            <w:rStyle w:val="Hyperlink"/>
            <w:rFonts w:ascii="Calibri" w:hAnsi="Calibri" w:cs="David"/>
            <w:rtl/>
          </w:rPr>
          <w:t xml:space="preserve"> 2472/15</w:t>
        </w:r>
      </w:hyperlink>
      <w:r w:rsidR="009013BE">
        <w:rPr>
          <w:rFonts w:ascii="Calibri" w:hAnsi="Calibri" w:hint="cs"/>
          <w:rtl/>
        </w:rPr>
        <w:t xml:space="preserve"> </w:t>
      </w:r>
      <w:r w:rsidR="009013BE">
        <w:rPr>
          <w:rFonts w:ascii="Calibri" w:hAnsi="Calibri" w:hint="cs"/>
          <w:b/>
          <w:bCs/>
          <w:rtl/>
        </w:rPr>
        <w:t>יאן שורצמן נ' מדינת ישראל.</w:t>
      </w:r>
      <w:r w:rsidR="009013BE">
        <w:rPr>
          <w:rFonts w:ascii="Calibri" w:hAnsi="Calibri" w:hint="cs"/>
          <w:rtl/>
        </w:rPr>
        <w:t xml:space="preserve"> (21.05.15) המבקש הורשע בביצוע עבירה של החזקת סם שלא לצריכה עצמית. 4 יחידות קוקאין במשקל כולל של 1.41 גרם ו- 19 יחידות</w:t>
      </w:r>
      <w:r w:rsidR="009013BE">
        <w:rPr>
          <w:rFonts w:ascii="Calibri" w:hAnsi="Calibri"/>
        </w:rPr>
        <w:t xml:space="preserve"> </w:t>
      </w:r>
      <w:r w:rsidR="009013BE">
        <w:rPr>
          <w:rFonts w:ascii="Calibri" w:hAnsi="Calibri" w:hint="cs"/>
          <w:rtl/>
        </w:rPr>
        <w:t>של</w:t>
      </w:r>
      <w:r w:rsidR="009013BE">
        <w:rPr>
          <w:rFonts w:ascii="Calibri" w:hAnsi="Calibri"/>
        </w:rPr>
        <w:t xml:space="preserve"> </w:t>
      </w:r>
      <w:r w:rsidR="009013BE">
        <w:rPr>
          <w:rFonts w:ascii="Calibri" w:hAnsi="Calibri" w:hint="cs"/>
          <w:rtl/>
        </w:rPr>
        <w:t>הרואין, במשקל</w:t>
      </w:r>
      <w:r w:rsidR="009013BE">
        <w:rPr>
          <w:rFonts w:ascii="Calibri" w:hAnsi="Calibri"/>
        </w:rPr>
        <w:t xml:space="preserve"> </w:t>
      </w:r>
      <w:r w:rsidR="009013BE">
        <w:rPr>
          <w:rFonts w:ascii="Calibri" w:hAnsi="Calibri" w:hint="cs"/>
          <w:rtl/>
        </w:rPr>
        <w:t>כולל</w:t>
      </w:r>
      <w:r w:rsidR="009013BE">
        <w:rPr>
          <w:rFonts w:ascii="Calibri" w:hAnsi="Calibri"/>
        </w:rPr>
        <w:t xml:space="preserve"> </w:t>
      </w:r>
      <w:r w:rsidR="009013BE">
        <w:rPr>
          <w:rFonts w:ascii="Calibri" w:hAnsi="Calibri" w:hint="cs"/>
          <w:rtl/>
        </w:rPr>
        <w:t>של 17.3204 גרם</w:t>
      </w:r>
      <w:r w:rsidR="009013BE">
        <w:rPr>
          <w:rFonts w:ascii="Calibri" w:hAnsi="Calibri"/>
        </w:rPr>
        <w:t xml:space="preserve"> </w:t>
      </w:r>
      <w:r w:rsidR="009013BE">
        <w:rPr>
          <w:rFonts w:ascii="Calibri" w:hAnsi="Calibri" w:hint="cs"/>
          <w:rtl/>
        </w:rPr>
        <w:t>נטו. בית</w:t>
      </w:r>
      <w:r w:rsidR="009013BE">
        <w:rPr>
          <w:rFonts w:ascii="Calibri" w:hAnsi="Calibri"/>
        </w:rPr>
        <w:t xml:space="preserve"> </w:t>
      </w:r>
      <w:r w:rsidR="009013BE">
        <w:rPr>
          <w:rFonts w:ascii="Calibri" w:hAnsi="Calibri" w:hint="cs"/>
          <w:rtl/>
        </w:rPr>
        <w:t>משפט</w:t>
      </w:r>
      <w:r w:rsidR="009013BE">
        <w:rPr>
          <w:rFonts w:ascii="Calibri" w:hAnsi="Calibri"/>
        </w:rPr>
        <w:t xml:space="preserve"> </w:t>
      </w:r>
      <w:r w:rsidR="009013BE">
        <w:rPr>
          <w:rFonts w:ascii="Calibri" w:hAnsi="Calibri" w:hint="cs"/>
          <w:rtl/>
        </w:rPr>
        <w:t>השלום קבע מתחם שנע בין 10-20 חודשי מאסר וגזר על המבקש 16 חודשי מאסר. בית המשפט המחוזי קבע שהמתחם נע בין 12-24 חודשים, גזר על המבקש 20 חודשי מאסר והפעיל מאסר מותנה כך שירצה 24 חודשים. בקשת רשות הערעור נדחתה.</w:t>
      </w:r>
    </w:p>
    <w:p w14:paraId="0D252E20" w14:textId="77777777" w:rsidR="009013BE" w:rsidRDefault="006D39F3" w:rsidP="009013BE">
      <w:pPr>
        <w:numPr>
          <w:ilvl w:val="0"/>
          <w:numId w:val="3"/>
        </w:numPr>
        <w:autoSpaceDE w:val="0"/>
        <w:autoSpaceDN w:val="0"/>
        <w:adjustRightInd w:val="0"/>
        <w:spacing w:before="100" w:after="100" w:line="288" w:lineRule="auto"/>
        <w:contextualSpacing/>
        <w:jc w:val="both"/>
        <w:rPr>
          <w:rFonts w:ascii="Calibri" w:hAnsi="Calibri"/>
          <w:b/>
          <w:bCs/>
          <w:u w:val="single"/>
        </w:rPr>
      </w:pPr>
      <w:hyperlink r:id="rId19" w:history="1">
        <w:r w:rsidRPr="006D39F3">
          <w:rPr>
            <w:rStyle w:val="Hyperlink"/>
            <w:rFonts w:ascii="Calibri" w:hAnsi="Calibri" w:cs="David" w:hint="eastAsia"/>
            <w:rtl/>
          </w:rPr>
          <w:t>רע</w:t>
        </w:r>
        <w:r w:rsidRPr="006D39F3">
          <w:rPr>
            <w:rStyle w:val="Hyperlink"/>
            <w:rFonts w:ascii="Calibri" w:hAnsi="Calibri" w:cs="David"/>
            <w:rtl/>
          </w:rPr>
          <w:t>"</w:t>
        </w:r>
        <w:r w:rsidRPr="006D39F3">
          <w:rPr>
            <w:rStyle w:val="Hyperlink"/>
            <w:rFonts w:ascii="Calibri" w:hAnsi="Calibri" w:cs="David" w:hint="eastAsia"/>
            <w:rtl/>
          </w:rPr>
          <w:t>פ</w:t>
        </w:r>
        <w:r w:rsidRPr="006D39F3">
          <w:rPr>
            <w:rStyle w:val="Hyperlink"/>
            <w:rFonts w:ascii="Calibri" w:hAnsi="Calibri" w:cs="David"/>
            <w:rtl/>
          </w:rPr>
          <w:t xml:space="preserve"> 1425/15</w:t>
        </w:r>
      </w:hyperlink>
      <w:r w:rsidR="009013BE">
        <w:rPr>
          <w:rFonts w:ascii="Calibri" w:hAnsi="Calibri" w:hint="cs"/>
          <w:b/>
          <w:bCs/>
          <w:rtl/>
        </w:rPr>
        <w:t xml:space="preserve"> פרוספר טבול נ' מדינת ישראל</w:t>
      </w:r>
      <w:r w:rsidR="009013BE">
        <w:rPr>
          <w:rFonts w:ascii="Calibri" w:hAnsi="Calibri" w:hint="cs"/>
          <w:rtl/>
        </w:rPr>
        <w:t xml:space="preserve"> (05.03.15) המבקש הורשע בהחזקת</w:t>
      </w:r>
      <w:r w:rsidR="009013BE">
        <w:rPr>
          <w:rFonts w:ascii="Calibri" w:hAnsi="Calibri"/>
        </w:rPr>
        <w:t xml:space="preserve"> </w:t>
      </w:r>
      <w:r w:rsidR="009013BE">
        <w:rPr>
          <w:rFonts w:ascii="Calibri" w:hAnsi="Calibri" w:hint="cs"/>
          <w:rtl/>
        </w:rPr>
        <w:t>סם</w:t>
      </w:r>
      <w:r w:rsidR="009013BE">
        <w:rPr>
          <w:rFonts w:ascii="Calibri" w:hAnsi="Calibri"/>
        </w:rPr>
        <w:t xml:space="preserve"> </w:t>
      </w:r>
      <w:r w:rsidR="009013BE">
        <w:rPr>
          <w:rFonts w:ascii="Calibri" w:hAnsi="Calibri" w:hint="cs"/>
          <w:rtl/>
        </w:rPr>
        <w:t>מסוכן</w:t>
      </w:r>
      <w:r w:rsidR="009013BE">
        <w:rPr>
          <w:rFonts w:ascii="Calibri" w:hAnsi="Calibri"/>
        </w:rPr>
        <w:t xml:space="preserve"> </w:t>
      </w:r>
      <w:r w:rsidR="009013BE">
        <w:rPr>
          <w:rFonts w:ascii="Calibri" w:hAnsi="Calibri" w:hint="cs"/>
          <w:rtl/>
        </w:rPr>
        <w:t>מסוג</w:t>
      </w:r>
      <w:r w:rsidR="009013BE">
        <w:rPr>
          <w:rFonts w:ascii="Calibri" w:hAnsi="Calibri"/>
        </w:rPr>
        <w:t xml:space="preserve"> </w:t>
      </w:r>
      <w:r w:rsidR="009013BE">
        <w:rPr>
          <w:rFonts w:ascii="Calibri" w:hAnsi="Calibri" w:hint="cs"/>
          <w:rtl/>
        </w:rPr>
        <w:t>קוקאין במשקל</w:t>
      </w:r>
      <w:r w:rsidR="009013BE">
        <w:rPr>
          <w:rFonts w:ascii="Calibri" w:hAnsi="Calibri"/>
        </w:rPr>
        <w:t xml:space="preserve"> </w:t>
      </w:r>
      <w:r w:rsidR="009013BE">
        <w:rPr>
          <w:rFonts w:ascii="Calibri" w:hAnsi="Calibri" w:hint="cs"/>
          <w:rtl/>
        </w:rPr>
        <w:t>כולל</w:t>
      </w:r>
      <w:r w:rsidR="009013BE">
        <w:rPr>
          <w:rFonts w:ascii="Calibri" w:hAnsi="Calibri"/>
        </w:rPr>
        <w:t xml:space="preserve"> </w:t>
      </w:r>
      <w:r w:rsidR="009013BE">
        <w:rPr>
          <w:rFonts w:ascii="Calibri" w:hAnsi="Calibri" w:hint="cs"/>
          <w:rtl/>
        </w:rPr>
        <w:t>של</w:t>
      </w:r>
      <w:r w:rsidR="009013BE">
        <w:rPr>
          <w:rFonts w:ascii="Calibri" w:hAnsi="Calibri"/>
        </w:rPr>
        <w:t xml:space="preserve"> </w:t>
      </w:r>
      <w:r w:rsidR="009013BE">
        <w:rPr>
          <w:rFonts w:ascii="Calibri" w:hAnsi="Calibri" w:hint="cs"/>
          <w:rtl/>
        </w:rPr>
        <w:t>לפחות 38.37 גרם</w:t>
      </w:r>
      <w:r w:rsidR="009013BE">
        <w:rPr>
          <w:rFonts w:ascii="Calibri" w:hAnsi="Calibri"/>
        </w:rPr>
        <w:t xml:space="preserve"> </w:t>
      </w:r>
      <w:r w:rsidR="009013BE">
        <w:rPr>
          <w:rFonts w:ascii="Calibri" w:hAnsi="Calibri" w:hint="cs"/>
          <w:rtl/>
        </w:rPr>
        <w:t>נטו. בית</w:t>
      </w:r>
      <w:r w:rsidR="009013BE">
        <w:rPr>
          <w:rFonts w:ascii="Calibri" w:hAnsi="Calibri"/>
        </w:rPr>
        <w:t xml:space="preserve"> </w:t>
      </w:r>
      <w:r w:rsidR="009013BE">
        <w:rPr>
          <w:rFonts w:ascii="Calibri" w:hAnsi="Calibri" w:hint="cs"/>
          <w:rtl/>
        </w:rPr>
        <w:t>משפט</w:t>
      </w:r>
      <w:r w:rsidR="009013BE">
        <w:rPr>
          <w:rFonts w:ascii="Calibri" w:hAnsi="Calibri"/>
        </w:rPr>
        <w:t xml:space="preserve"> </w:t>
      </w:r>
      <w:r w:rsidR="009013BE">
        <w:rPr>
          <w:rFonts w:ascii="Calibri" w:hAnsi="Calibri" w:hint="cs"/>
          <w:rtl/>
        </w:rPr>
        <w:t>קמא קבע</w:t>
      </w:r>
      <w:r w:rsidR="009013BE">
        <w:rPr>
          <w:rFonts w:ascii="Calibri" w:hAnsi="Calibri"/>
        </w:rPr>
        <w:t xml:space="preserve"> </w:t>
      </w:r>
      <w:r w:rsidR="009013BE">
        <w:rPr>
          <w:rFonts w:ascii="Calibri" w:hAnsi="Calibri" w:hint="cs"/>
          <w:rtl/>
        </w:rPr>
        <w:t>כי</w:t>
      </w:r>
      <w:r w:rsidR="009013BE">
        <w:rPr>
          <w:rFonts w:ascii="Calibri" w:hAnsi="Calibri"/>
        </w:rPr>
        <w:t xml:space="preserve"> </w:t>
      </w:r>
      <w:r w:rsidR="009013BE">
        <w:rPr>
          <w:rFonts w:ascii="Calibri" w:hAnsi="Calibri" w:hint="cs"/>
          <w:rtl/>
        </w:rPr>
        <w:t>מתחם</w:t>
      </w:r>
      <w:r w:rsidR="009013BE">
        <w:rPr>
          <w:rFonts w:ascii="Calibri" w:hAnsi="Calibri"/>
        </w:rPr>
        <w:t xml:space="preserve"> </w:t>
      </w:r>
      <w:r w:rsidR="009013BE">
        <w:rPr>
          <w:rFonts w:ascii="Calibri" w:hAnsi="Calibri" w:hint="cs"/>
          <w:rtl/>
        </w:rPr>
        <w:t>העונש</w:t>
      </w:r>
      <w:r w:rsidR="009013BE">
        <w:rPr>
          <w:rFonts w:ascii="Calibri" w:hAnsi="Calibri"/>
        </w:rPr>
        <w:t xml:space="preserve"> </w:t>
      </w:r>
      <w:r w:rsidR="009013BE">
        <w:rPr>
          <w:rFonts w:ascii="Calibri" w:hAnsi="Calibri" w:hint="cs"/>
          <w:rtl/>
        </w:rPr>
        <w:t>ההולם</w:t>
      </w:r>
      <w:r w:rsidR="009013BE">
        <w:rPr>
          <w:rFonts w:ascii="Calibri" w:hAnsi="Calibri"/>
        </w:rPr>
        <w:t xml:space="preserve"> </w:t>
      </w:r>
      <w:r w:rsidR="009013BE">
        <w:rPr>
          <w:rFonts w:ascii="Calibri" w:hAnsi="Calibri" w:hint="cs"/>
          <w:rtl/>
        </w:rPr>
        <w:t>נע</w:t>
      </w:r>
      <w:r w:rsidR="009013BE">
        <w:rPr>
          <w:rFonts w:ascii="Calibri" w:hAnsi="Calibri"/>
        </w:rPr>
        <w:t xml:space="preserve"> </w:t>
      </w:r>
      <w:r w:rsidR="009013BE">
        <w:rPr>
          <w:rFonts w:ascii="Calibri" w:hAnsi="Calibri" w:hint="cs"/>
          <w:rtl/>
        </w:rPr>
        <w:t>בין</w:t>
      </w:r>
      <w:r w:rsidR="009013BE">
        <w:rPr>
          <w:rFonts w:ascii="Calibri" w:hAnsi="Calibri"/>
        </w:rPr>
        <w:t xml:space="preserve"> </w:t>
      </w:r>
      <w:r w:rsidR="009013BE">
        <w:rPr>
          <w:rFonts w:ascii="Calibri" w:hAnsi="Calibri" w:hint="cs"/>
          <w:rtl/>
        </w:rPr>
        <w:t>מספר</w:t>
      </w:r>
      <w:r w:rsidR="009013BE">
        <w:rPr>
          <w:rFonts w:ascii="Calibri" w:hAnsi="Calibri"/>
        </w:rPr>
        <w:t xml:space="preserve"> </w:t>
      </w:r>
      <w:r w:rsidR="009013BE">
        <w:rPr>
          <w:rFonts w:ascii="Calibri" w:hAnsi="Calibri" w:hint="cs"/>
          <w:rtl/>
        </w:rPr>
        <w:t>חודשי</w:t>
      </w:r>
      <w:r w:rsidR="009013BE">
        <w:rPr>
          <w:rFonts w:ascii="Calibri" w:hAnsi="Calibri"/>
        </w:rPr>
        <w:t xml:space="preserve"> </w:t>
      </w:r>
      <w:r w:rsidR="009013BE">
        <w:rPr>
          <w:rFonts w:ascii="Calibri" w:hAnsi="Calibri" w:hint="cs"/>
          <w:rtl/>
        </w:rPr>
        <w:t>עבודות</w:t>
      </w:r>
      <w:r w:rsidR="009013BE">
        <w:rPr>
          <w:rFonts w:ascii="Calibri" w:hAnsi="Calibri"/>
        </w:rPr>
        <w:t xml:space="preserve"> </w:t>
      </w:r>
      <w:r w:rsidR="009013BE">
        <w:rPr>
          <w:rFonts w:ascii="Calibri" w:hAnsi="Calibri" w:hint="cs"/>
          <w:rtl/>
        </w:rPr>
        <w:t>שירות</w:t>
      </w:r>
      <w:r w:rsidR="009013BE">
        <w:rPr>
          <w:rFonts w:ascii="Calibri" w:hAnsi="Calibri"/>
        </w:rPr>
        <w:t xml:space="preserve"> </w:t>
      </w:r>
      <w:r w:rsidR="009013BE">
        <w:rPr>
          <w:rFonts w:ascii="Calibri" w:hAnsi="Calibri" w:hint="cs"/>
          <w:rtl/>
        </w:rPr>
        <w:t>לבין</w:t>
      </w:r>
      <w:r w:rsidR="009013BE">
        <w:rPr>
          <w:rFonts w:ascii="Calibri" w:hAnsi="Calibri"/>
        </w:rPr>
        <w:t xml:space="preserve"> </w:t>
      </w:r>
      <w:r w:rsidR="009013BE">
        <w:rPr>
          <w:rFonts w:ascii="Calibri" w:hAnsi="Calibri" w:hint="cs"/>
          <w:rtl/>
        </w:rPr>
        <w:t>עשרות</w:t>
      </w:r>
      <w:r w:rsidR="009013BE">
        <w:rPr>
          <w:rFonts w:ascii="Calibri" w:hAnsi="Calibri"/>
        </w:rPr>
        <w:t xml:space="preserve"> </w:t>
      </w:r>
      <w:r w:rsidR="009013BE">
        <w:rPr>
          <w:rFonts w:ascii="Calibri" w:hAnsi="Calibri" w:hint="cs"/>
          <w:rtl/>
        </w:rPr>
        <w:t>חודשי</w:t>
      </w:r>
      <w:r w:rsidR="009013BE">
        <w:rPr>
          <w:rFonts w:ascii="Calibri" w:hAnsi="Calibri"/>
        </w:rPr>
        <w:t xml:space="preserve"> </w:t>
      </w:r>
      <w:r w:rsidR="009013BE">
        <w:rPr>
          <w:rFonts w:ascii="Calibri" w:hAnsi="Calibri" w:hint="cs"/>
          <w:rtl/>
        </w:rPr>
        <w:t>מאסר</w:t>
      </w:r>
      <w:r w:rsidR="009013BE">
        <w:rPr>
          <w:rFonts w:ascii="Calibri" w:hAnsi="Calibri"/>
        </w:rPr>
        <w:t xml:space="preserve"> </w:t>
      </w:r>
      <w:r w:rsidR="009013BE">
        <w:rPr>
          <w:rFonts w:ascii="Calibri" w:hAnsi="Calibri" w:hint="cs"/>
          <w:rtl/>
        </w:rPr>
        <w:t>בפועל וגזר על המבקש 6 חודשי מאסר לריצוי בדרך של עבודות שירות, לצד ענישה נלווית. בית</w:t>
      </w:r>
      <w:r w:rsidR="009013BE">
        <w:rPr>
          <w:rFonts w:ascii="Calibri" w:hAnsi="Calibri"/>
        </w:rPr>
        <w:t xml:space="preserve"> </w:t>
      </w:r>
      <w:r w:rsidR="009013BE">
        <w:rPr>
          <w:rFonts w:ascii="Calibri" w:hAnsi="Calibri" w:hint="cs"/>
          <w:rtl/>
        </w:rPr>
        <w:t>המשפט</w:t>
      </w:r>
      <w:r w:rsidR="009013BE">
        <w:rPr>
          <w:rFonts w:ascii="Calibri" w:hAnsi="Calibri"/>
        </w:rPr>
        <w:t xml:space="preserve"> </w:t>
      </w:r>
      <w:r w:rsidR="009013BE">
        <w:rPr>
          <w:rFonts w:ascii="Calibri" w:hAnsi="Calibri" w:hint="cs"/>
          <w:rtl/>
        </w:rPr>
        <w:t>המחוזי קיבל</w:t>
      </w:r>
      <w:r w:rsidR="009013BE">
        <w:rPr>
          <w:rFonts w:ascii="Calibri" w:hAnsi="Calibri"/>
        </w:rPr>
        <w:t xml:space="preserve"> </w:t>
      </w:r>
      <w:r w:rsidR="009013BE">
        <w:rPr>
          <w:rFonts w:ascii="Calibri" w:hAnsi="Calibri" w:hint="cs"/>
          <w:rtl/>
        </w:rPr>
        <w:t>את</w:t>
      </w:r>
      <w:r w:rsidR="009013BE">
        <w:rPr>
          <w:rFonts w:ascii="Calibri" w:hAnsi="Calibri"/>
        </w:rPr>
        <w:t xml:space="preserve"> </w:t>
      </w:r>
      <w:r w:rsidR="009013BE">
        <w:rPr>
          <w:rFonts w:ascii="Calibri" w:hAnsi="Calibri" w:hint="cs"/>
          <w:rtl/>
        </w:rPr>
        <w:t>ערעור המדינה והשית</w:t>
      </w:r>
      <w:r w:rsidR="009013BE">
        <w:rPr>
          <w:rFonts w:ascii="Calibri" w:hAnsi="Calibri"/>
        </w:rPr>
        <w:t xml:space="preserve"> </w:t>
      </w:r>
      <w:r w:rsidR="009013BE">
        <w:rPr>
          <w:rFonts w:ascii="Calibri" w:hAnsi="Calibri" w:hint="cs"/>
          <w:rtl/>
        </w:rPr>
        <w:t>על</w:t>
      </w:r>
      <w:r w:rsidR="009013BE">
        <w:rPr>
          <w:rFonts w:ascii="Calibri" w:hAnsi="Calibri"/>
        </w:rPr>
        <w:t xml:space="preserve"> </w:t>
      </w:r>
      <w:r w:rsidR="009013BE">
        <w:rPr>
          <w:rFonts w:ascii="Calibri" w:hAnsi="Calibri" w:hint="cs"/>
          <w:rtl/>
        </w:rPr>
        <w:t>המבקש 12  חודשי</w:t>
      </w:r>
      <w:r w:rsidR="009013BE">
        <w:rPr>
          <w:rFonts w:ascii="Calibri" w:hAnsi="Calibri"/>
        </w:rPr>
        <w:t xml:space="preserve"> </w:t>
      </w:r>
      <w:r w:rsidR="009013BE">
        <w:rPr>
          <w:rFonts w:ascii="Calibri" w:hAnsi="Calibri" w:hint="cs"/>
          <w:rtl/>
        </w:rPr>
        <w:t>מאסר</w:t>
      </w:r>
      <w:r w:rsidR="009013BE">
        <w:rPr>
          <w:rFonts w:ascii="Calibri" w:hAnsi="Calibri"/>
        </w:rPr>
        <w:t xml:space="preserve"> </w:t>
      </w:r>
      <w:r w:rsidR="009013BE">
        <w:rPr>
          <w:rFonts w:ascii="Calibri" w:hAnsi="Calibri" w:hint="cs"/>
          <w:rtl/>
        </w:rPr>
        <w:t>בפועל, יתר</w:t>
      </w:r>
      <w:r w:rsidR="009013BE">
        <w:rPr>
          <w:rFonts w:ascii="Calibri" w:hAnsi="Calibri"/>
        </w:rPr>
        <w:t xml:space="preserve"> </w:t>
      </w:r>
      <w:r w:rsidR="009013BE">
        <w:rPr>
          <w:rFonts w:ascii="Calibri" w:hAnsi="Calibri" w:hint="cs"/>
          <w:rtl/>
        </w:rPr>
        <w:t>רכיבי</w:t>
      </w:r>
      <w:r w:rsidR="009013BE">
        <w:rPr>
          <w:rFonts w:ascii="Calibri" w:hAnsi="Calibri"/>
        </w:rPr>
        <w:t xml:space="preserve"> </w:t>
      </w:r>
      <w:r w:rsidR="009013BE">
        <w:rPr>
          <w:rFonts w:ascii="Calibri" w:hAnsi="Calibri" w:hint="cs"/>
          <w:rtl/>
        </w:rPr>
        <w:t>העונש נותרו, על</w:t>
      </w:r>
      <w:r w:rsidR="009013BE">
        <w:rPr>
          <w:rFonts w:ascii="Calibri" w:hAnsi="Calibri"/>
        </w:rPr>
        <w:t xml:space="preserve"> </w:t>
      </w:r>
      <w:r w:rsidR="009013BE">
        <w:rPr>
          <w:rFonts w:ascii="Calibri" w:hAnsi="Calibri" w:hint="cs"/>
          <w:rtl/>
        </w:rPr>
        <w:t>כנם, למעט</w:t>
      </w:r>
      <w:r w:rsidR="009013BE">
        <w:rPr>
          <w:rFonts w:ascii="Calibri" w:hAnsi="Calibri"/>
        </w:rPr>
        <w:t xml:space="preserve"> </w:t>
      </w:r>
      <w:r w:rsidR="009013BE">
        <w:rPr>
          <w:rFonts w:ascii="Calibri" w:hAnsi="Calibri" w:hint="cs"/>
          <w:rtl/>
        </w:rPr>
        <w:t>צו</w:t>
      </w:r>
      <w:r w:rsidR="009013BE">
        <w:rPr>
          <w:rFonts w:ascii="Calibri" w:hAnsi="Calibri"/>
        </w:rPr>
        <w:t xml:space="preserve"> </w:t>
      </w:r>
      <w:r w:rsidR="009013BE">
        <w:rPr>
          <w:rFonts w:ascii="Calibri" w:hAnsi="Calibri" w:hint="cs"/>
          <w:rtl/>
        </w:rPr>
        <w:t>המבחן</w:t>
      </w:r>
      <w:r w:rsidR="009013BE">
        <w:rPr>
          <w:rFonts w:ascii="Calibri" w:hAnsi="Calibri"/>
        </w:rPr>
        <w:t xml:space="preserve"> </w:t>
      </w:r>
      <w:r w:rsidR="009013BE">
        <w:rPr>
          <w:rFonts w:ascii="Calibri" w:hAnsi="Calibri" w:hint="cs"/>
          <w:rtl/>
        </w:rPr>
        <w:t>שבוטל</w:t>
      </w:r>
      <w:r w:rsidR="009013BE">
        <w:rPr>
          <w:rFonts w:ascii="Calibri" w:hAnsi="Calibri"/>
        </w:rPr>
        <w:t>.</w:t>
      </w:r>
      <w:r w:rsidR="009013BE">
        <w:rPr>
          <w:rFonts w:ascii="Calibri" w:hAnsi="Calibri" w:hint="cs"/>
          <w:rtl/>
        </w:rPr>
        <w:t xml:space="preserve"> בקשת רשות ערעור נדחתה.</w:t>
      </w:r>
    </w:p>
    <w:p w14:paraId="66672DD5" w14:textId="77777777" w:rsidR="009013BE" w:rsidRDefault="00A93128" w:rsidP="009013BE">
      <w:pPr>
        <w:numPr>
          <w:ilvl w:val="0"/>
          <w:numId w:val="3"/>
        </w:numPr>
        <w:spacing w:after="160" w:line="288" w:lineRule="auto"/>
        <w:contextualSpacing/>
        <w:jc w:val="both"/>
        <w:rPr>
          <w:rFonts w:ascii="Calibri" w:hAnsi="Calibri"/>
        </w:rPr>
      </w:pPr>
      <w:hyperlink r:id="rId20" w:history="1">
        <w:r w:rsidR="009013BE">
          <w:rPr>
            <w:rStyle w:val="Hyperlink"/>
            <w:rFonts w:ascii="Calibri" w:hAnsi="Calibri" w:hint="cs"/>
            <w:rtl/>
          </w:rPr>
          <w:t xml:space="preserve">רע"פ 322/15 </w:t>
        </w:r>
      </w:hyperlink>
      <w:r w:rsidR="009013BE">
        <w:rPr>
          <w:rFonts w:ascii="Calibri" w:hAnsi="Calibri" w:hint="cs"/>
          <w:b/>
          <w:bCs/>
          <w:rtl/>
        </w:rPr>
        <w:t>חן ג'אנח נ' מדינת ישראל</w:t>
      </w:r>
      <w:r w:rsidR="009013BE">
        <w:rPr>
          <w:rFonts w:ascii="Calibri" w:hAnsi="Calibri" w:hint="cs"/>
          <w:rtl/>
        </w:rPr>
        <w:t xml:space="preserve"> (22.1.15) המבקש הורשע בשני אישומים, האחד החזקת סכין והשני החזקת סם מסוכן מסוג חשיש במשקל כולל של 406 גרם שלא לצריכה עצמית. בית משפט קמא קבע שמתחם העונש ההולם לעבירות הסמים נע בין 7-18 חודשי מאסר. בית המשפט גזר 12 חודשי מאסר והפעיל מאסר מותנה כך שירצה סה"כ 18 חודשי מאסר. ערעורים בבית המשפט המחוזי והעליון נדחו.  </w:t>
      </w:r>
    </w:p>
    <w:p w14:paraId="1F5624AA" w14:textId="77777777" w:rsidR="009013BE" w:rsidRDefault="006D39F3" w:rsidP="009013BE">
      <w:pPr>
        <w:numPr>
          <w:ilvl w:val="0"/>
          <w:numId w:val="3"/>
        </w:numPr>
        <w:autoSpaceDE w:val="0"/>
        <w:autoSpaceDN w:val="0"/>
        <w:adjustRightInd w:val="0"/>
        <w:spacing w:before="100" w:after="100" w:line="288" w:lineRule="auto"/>
        <w:contextualSpacing/>
        <w:jc w:val="both"/>
        <w:rPr>
          <w:rFonts w:ascii="Calibri" w:hAnsi="Calibri"/>
        </w:rPr>
      </w:pPr>
      <w:hyperlink r:id="rId21" w:history="1">
        <w:r w:rsidRPr="006D39F3">
          <w:rPr>
            <w:rStyle w:val="Hyperlink"/>
            <w:rFonts w:ascii="Calibri" w:hAnsi="Calibri" w:cs="David" w:hint="eastAsia"/>
            <w:rtl/>
          </w:rPr>
          <w:t>רע</w:t>
        </w:r>
        <w:r w:rsidRPr="006D39F3">
          <w:rPr>
            <w:rStyle w:val="Hyperlink"/>
            <w:rFonts w:ascii="Calibri" w:hAnsi="Calibri" w:cs="David"/>
            <w:rtl/>
          </w:rPr>
          <w:t>"</w:t>
        </w:r>
        <w:r w:rsidRPr="006D39F3">
          <w:rPr>
            <w:rStyle w:val="Hyperlink"/>
            <w:rFonts w:ascii="Calibri" w:hAnsi="Calibri" w:cs="David" w:hint="eastAsia"/>
            <w:rtl/>
          </w:rPr>
          <w:t>פ</w:t>
        </w:r>
        <w:r w:rsidRPr="006D39F3">
          <w:rPr>
            <w:rStyle w:val="Hyperlink"/>
            <w:rFonts w:ascii="Calibri" w:hAnsi="Calibri" w:cs="David"/>
            <w:rtl/>
          </w:rPr>
          <w:t xml:space="preserve"> 747/14</w:t>
        </w:r>
      </w:hyperlink>
      <w:r w:rsidR="009013BE">
        <w:rPr>
          <w:rFonts w:ascii="Calibri" w:hAnsi="Calibri" w:hint="cs"/>
          <w:b/>
          <w:bCs/>
          <w:rtl/>
        </w:rPr>
        <w:t xml:space="preserve"> אלי לוי נ' מדינת ישראל </w:t>
      </w:r>
      <w:r w:rsidR="009013BE">
        <w:rPr>
          <w:rFonts w:ascii="Calibri" w:hAnsi="Calibri" w:hint="cs"/>
          <w:rtl/>
        </w:rPr>
        <w:t>(11.02.14) המבקש הורשע בשני אישומים: באחד עבירה של החזקת</w:t>
      </w:r>
      <w:r w:rsidR="009013BE">
        <w:rPr>
          <w:rFonts w:ascii="Calibri" w:hAnsi="Calibri"/>
        </w:rPr>
        <w:t xml:space="preserve"> </w:t>
      </w:r>
      <w:r w:rsidR="009013BE">
        <w:rPr>
          <w:rFonts w:ascii="Calibri" w:hAnsi="Calibri" w:hint="cs"/>
          <w:rtl/>
        </w:rPr>
        <w:t>סם</w:t>
      </w:r>
      <w:r w:rsidR="009013BE">
        <w:rPr>
          <w:rFonts w:ascii="Calibri" w:hAnsi="Calibri"/>
        </w:rPr>
        <w:t xml:space="preserve"> </w:t>
      </w:r>
      <w:r w:rsidR="009013BE">
        <w:rPr>
          <w:rFonts w:ascii="Calibri" w:hAnsi="Calibri" w:hint="cs"/>
          <w:rtl/>
        </w:rPr>
        <w:t>מסוכן</w:t>
      </w:r>
      <w:r w:rsidR="009013BE">
        <w:rPr>
          <w:rFonts w:ascii="Calibri" w:hAnsi="Calibri"/>
        </w:rPr>
        <w:t xml:space="preserve"> </w:t>
      </w:r>
      <w:r w:rsidR="009013BE">
        <w:rPr>
          <w:rFonts w:ascii="Calibri" w:hAnsi="Calibri" w:hint="cs"/>
          <w:rtl/>
        </w:rPr>
        <w:t>מסוג</w:t>
      </w:r>
      <w:r w:rsidR="009013BE">
        <w:rPr>
          <w:rFonts w:ascii="Calibri" w:hAnsi="Calibri"/>
        </w:rPr>
        <w:t xml:space="preserve"> </w:t>
      </w:r>
      <w:r w:rsidR="009013BE">
        <w:rPr>
          <w:rFonts w:ascii="Calibri" w:hAnsi="Calibri" w:hint="cs"/>
          <w:rtl/>
        </w:rPr>
        <w:t>הרואין</w:t>
      </w:r>
      <w:r w:rsidR="009013BE">
        <w:rPr>
          <w:rFonts w:ascii="Calibri" w:hAnsi="Calibri"/>
        </w:rPr>
        <w:t xml:space="preserve"> </w:t>
      </w:r>
      <w:r w:rsidR="009013BE">
        <w:rPr>
          <w:rFonts w:ascii="Calibri" w:hAnsi="Calibri" w:hint="cs"/>
          <w:rtl/>
        </w:rPr>
        <w:t>במשקל</w:t>
      </w:r>
      <w:r w:rsidR="009013BE">
        <w:rPr>
          <w:rFonts w:ascii="Calibri" w:hAnsi="Calibri"/>
        </w:rPr>
        <w:t xml:space="preserve"> </w:t>
      </w:r>
      <w:r w:rsidR="009013BE">
        <w:rPr>
          <w:rFonts w:ascii="Calibri" w:hAnsi="Calibri" w:hint="cs"/>
          <w:rtl/>
        </w:rPr>
        <w:t>של</w:t>
      </w:r>
      <w:r w:rsidR="009013BE">
        <w:rPr>
          <w:rFonts w:ascii="Calibri" w:hAnsi="Calibri"/>
        </w:rPr>
        <w:t xml:space="preserve"> </w:t>
      </w:r>
      <w:r w:rsidR="009013BE">
        <w:rPr>
          <w:rFonts w:ascii="Calibri" w:hAnsi="Calibri" w:hint="cs"/>
          <w:rtl/>
        </w:rPr>
        <w:t>כ- 5 גרם</w:t>
      </w:r>
      <w:r w:rsidR="009013BE">
        <w:rPr>
          <w:rFonts w:ascii="Calibri" w:hAnsi="Calibri"/>
        </w:rPr>
        <w:t xml:space="preserve"> </w:t>
      </w:r>
      <w:r w:rsidR="009013BE">
        <w:rPr>
          <w:rFonts w:ascii="Calibri" w:hAnsi="Calibri" w:hint="cs"/>
          <w:rtl/>
        </w:rPr>
        <w:t>נטו, מחולק</w:t>
      </w:r>
      <w:r w:rsidR="009013BE">
        <w:rPr>
          <w:rFonts w:ascii="Calibri" w:hAnsi="Calibri"/>
        </w:rPr>
        <w:t xml:space="preserve"> </w:t>
      </w:r>
      <w:r w:rsidR="009013BE">
        <w:rPr>
          <w:rFonts w:ascii="Calibri" w:hAnsi="Calibri" w:hint="cs"/>
          <w:rtl/>
        </w:rPr>
        <w:t>ל- 6 אריזות</w:t>
      </w:r>
      <w:r w:rsidR="009013BE">
        <w:rPr>
          <w:rFonts w:ascii="Calibri" w:hAnsi="Calibri"/>
        </w:rPr>
        <w:t xml:space="preserve"> </w:t>
      </w:r>
      <w:r w:rsidR="009013BE">
        <w:rPr>
          <w:rFonts w:ascii="Calibri" w:hAnsi="Calibri" w:hint="cs"/>
          <w:rtl/>
        </w:rPr>
        <w:t>שלא לצריכה עצמית והחזקת</w:t>
      </w:r>
      <w:r w:rsidR="009013BE">
        <w:rPr>
          <w:rFonts w:ascii="Calibri" w:hAnsi="Calibri"/>
        </w:rPr>
        <w:t xml:space="preserve"> </w:t>
      </w:r>
      <w:r w:rsidR="009013BE">
        <w:rPr>
          <w:rFonts w:ascii="Calibri" w:hAnsi="Calibri" w:hint="cs"/>
          <w:rtl/>
        </w:rPr>
        <w:t>סם</w:t>
      </w:r>
      <w:r w:rsidR="009013BE">
        <w:rPr>
          <w:rFonts w:ascii="Calibri" w:hAnsi="Calibri"/>
        </w:rPr>
        <w:t xml:space="preserve"> </w:t>
      </w:r>
      <w:r w:rsidR="009013BE">
        <w:rPr>
          <w:rFonts w:ascii="Calibri" w:hAnsi="Calibri" w:hint="cs"/>
          <w:rtl/>
        </w:rPr>
        <w:t>מסוכן</w:t>
      </w:r>
      <w:r w:rsidR="009013BE">
        <w:rPr>
          <w:rFonts w:ascii="Calibri" w:hAnsi="Calibri"/>
        </w:rPr>
        <w:t xml:space="preserve"> </w:t>
      </w:r>
      <w:r w:rsidR="009013BE">
        <w:rPr>
          <w:rFonts w:ascii="Calibri" w:hAnsi="Calibri" w:hint="cs"/>
          <w:rtl/>
        </w:rPr>
        <w:t>מסוג</w:t>
      </w:r>
      <w:r w:rsidR="009013BE">
        <w:rPr>
          <w:rFonts w:ascii="Calibri" w:hAnsi="Calibri"/>
        </w:rPr>
        <w:t xml:space="preserve"> </w:t>
      </w:r>
      <w:r w:rsidR="009013BE">
        <w:rPr>
          <w:rFonts w:ascii="Calibri" w:hAnsi="Calibri" w:hint="cs"/>
          <w:rtl/>
        </w:rPr>
        <w:t>קוקאין</w:t>
      </w:r>
      <w:r w:rsidR="009013BE">
        <w:rPr>
          <w:rFonts w:ascii="Calibri" w:hAnsi="Calibri"/>
        </w:rPr>
        <w:t xml:space="preserve"> </w:t>
      </w:r>
      <w:r w:rsidR="009013BE">
        <w:rPr>
          <w:rFonts w:ascii="Calibri" w:hAnsi="Calibri" w:hint="cs"/>
          <w:rtl/>
        </w:rPr>
        <w:t>במשקל</w:t>
      </w:r>
      <w:r w:rsidR="009013BE">
        <w:rPr>
          <w:rFonts w:ascii="Calibri" w:hAnsi="Calibri"/>
        </w:rPr>
        <w:t xml:space="preserve"> </w:t>
      </w:r>
      <w:r w:rsidR="009013BE">
        <w:rPr>
          <w:rFonts w:ascii="Calibri" w:hAnsi="Calibri" w:hint="cs"/>
          <w:rtl/>
        </w:rPr>
        <w:t>של 0.095 גרם. באישום השני בעבירה של</w:t>
      </w:r>
      <w:r w:rsidR="009013BE">
        <w:rPr>
          <w:rFonts w:ascii="Calibri" w:hAnsi="Calibri"/>
        </w:rPr>
        <w:t xml:space="preserve"> </w:t>
      </w:r>
      <w:r w:rsidR="009013BE">
        <w:rPr>
          <w:rFonts w:ascii="Calibri" w:hAnsi="Calibri" w:hint="cs"/>
          <w:rtl/>
        </w:rPr>
        <w:t>החזקת</w:t>
      </w:r>
      <w:r w:rsidR="009013BE">
        <w:rPr>
          <w:rFonts w:ascii="Calibri" w:hAnsi="Calibri"/>
        </w:rPr>
        <w:t xml:space="preserve"> </w:t>
      </w:r>
      <w:r w:rsidR="009013BE">
        <w:rPr>
          <w:rFonts w:ascii="Calibri" w:hAnsi="Calibri" w:hint="cs"/>
          <w:rtl/>
        </w:rPr>
        <w:t>סם</w:t>
      </w:r>
      <w:r w:rsidR="009013BE">
        <w:rPr>
          <w:rFonts w:ascii="Calibri" w:hAnsi="Calibri"/>
        </w:rPr>
        <w:t xml:space="preserve"> </w:t>
      </w:r>
      <w:r w:rsidR="009013BE">
        <w:rPr>
          <w:rFonts w:ascii="Calibri" w:hAnsi="Calibri" w:hint="cs"/>
          <w:rtl/>
        </w:rPr>
        <w:t>מסוכן</w:t>
      </w:r>
      <w:r w:rsidR="009013BE">
        <w:rPr>
          <w:rFonts w:ascii="Calibri" w:hAnsi="Calibri"/>
        </w:rPr>
        <w:t xml:space="preserve"> </w:t>
      </w:r>
      <w:r w:rsidR="009013BE">
        <w:rPr>
          <w:rFonts w:ascii="Calibri" w:hAnsi="Calibri" w:hint="cs"/>
          <w:rtl/>
        </w:rPr>
        <w:t>מסוג</w:t>
      </w:r>
      <w:r w:rsidR="009013BE">
        <w:rPr>
          <w:rFonts w:ascii="Calibri" w:hAnsi="Calibri"/>
        </w:rPr>
        <w:t xml:space="preserve"> </w:t>
      </w:r>
      <w:r w:rsidR="009013BE">
        <w:rPr>
          <w:rFonts w:ascii="Calibri" w:hAnsi="Calibri" w:hint="cs"/>
          <w:rtl/>
        </w:rPr>
        <w:t>הרואין</w:t>
      </w:r>
      <w:r w:rsidR="009013BE">
        <w:rPr>
          <w:rFonts w:ascii="Calibri" w:hAnsi="Calibri"/>
        </w:rPr>
        <w:t xml:space="preserve"> </w:t>
      </w:r>
      <w:r w:rsidR="009013BE">
        <w:rPr>
          <w:rFonts w:ascii="Calibri" w:hAnsi="Calibri" w:hint="cs"/>
          <w:rtl/>
        </w:rPr>
        <w:t>במשקל</w:t>
      </w:r>
      <w:r w:rsidR="009013BE">
        <w:rPr>
          <w:rFonts w:ascii="Calibri" w:hAnsi="Calibri"/>
        </w:rPr>
        <w:t xml:space="preserve"> </w:t>
      </w:r>
      <w:r w:rsidR="009013BE">
        <w:rPr>
          <w:rFonts w:ascii="Calibri" w:hAnsi="Calibri" w:hint="cs"/>
          <w:rtl/>
        </w:rPr>
        <w:t>של</w:t>
      </w:r>
      <w:r w:rsidR="009013BE">
        <w:rPr>
          <w:rFonts w:ascii="Calibri" w:hAnsi="Calibri"/>
        </w:rPr>
        <w:t xml:space="preserve"> </w:t>
      </w:r>
      <w:r w:rsidR="009013BE">
        <w:rPr>
          <w:rFonts w:ascii="Calibri" w:hAnsi="Calibri" w:hint="cs"/>
          <w:rtl/>
        </w:rPr>
        <w:t>כחצי</w:t>
      </w:r>
      <w:r w:rsidR="009013BE">
        <w:rPr>
          <w:rFonts w:ascii="Calibri" w:hAnsi="Calibri"/>
        </w:rPr>
        <w:t xml:space="preserve"> </w:t>
      </w:r>
      <w:r w:rsidR="009013BE">
        <w:rPr>
          <w:rFonts w:ascii="Calibri" w:hAnsi="Calibri" w:hint="cs"/>
          <w:rtl/>
        </w:rPr>
        <w:t>גרם, לצריכה</w:t>
      </w:r>
      <w:r w:rsidR="009013BE">
        <w:rPr>
          <w:rFonts w:ascii="Calibri" w:hAnsi="Calibri"/>
        </w:rPr>
        <w:t xml:space="preserve"> </w:t>
      </w:r>
      <w:r w:rsidR="009013BE">
        <w:rPr>
          <w:rFonts w:ascii="Calibri" w:hAnsi="Calibri" w:hint="cs"/>
          <w:rtl/>
        </w:rPr>
        <w:t xml:space="preserve">עצמית. בית משפט קמא קבע שהמתחם נע בין 8-18 חודשי מאסר וגזר על המבקש 8 חודשי מאסר וענישה נלווית. הערעורים בבית המשפט המחוזי והעליון נדחו. </w:t>
      </w:r>
    </w:p>
    <w:p w14:paraId="46C950E5" w14:textId="77777777" w:rsidR="009013BE" w:rsidRDefault="006D39F3" w:rsidP="009013BE">
      <w:pPr>
        <w:numPr>
          <w:ilvl w:val="0"/>
          <w:numId w:val="3"/>
        </w:numPr>
        <w:spacing w:line="288" w:lineRule="auto"/>
        <w:jc w:val="both"/>
        <w:rPr>
          <w:rFonts w:ascii="Calibri" w:hAnsi="Calibri"/>
        </w:rPr>
      </w:pPr>
      <w:hyperlink r:id="rId22" w:history="1">
        <w:r w:rsidRPr="006D39F3">
          <w:rPr>
            <w:rStyle w:val="Hyperlink"/>
            <w:rFonts w:ascii="Calibri" w:hAnsi="Calibri" w:cs="David" w:hint="eastAsia"/>
            <w:rtl/>
          </w:rPr>
          <w:t>עפ</w:t>
        </w:r>
        <w:r w:rsidRPr="006D39F3">
          <w:rPr>
            <w:rStyle w:val="Hyperlink"/>
            <w:rFonts w:ascii="Calibri" w:hAnsi="Calibri" w:cs="David"/>
            <w:rtl/>
          </w:rPr>
          <w:t>"</w:t>
        </w:r>
        <w:r w:rsidRPr="006D39F3">
          <w:rPr>
            <w:rStyle w:val="Hyperlink"/>
            <w:rFonts w:ascii="Calibri" w:hAnsi="Calibri" w:cs="David" w:hint="eastAsia"/>
            <w:rtl/>
          </w:rPr>
          <w:t>ג</w:t>
        </w:r>
        <w:r w:rsidRPr="006D39F3">
          <w:rPr>
            <w:rStyle w:val="Hyperlink"/>
            <w:rFonts w:ascii="Calibri" w:hAnsi="Calibri" w:cs="David"/>
            <w:rtl/>
          </w:rPr>
          <w:t xml:space="preserve"> (</w:t>
        </w:r>
        <w:r w:rsidRPr="006D39F3">
          <w:rPr>
            <w:rStyle w:val="Hyperlink"/>
            <w:rFonts w:ascii="Calibri" w:hAnsi="Calibri" w:cs="David" w:hint="eastAsia"/>
            <w:rtl/>
          </w:rPr>
          <w:t>חיפה</w:t>
        </w:r>
        <w:r w:rsidRPr="006D39F3">
          <w:rPr>
            <w:rStyle w:val="Hyperlink"/>
            <w:rFonts w:ascii="Calibri" w:hAnsi="Calibri" w:cs="David"/>
            <w:rtl/>
          </w:rPr>
          <w:t>) 12284-04-15</w:t>
        </w:r>
      </w:hyperlink>
      <w:r w:rsidR="009013BE">
        <w:rPr>
          <w:rFonts w:ascii="Calibri" w:hAnsi="Calibri" w:hint="cs"/>
          <w:rtl/>
        </w:rPr>
        <w:t xml:space="preserve"> </w:t>
      </w:r>
      <w:r w:rsidR="009013BE">
        <w:rPr>
          <w:rFonts w:ascii="Calibri" w:hAnsi="Calibri" w:hint="cs"/>
          <w:b/>
          <w:bCs/>
          <w:rtl/>
        </w:rPr>
        <w:t>פארס</w:t>
      </w:r>
      <w:r w:rsidR="009013BE">
        <w:rPr>
          <w:rFonts w:ascii="Calibri" w:hAnsi="Calibri"/>
          <w:b/>
          <w:bCs/>
        </w:rPr>
        <w:t xml:space="preserve"> </w:t>
      </w:r>
      <w:r w:rsidR="009013BE">
        <w:rPr>
          <w:rFonts w:ascii="Calibri" w:hAnsi="Calibri" w:hint="cs"/>
          <w:b/>
          <w:bCs/>
          <w:rtl/>
        </w:rPr>
        <w:t>חזימיה</w:t>
      </w:r>
      <w:r w:rsidR="009013BE">
        <w:rPr>
          <w:rFonts w:ascii="Calibri" w:hAnsi="Calibri"/>
          <w:b/>
          <w:bCs/>
        </w:rPr>
        <w:t xml:space="preserve"> </w:t>
      </w:r>
      <w:r w:rsidR="009013BE">
        <w:rPr>
          <w:rFonts w:ascii="Calibri" w:hAnsi="Calibri" w:hint="cs"/>
          <w:b/>
          <w:bCs/>
          <w:rtl/>
        </w:rPr>
        <w:t>נ' מדינת</w:t>
      </w:r>
      <w:r w:rsidR="009013BE">
        <w:rPr>
          <w:rFonts w:ascii="Calibri" w:hAnsi="Calibri"/>
          <w:b/>
          <w:bCs/>
        </w:rPr>
        <w:t xml:space="preserve"> </w:t>
      </w:r>
      <w:r w:rsidR="009013BE">
        <w:rPr>
          <w:rFonts w:ascii="Calibri" w:hAnsi="Calibri" w:hint="cs"/>
          <w:b/>
          <w:bCs/>
          <w:rtl/>
        </w:rPr>
        <w:t>ישראל</w:t>
      </w:r>
      <w:r w:rsidR="009013BE">
        <w:rPr>
          <w:rFonts w:ascii="Calibri" w:hAnsi="Calibri" w:hint="cs"/>
          <w:rtl/>
        </w:rPr>
        <w:t xml:space="preserve"> (17.06.15) המבקש הורשע בהחזקת סם מסוג קוקאין במשקל</w:t>
      </w:r>
      <w:r w:rsidR="009013BE">
        <w:rPr>
          <w:rFonts w:ascii="Calibri" w:hAnsi="Calibri"/>
        </w:rPr>
        <w:t xml:space="preserve"> </w:t>
      </w:r>
      <w:r w:rsidR="009013BE">
        <w:rPr>
          <w:rFonts w:ascii="Calibri" w:hAnsi="Calibri" w:hint="cs"/>
          <w:rtl/>
        </w:rPr>
        <w:t>נטו</w:t>
      </w:r>
      <w:r w:rsidR="009013BE">
        <w:rPr>
          <w:rFonts w:ascii="Calibri" w:hAnsi="Calibri"/>
        </w:rPr>
        <w:t xml:space="preserve"> </w:t>
      </w:r>
      <w:r w:rsidR="009013BE">
        <w:rPr>
          <w:rFonts w:ascii="Calibri" w:hAnsi="Calibri" w:hint="cs"/>
          <w:rtl/>
        </w:rPr>
        <w:t>של 2.4291 גרם מחולק ל- 5 מנות. נקבע מתחם 3-12 חודשי מאסר. נדון למע"ת, פסילה פסילה ע"ת וקנס, ערעור המבקש על הכרעת הדין נדחה.</w:t>
      </w:r>
    </w:p>
    <w:p w14:paraId="34313171" w14:textId="77777777" w:rsidR="009013BE" w:rsidRDefault="00A93128" w:rsidP="009013BE">
      <w:pPr>
        <w:numPr>
          <w:ilvl w:val="0"/>
          <w:numId w:val="3"/>
        </w:numPr>
        <w:spacing w:line="288" w:lineRule="auto"/>
        <w:jc w:val="both"/>
        <w:rPr>
          <w:rFonts w:ascii="Calibri" w:hAnsi="Calibri"/>
          <w:rtl/>
        </w:rPr>
      </w:pPr>
      <w:hyperlink r:id="rId23" w:history="1">
        <w:r w:rsidR="009013BE">
          <w:rPr>
            <w:rStyle w:val="Hyperlink"/>
            <w:rFonts w:ascii="Calibri" w:hAnsi="Calibri" w:hint="cs"/>
            <w:rtl/>
          </w:rPr>
          <w:t xml:space="preserve">ת"פ (מחוזי ת"א) 16273-02-16 </w:t>
        </w:r>
      </w:hyperlink>
      <w:r w:rsidR="009013BE">
        <w:rPr>
          <w:rFonts w:ascii="Calibri" w:hAnsi="Calibri" w:hint="cs"/>
          <w:b/>
          <w:bCs/>
          <w:rtl/>
        </w:rPr>
        <w:t>מדינת ישראל נ' מנוס</w:t>
      </w:r>
      <w:r w:rsidR="009013BE">
        <w:rPr>
          <w:rFonts w:ascii="Calibri" w:hAnsi="Calibri" w:hint="cs"/>
          <w:rtl/>
        </w:rPr>
        <w:t xml:space="preserve"> (פורסם בנבו, 27.9.17), הנאשמת הורשעה בעבירות של החזקת סם מסוכן מסוג קוקאין במשקל של 184.42 גרם,  שלא לצריכה עצמית והחזקת כלים להכנת סם לצד עבירות תעבורה. בית המשפט המחוזי קבע כי מתחם העונש ההולם נע בין 3-6 שנות מאסר וגזר  על הנאשמת נגזרו 6 חודשי מאסר בעבודות שירות וענישה נלווית, תוך חריגה מהמתחם משיקולי שיקום ונסיבות חריגות.</w:t>
      </w:r>
    </w:p>
    <w:p w14:paraId="5E428421" w14:textId="77777777" w:rsidR="009013BE" w:rsidRDefault="006D39F3" w:rsidP="009013BE">
      <w:pPr>
        <w:numPr>
          <w:ilvl w:val="0"/>
          <w:numId w:val="3"/>
        </w:numPr>
        <w:spacing w:line="288" w:lineRule="auto"/>
        <w:jc w:val="both"/>
        <w:rPr>
          <w:rFonts w:ascii="Calibri" w:hAnsi="Calibri"/>
        </w:rPr>
      </w:pPr>
      <w:hyperlink r:id="rId24" w:history="1">
        <w:r w:rsidRPr="006D39F3">
          <w:rPr>
            <w:rStyle w:val="Hyperlink"/>
            <w:rFonts w:ascii="Calibri" w:hAnsi="Calibri" w:cs="David" w:hint="eastAsia"/>
            <w:rtl/>
          </w:rPr>
          <w:t>ת</w:t>
        </w:r>
        <w:r w:rsidRPr="006D39F3">
          <w:rPr>
            <w:rStyle w:val="Hyperlink"/>
            <w:rFonts w:ascii="Calibri" w:hAnsi="Calibri" w:cs="David"/>
            <w:rtl/>
          </w:rPr>
          <w:t>"</w:t>
        </w:r>
        <w:r w:rsidRPr="006D39F3">
          <w:rPr>
            <w:rStyle w:val="Hyperlink"/>
            <w:rFonts w:ascii="Calibri" w:hAnsi="Calibri" w:cs="David" w:hint="eastAsia"/>
            <w:rtl/>
          </w:rPr>
          <w:t>פ</w:t>
        </w:r>
        <w:r w:rsidRPr="006D39F3">
          <w:rPr>
            <w:rStyle w:val="Hyperlink"/>
            <w:rFonts w:ascii="Calibri" w:hAnsi="Calibri" w:cs="David"/>
            <w:rtl/>
          </w:rPr>
          <w:t xml:space="preserve"> (</w:t>
        </w:r>
        <w:r w:rsidRPr="006D39F3">
          <w:rPr>
            <w:rStyle w:val="Hyperlink"/>
            <w:rFonts w:ascii="Calibri" w:hAnsi="Calibri" w:cs="David" w:hint="eastAsia"/>
            <w:rtl/>
          </w:rPr>
          <w:t>רחובות</w:t>
        </w:r>
        <w:r w:rsidRPr="006D39F3">
          <w:rPr>
            <w:rStyle w:val="Hyperlink"/>
            <w:rFonts w:ascii="Calibri" w:hAnsi="Calibri" w:cs="David"/>
            <w:rtl/>
          </w:rPr>
          <w:t>) 10316-06-13</w:t>
        </w:r>
      </w:hyperlink>
      <w:r w:rsidR="009013BE">
        <w:rPr>
          <w:rFonts w:ascii="Calibri" w:hAnsi="Calibri" w:hint="cs"/>
          <w:rtl/>
        </w:rPr>
        <w:t xml:space="preserve"> </w:t>
      </w:r>
      <w:r w:rsidR="009013BE">
        <w:rPr>
          <w:rFonts w:ascii="Calibri" w:hAnsi="Calibri" w:hint="cs"/>
          <w:b/>
          <w:bCs/>
          <w:rtl/>
        </w:rPr>
        <w:t>מדינת</w:t>
      </w:r>
      <w:r w:rsidR="009013BE">
        <w:rPr>
          <w:rFonts w:ascii="Calibri" w:hAnsi="Calibri"/>
          <w:b/>
          <w:bCs/>
        </w:rPr>
        <w:t xml:space="preserve"> </w:t>
      </w:r>
      <w:r w:rsidR="009013BE">
        <w:rPr>
          <w:rFonts w:ascii="Calibri" w:hAnsi="Calibri" w:hint="cs"/>
          <w:b/>
          <w:bCs/>
          <w:rtl/>
        </w:rPr>
        <w:t>ישראל</w:t>
      </w:r>
      <w:r w:rsidR="009013BE">
        <w:rPr>
          <w:rFonts w:ascii="Calibri" w:hAnsi="Calibri"/>
          <w:b/>
          <w:bCs/>
        </w:rPr>
        <w:t xml:space="preserve"> </w:t>
      </w:r>
      <w:r w:rsidR="009013BE">
        <w:rPr>
          <w:rFonts w:ascii="Calibri" w:hAnsi="Calibri" w:hint="cs"/>
          <w:b/>
          <w:bCs/>
          <w:rtl/>
        </w:rPr>
        <w:t>נ' סאמי</w:t>
      </w:r>
      <w:r w:rsidR="009013BE">
        <w:rPr>
          <w:rFonts w:ascii="Calibri" w:hAnsi="Calibri"/>
          <w:b/>
          <w:bCs/>
        </w:rPr>
        <w:t xml:space="preserve"> </w:t>
      </w:r>
      <w:r w:rsidR="009013BE">
        <w:rPr>
          <w:rFonts w:ascii="Calibri" w:hAnsi="Calibri" w:hint="cs"/>
          <w:b/>
          <w:bCs/>
          <w:rtl/>
        </w:rPr>
        <w:t>עשיוי</w:t>
      </w:r>
      <w:r w:rsidR="009013BE">
        <w:rPr>
          <w:rFonts w:ascii="Calibri" w:hAnsi="Calibri" w:hint="cs"/>
          <w:rtl/>
        </w:rPr>
        <w:t xml:space="preserve"> (06.01.16) הנאשם הורשע בעבירה של החזקת סם</w:t>
      </w:r>
      <w:r w:rsidR="009013BE">
        <w:rPr>
          <w:rFonts w:ascii="Calibri" w:hAnsi="Calibri"/>
        </w:rPr>
        <w:t xml:space="preserve"> </w:t>
      </w:r>
      <w:r w:rsidR="009013BE">
        <w:rPr>
          <w:rFonts w:ascii="Calibri" w:hAnsi="Calibri" w:hint="cs"/>
          <w:rtl/>
        </w:rPr>
        <w:t>מסוג</w:t>
      </w:r>
      <w:r w:rsidR="009013BE">
        <w:rPr>
          <w:rFonts w:ascii="Calibri" w:hAnsi="Calibri"/>
        </w:rPr>
        <w:t xml:space="preserve"> </w:t>
      </w:r>
      <w:r w:rsidR="009013BE">
        <w:rPr>
          <w:rFonts w:ascii="Calibri" w:hAnsi="Calibri" w:hint="cs"/>
          <w:rtl/>
        </w:rPr>
        <w:t>קוקאין</w:t>
      </w:r>
      <w:r w:rsidR="009013BE">
        <w:rPr>
          <w:rFonts w:ascii="Calibri" w:hAnsi="Calibri"/>
        </w:rPr>
        <w:t xml:space="preserve"> </w:t>
      </w:r>
      <w:r w:rsidR="009013BE">
        <w:rPr>
          <w:rFonts w:ascii="Calibri" w:hAnsi="Calibri" w:hint="cs"/>
          <w:rtl/>
        </w:rPr>
        <w:t>במשקל</w:t>
      </w:r>
      <w:r w:rsidR="009013BE">
        <w:rPr>
          <w:rFonts w:ascii="Calibri" w:hAnsi="Calibri"/>
        </w:rPr>
        <w:t xml:space="preserve"> </w:t>
      </w:r>
      <w:r w:rsidR="009013BE">
        <w:rPr>
          <w:rFonts w:ascii="Calibri" w:hAnsi="Calibri" w:hint="cs"/>
          <w:rtl/>
        </w:rPr>
        <w:t>של 9.83 גרם</w:t>
      </w:r>
      <w:r w:rsidR="009013BE">
        <w:rPr>
          <w:rFonts w:ascii="Calibri" w:hAnsi="Calibri"/>
        </w:rPr>
        <w:t xml:space="preserve"> </w:t>
      </w:r>
      <w:r w:rsidR="009013BE">
        <w:rPr>
          <w:rFonts w:ascii="Calibri" w:hAnsi="Calibri" w:hint="cs"/>
          <w:rtl/>
        </w:rPr>
        <w:t>נטו. נקבע מתחם שנע</w:t>
      </w:r>
      <w:r w:rsidR="009013BE">
        <w:rPr>
          <w:rFonts w:ascii="Calibri" w:hAnsi="Calibri"/>
        </w:rPr>
        <w:t xml:space="preserve"> </w:t>
      </w:r>
      <w:r w:rsidR="009013BE">
        <w:rPr>
          <w:rFonts w:ascii="Calibri" w:hAnsi="Calibri" w:hint="cs"/>
          <w:rtl/>
        </w:rPr>
        <w:t>בין</w:t>
      </w:r>
      <w:r w:rsidR="009013BE">
        <w:rPr>
          <w:rFonts w:ascii="Calibri" w:hAnsi="Calibri"/>
        </w:rPr>
        <w:t xml:space="preserve"> </w:t>
      </w:r>
      <w:r w:rsidR="009013BE">
        <w:rPr>
          <w:rFonts w:ascii="Calibri" w:hAnsi="Calibri" w:hint="cs"/>
          <w:rtl/>
        </w:rPr>
        <w:t>6-24 חודשים. נדון ל- 14 חודשי מאסר וענישה נלוות.</w:t>
      </w:r>
    </w:p>
    <w:p w14:paraId="38D3DC27" w14:textId="77777777" w:rsidR="009013BE" w:rsidRDefault="009013BE" w:rsidP="009013BE">
      <w:pPr>
        <w:spacing w:after="120" w:line="288" w:lineRule="auto"/>
        <w:ind w:left="720"/>
        <w:contextualSpacing/>
        <w:jc w:val="both"/>
        <w:rPr>
          <w:rFonts w:ascii="David" w:hAnsi="David"/>
          <w:color w:val="000000"/>
        </w:rPr>
      </w:pPr>
    </w:p>
    <w:p w14:paraId="32B188CE" w14:textId="77777777" w:rsidR="009013BE" w:rsidRDefault="009013BE" w:rsidP="009013BE">
      <w:pPr>
        <w:numPr>
          <w:ilvl w:val="0"/>
          <w:numId w:val="1"/>
        </w:numPr>
        <w:spacing w:before="100" w:beforeAutospacing="1" w:after="100" w:afterAutospacing="1" w:line="288" w:lineRule="auto"/>
        <w:contextualSpacing/>
        <w:jc w:val="both"/>
      </w:pPr>
      <w:r>
        <w:rPr>
          <w:rFonts w:hint="cs"/>
          <w:rtl/>
        </w:rPr>
        <w:t xml:space="preserve">לאור כל המפורט לעיל  אני קובעת כי </w:t>
      </w:r>
      <w:r>
        <w:rPr>
          <w:rFonts w:hint="cs"/>
          <w:b/>
          <w:bCs/>
          <w:rtl/>
        </w:rPr>
        <w:t xml:space="preserve">מתחם העונש ההולם </w:t>
      </w:r>
      <w:r>
        <w:rPr>
          <w:rFonts w:hint="cs"/>
          <w:rtl/>
        </w:rPr>
        <w:t>לעבירה בנסיבות שלפני נע בין 7-18 חודשי מאסר וענישה נלווית.</w:t>
      </w:r>
    </w:p>
    <w:p w14:paraId="5FDA08FF" w14:textId="77777777" w:rsidR="009013BE" w:rsidRDefault="009013BE" w:rsidP="009013BE">
      <w:pPr>
        <w:spacing w:before="100" w:beforeAutospacing="1" w:after="100" w:afterAutospacing="1" w:line="288" w:lineRule="auto"/>
        <w:jc w:val="both"/>
        <w:rPr>
          <w:b/>
          <w:bCs/>
          <w:u w:val="single"/>
        </w:rPr>
      </w:pPr>
    </w:p>
    <w:p w14:paraId="4A980763" w14:textId="77777777" w:rsidR="009013BE" w:rsidRDefault="009013BE" w:rsidP="009013BE">
      <w:pPr>
        <w:spacing w:before="100" w:beforeAutospacing="1" w:after="100" w:afterAutospacing="1" w:line="288" w:lineRule="auto"/>
        <w:jc w:val="both"/>
        <w:rPr>
          <w:b/>
          <w:bCs/>
          <w:u w:val="single"/>
          <w:rtl/>
        </w:rPr>
      </w:pPr>
      <w:r>
        <w:rPr>
          <w:rFonts w:hint="cs"/>
          <w:b/>
          <w:bCs/>
          <w:u w:val="single"/>
          <w:rtl/>
        </w:rPr>
        <w:t>חריגה מהמתחם משיקולי שיקום</w:t>
      </w:r>
    </w:p>
    <w:p w14:paraId="45603842" w14:textId="77777777" w:rsidR="009013BE" w:rsidRDefault="009013BE" w:rsidP="009013BE">
      <w:pPr>
        <w:numPr>
          <w:ilvl w:val="0"/>
          <w:numId w:val="1"/>
        </w:numPr>
        <w:spacing w:before="100" w:beforeAutospacing="1" w:after="100" w:afterAutospacing="1" w:line="288" w:lineRule="auto"/>
        <w:contextualSpacing/>
        <w:jc w:val="both"/>
      </w:pPr>
      <w:bookmarkStart w:id="6" w:name="NGCSBookmark"/>
      <w:bookmarkEnd w:id="6"/>
      <w:r>
        <w:rPr>
          <w:rFonts w:ascii="Arial" w:hAnsi="Arial" w:hint="cs"/>
          <w:rtl/>
          <w:lang w:eastAsia="he-IL"/>
        </w:rPr>
        <w:t xml:space="preserve">המחוקק קבע </w:t>
      </w:r>
      <w:hyperlink r:id="rId25" w:history="1">
        <w:r w:rsidR="00FE6803" w:rsidRPr="00FE6803">
          <w:rPr>
            <w:rFonts w:ascii="Arial" w:hAnsi="Arial"/>
            <w:color w:val="0000FF"/>
            <w:u w:val="single"/>
            <w:rtl/>
            <w:lang w:eastAsia="he-IL"/>
          </w:rPr>
          <w:t>בסעיף 40ד'</w:t>
        </w:r>
      </w:hyperlink>
      <w:r>
        <w:rPr>
          <w:rFonts w:ascii="Arial" w:hAnsi="Arial" w:hint="cs"/>
          <w:rtl/>
          <w:lang w:eastAsia="he-IL"/>
        </w:rPr>
        <w:t xml:space="preserve"> לחוק כי אם הנאשם השתקם, או שיש סיכוי של ממש שישתקם, יכול בית המשפט לקבוע כי העונש שיוטל על הנאשם יחרוג ממתחם העונש ההולם, וזאת מטעמי שיקום. ניתן לחרוג מהמתחם בנסיבות מיוחדות ויוצאות דופן גם במקרה בו מעשה העבירה ומידת אשמו של הנאשם הם בעלי חומרה יתירה.</w:t>
      </w:r>
    </w:p>
    <w:p w14:paraId="175B06E8" w14:textId="77777777" w:rsidR="009013BE" w:rsidRDefault="009013BE" w:rsidP="009013BE">
      <w:pPr>
        <w:spacing w:before="100" w:beforeAutospacing="1" w:after="100" w:afterAutospacing="1" w:line="288" w:lineRule="auto"/>
        <w:ind w:left="360"/>
        <w:contextualSpacing/>
        <w:jc w:val="both"/>
      </w:pPr>
    </w:p>
    <w:p w14:paraId="1A24BE56" w14:textId="77777777" w:rsidR="009013BE" w:rsidRDefault="009013BE" w:rsidP="009013BE">
      <w:pPr>
        <w:spacing w:after="200" w:line="288" w:lineRule="auto"/>
        <w:ind w:left="720" w:hanging="360"/>
        <w:jc w:val="both"/>
        <w:rPr>
          <w:rFonts w:ascii="David" w:hAnsi="David"/>
          <w:rtl/>
        </w:rPr>
      </w:pPr>
      <w:r>
        <w:rPr>
          <w:rFonts w:hint="cs"/>
          <w:rtl/>
        </w:rPr>
        <w:t>ראו דברי  בית המשפט העליון ב</w:t>
      </w:r>
      <w:hyperlink r:id="rId26" w:history="1">
        <w:r w:rsidR="006D39F3" w:rsidRPr="006D39F3">
          <w:rPr>
            <w:rStyle w:val="Hyperlink"/>
            <w:rFonts w:cs="David" w:hint="eastAsia"/>
            <w:rtl/>
          </w:rPr>
          <w:t>רע</w:t>
        </w:r>
        <w:r w:rsidR="006D39F3" w:rsidRPr="006D39F3">
          <w:rPr>
            <w:rStyle w:val="Hyperlink"/>
            <w:rFonts w:cs="David"/>
            <w:rtl/>
          </w:rPr>
          <w:t>"פ 262/14</w:t>
        </w:r>
      </w:hyperlink>
      <w:r>
        <w:rPr>
          <w:rFonts w:hint="cs"/>
          <w:rtl/>
        </w:rPr>
        <w:t xml:space="preserve"> </w:t>
      </w:r>
      <w:r>
        <w:rPr>
          <w:rFonts w:hint="cs"/>
          <w:b/>
          <w:bCs/>
          <w:rtl/>
        </w:rPr>
        <w:t>מוחמד נאזף נ' מדינת ישראל</w:t>
      </w:r>
      <w:r>
        <w:rPr>
          <w:rFonts w:hint="cs"/>
          <w:rtl/>
        </w:rPr>
        <w:t xml:space="preserve"> (22/01/14):</w:t>
      </w:r>
    </w:p>
    <w:p w14:paraId="0EA6AABC" w14:textId="77777777" w:rsidR="009013BE" w:rsidRDefault="009013BE" w:rsidP="009013BE">
      <w:pPr>
        <w:overflowPunct w:val="0"/>
        <w:autoSpaceDE w:val="0"/>
        <w:autoSpaceDN w:val="0"/>
        <w:adjustRightInd w:val="0"/>
        <w:spacing w:line="288" w:lineRule="auto"/>
        <w:ind w:left="1440" w:right="284"/>
        <w:jc w:val="both"/>
        <w:rPr>
          <w:rtl/>
        </w:rPr>
      </w:pPr>
      <w:r>
        <w:rPr>
          <w:rFonts w:hint="cs"/>
          <w:rtl/>
        </w:rPr>
        <w:t>"בהקשר זה אני מוצא לנכון להעיר עוד כי שיקולי שיקום הם, אמנם, בעלי מעמד חשוב עת מאזן בית המשפט בין שיקולי הענישה, הגמול וההרתעה, במלאכת גזירת הדין. במקרים שבהם נרתם הנאשם להליך שיקומי, או מראה נכונות כנה לעשות כן – עשויים שיקולי השיקום אף לגבור על שיקולי ההרתעה והגמול (ראו: דברי חברי, השופט א' שהם, ב-</w:t>
      </w:r>
      <w:hyperlink r:id="rId27" w:history="1">
        <w:r w:rsidR="006D39F3" w:rsidRPr="006D39F3">
          <w:rPr>
            <w:rStyle w:val="Hyperlink"/>
            <w:rFonts w:cs="David" w:hint="eastAsia"/>
            <w:rtl/>
          </w:rPr>
          <w:t>רע</w:t>
        </w:r>
        <w:r w:rsidR="006D39F3" w:rsidRPr="006D39F3">
          <w:rPr>
            <w:rStyle w:val="Hyperlink"/>
            <w:rFonts w:cs="David"/>
            <w:rtl/>
          </w:rPr>
          <w:t>"פ 3711/13</w:t>
        </w:r>
      </w:hyperlink>
      <w:r>
        <w:rPr>
          <w:rFonts w:hint="cs"/>
          <w:rtl/>
        </w:rPr>
        <w:t xml:space="preserve"> הושיאר נ' מדינת ישראל [פורסם בנבו] (16.7.2013) (להלן: עניין הושיאר)...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 (ראו: </w:t>
      </w:r>
      <w:hyperlink r:id="rId28" w:history="1">
        <w:r w:rsidR="006D39F3" w:rsidRPr="006D39F3">
          <w:rPr>
            <w:rStyle w:val="Hyperlink"/>
            <w:rFonts w:cs="David" w:hint="eastAsia"/>
            <w:rtl/>
          </w:rPr>
          <w:t>רע</w:t>
        </w:r>
        <w:r w:rsidR="006D39F3" w:rsidRPr="006D39F3">
          <w:rPr>
            <w:rStyle w:val="Hyperlink"/>
            <w:rFonts w:cs="David"/>
            <w:rtl/>
          </w:rPr>
          <w:t>"פ 8665/12</w:t>
        </w:r>
      </w:hyperlink>
      <w:r>
        <w:rPr>
          <w:rFonts w:hint="cs"/>
          <w:rtl/>
        </w:rPr>
        <w:t xml:space="preserve"> ברהנה נ' מדינת ישראל [פורסם בנבו] (2.5.2013)) – ואילו השמתו של הנידון מאחורי סורג ובריח עלולה לאיין את ההליך השיקומי, או לפגוע בו באופן ניכר. </w:t>
      </w:r>
    </w:p>
    <w:p w14:paraId="2AF09855" w14:textId="77777777" w:rsidR="009013BE" w:rsidRDefault="009013BE" w:rsidP="009013BE">
      <w:pPr>
        <w:spacing w:after="200" w:line="288" w:lineRule="auto"/>
        <w:jc w:val="both"/>
        <w:rPr>
          <w:rtl/>
        </w:rPr>
      </w:pPr>
    </w:p>
    <w:p w14:paraId="6B10CAE5" w14:textId="77777777" w:rsidR="009013BE" w:rsidRDefault="009013BE" w:rsidP="009013BE">
      <w:pPr>
        <w:spacing w:after="200" w:line="288" w:lineRule="auto"/>
        <w:ind w:left="418" w:hanging="425"/>
        <w:jc w:val="both"/>
        <w:rPr>
          <w:rtl/>
        </w:rPr>
      </w:pPr>
      <w:r>
        <w:rPr>
          <w:rFonts w:hint="cs"/>
          <w:rtl/>
        </w:rPr>
        <w:t>12.</w:t>
      </w:r>
      <w:r>
        <w:rPr>
          <w:rFonts w:hint="cs"/>
          <w:rtl/>
        </w:rPr>
        <w:tab/>
        <w:t>בנסיבות שבפני לא מצאתי כי קיימת הצדקה לחרוג ממתחם העונש ההולם משיקולי שיקום. לא מצאתי כי מתקיימות נסיבות מיוחדות ויוצאות דופן המצדיקות סטייה מן המתחם. לא שוכנעתי כי הנאשם השתקם ושינה דרכיו.</w:t>
      </w:r>
    </w:p>
    <w:p w14:paraId="7E44A11C" w14:textId="77777777" w:rsidR="009013BE" w:rsidRDefault="009013BE" w:rsidP="009013BE">
      <w:pPr>
        <w:spacing w:after="200" w:line="288" w:lineRule="auto"/>
        <w:ind w:left="418" w:hanging="425"/>
        <w:jc w:val="both"/>
        <w:rPr>
          <w:rtl/>
        </w:rPr>
      </w:pPr>
      <w:r>
        <w:rPr>
          <w:rFonts w:hint="cs"/>
          <w:rtl/>
        </w:rPr>
        <w:t>13.</w:t>
      </w:r>
      <w:r>
        <w:rPr>
          <w:rFonts w:hint="cs"/>
          <w:rtl/>
        </w:rPr>
        <w:tab/>
        <w:t>עיון בתסקיר שירות המבחן מלמד כי הנאשם לא ער לחומרת מעשיו, וחווה אמביוולנטיות ביחס לטיפול. כפי שציין שירות המבחן, הנאשם לא הגיע לחלק מבדיקות השתן אליהן זומן, כפי הנראה על רקע קשיי התארגנות. הנאשם בחר שלא להעזר באגף השיקום התעסוקתי בביטוח לאומי, אליו הופנה על ידי שירות המבחן.</w:t>
      </w:r>
    </w:p>
    <w:p w14:paraId="29E59AFF" w14:textId="77777777" w:rsidR="009013BE" w:rsidRDefault="009013BE" w:rsidP="009013BE">
      <w:pPr>
        <w:spacing w:after="200" w:line="288" w:lineRule="auto"/>
        <w:ind w:left="418"/>
        <w:jc w:val="both"/>
        <w:rPr>
          <w:rtl/>
        </w:rPr>
      </w:pPr>
      <w:r>
        <w:rPr>
          <w:rFonts w:hint="cs"/>
          <w:rtl/>
        </w:rPr>
        <w:t xml:space="preserve">התרשמותי היא כי הנאשם לא עשה מאמץ של ממש לשנות אורחותיו, ולא ניצל באופן משמעותי את ההליך השיקומי שהוצע לו. </w:t>
      </w:r>
    </w:p>
    <w:p w14:paraId="6877EACC" w14:textId="77777777" w:rsidR="009013BE" w:rsidRDefault="009013BE" w:rsidP="009013BE">
      <w:pPr>
        <w:spacing w:after="200" w:line="288" w:lineRule="auto"/>
        <w:ind w:left="418" w:hanging="418"/>
        <w:jc w:val="both"/>
        <w:rPr>
          <w:rtl/>
        </w:rPr>
      </w:pPr>
      <w:r>
        <w:rPr>
          <w:rFonts w:hint="cs"/>
          <w:rtl/>
        </w:rPr>
        <w:t>14.</w:t>
      </w:r>
      <w:r>
        <w:rPr>
          <w:rFonts w:hint="cs"/>
          <w:rtl/>
        </w:rPr>
        <w:tab/>
        <w:t>בנסיבות שבפני, גם אם הנאשם התמיד והשתלב בטיפול הקבוצתי עד תומו (ויודגש כי בתסקיר שירות המבחן שמונח בפניי צויין כי הטיפול היה בראשיתו, התסקיר הוא מחודש אוגוסט 2017, עת הקבוצה הטיפולית היתה בראשיתה, ולא התבקש תסקיר משלים) לא מצאתי כי יש בכך להצדיק סטיה ממתחם העונש ההולם בשים לב לחומרת העבירה ולשיקולי הענישה האחרים, ובהתאם למדיניות שהתווה בית המשפט העליון ליתן בעבירה זו משקל משמעותי לשיקולי הגמול וההרתעה.</w:t>
      </w:r>
    </w:p>
    <w:p w14:paraId="5B777CDC" w14:textId="77777777" w:rsidR="009013BE" w:rsidRPr="009013BE" w:rsidRDefault="009013BE" w:rsidP="009013BE">
      <w:pPr>
        <w:spacing w:after="200" w:line="288" w:lineRule="auto"/>
        <w:ind w:left="418" w:hanging="418"/>
        <w:jc w:val="both"/>
        <w:rPr>
          <w:rFonts w:ascii="Calibri" w:hAnsi="Calibri"/>
          <w:rtl/>
        </w:rPr>
      </w:pPr>
      <w:r>
        <w:rPr>
          <w:rFonts w:hint="cs"/>
          <w:rtl/>
        </w:rPr>
        <w:t>15.</w:t>
      </w:r>
      <w:r>
        <w:rPr>
          <w:rFonts w:hint="cs"/>
          <w:rtl/>
        </w:rPr>
        <w:tab/>
      </w:r>
      <w:r w:rsidRPr="009013BE">
        <w:rPr>
          <w:rFonts w:ascii="Calibri" w:hAnsi="Calibri" w:hint="cs"/>
          <w:rtl/>
        </w:rPr>
        <w:t xml:space="preserve">לא נעלמה מעיני הפסיקה אליה הופניתי על ידי ב"כ הנאשם, שם במקרים דומים ואף חמורים יותר בתי המשפט האריכו מאסרים מותנים, לרבות מאסרים מותנים חבי הפעלה. אלא שבכל אותם המקרים עסקינן היה בנאשמים שהיו מכורים לסמים ועברו הליכי גמילה ושיקום, מסרו בדיקות שנמצאו נקיות משרידי סם, שם הנאשמים עשו מאמצים להפיק תועלת מההליך הטיפולי ולשנות אורח חייהם. בכל אותם המקרים התרשמו בתי המשפט כי הנאשמים עברו הליך שיקומי משמעותי וכי פוטנציאל השיקום גבוה, באופן המצדיק סטיה מן המתחם. </w:t>
      </w:r>
    </w:p>
    <w:p w14:paraId="11FDDB37" w14:textId="77777777" w:rsidR="009013BE" w:rsidRPr="009013BE" w:rsidRDefault="009013BE" w:rsidP="009013BE">
      <w:pPr>
        <w:spacing w:after="200" w:line="288" w:lineRule="auto"/>
        <w:ind w:left="418" w:hanging="418"/>
        <w:jc w:val="both"/>
        <w:rPr>
          <w:rFonts w:ascii="Calibri" w:hAnsi="Calibri"/>
          <w:rtl/>
        </w:rPr>
      </w:pPr>
      <w:r w:rsidRPr="009013BE">
        <w:rPr>
          <w:rFonts w:ascii="Calibri" w:hAnsi="Calibri" w:hint="cs"/>
          <w:rtl/>
        </w:rPr>
        <w:tab/>
        <w:t>כאמור, הנאשם שבפני אינו מכור לסמים, אלא בחר בסמים כמקצוע, כמקור פרנסה.</w:t>
      </w:r>
    </w:p>
    <w:p w14:paraId="52CF97E8" w14:textId="77777777" w:rsidR="009013BE" w:rsidRPr="009013BE" w:rsidRDefault="009013BE" w:rsidP="009013BE">
      <w:pPr>
        <w:spacing w:after="200" w:line="288" w:lineRule="auto"/>
        <w:ind w:left="418"/>
        <w:jc w:val="both"/>
        <w:rPr>
          <w:rFonts w:ascii="Calibri" w:hAnsi="Calibri"/>
          <w:rtl/>
        </w:rPr>
      </w:pPr>
      <w:r w:rsidRPr="009013BE">
        <w:rPr>
          <w:rFonts w:ascii="Calibri" w:hAnsi="Calibri" w:hint="cs"/>
          <w:rtl/>
        </w:rPr>
        <w:t xml:space="preserve">הנאשם לא עבר הליך שיקום משמעותי. </w:t>
      </w:r>
    </w:p>
    <w:p w14:paraId="010391B3" w14:textId="77777777" w:rsidR="009013BE" w:rsidRPr="009013BE" w:rsidRDefault="009013BE" w:rsidP="009013BE">
      <w:pPr>
        <w:spacing w:after="200" w:line="288" w:lineRule="auto"/>
        <w:ind w:left="418"/>
        <w:jc w:val="both"/>
        <w:rPr>
          <w:rFonts w:ascii="Calibri" w:hAnsi="Calibri"/>
          <w:rtl/>
        </w:rPr>
      </w:pPr>
      <w:r w:rsidRPr="009013BE">
        <w:rPr>
          <w:rFonts w:ascii="Calibri" w:hAnsi="Calibri" w:hint="cs"/>
          <w:rtl/>
        </w:rPr>
        <w:t xml:space="preserve">בהיבט התעסוקתי לא עבר כלל הליך שיקומי ואף בחר שלא להעזר באגף השיקום התעסוקתי של הביטוח הלאומי, אליו הופנה על ידי שירות המבחן.  </w:t>
      </w:r>
    </w:p>
    <w:p w14:paraId="00F94185" w14:textId="77777777" w:rsidR="009013BE" w:rsidRPr="009013BE" w:rsidRDefault="009013BE" w:rsidP="009013BE">
      <w:pPr>
        <w:spacing w:after="200" w:line="288" w:lineRule="auto"/>
        <w:ind w:left="418"/>
        <w:jc w:val="both"/>
        <w:rPr>
          <w:rFonts w:ascii="Calibri" w:hAnsi="Calibri"/>
          <w:rtl/>
        </w:rPr>
      </w:pPr>
      <w:r w:rsidRPr="009013BE">
        <w:rPr>
          <w:rFonts w:ascii="Calibri" w:hAnsi="Calibri" w:hint="cs"/>
          <w:rtl/>
        </w:rPr>
        <w:t xml:space="preserve">הנאשם לא השכיל להיתרם מהכלים השיקומיים שהוצעו לו. </w:t>
      </w:r>
    </w:p>
    <w:p w14:paraId="75533559" w14:textId="77777777" w:rsidR="009013BE" w:rsidRPr="009013BE" w:rsidRDefault="009013BE" w:rsidP="009013BE">
      <w:pPr>
        <w:spacing w:after="200" w:line="288" w:lineRule="auto"/>
        <w:ind w:left="418"/>
        <w:jc w:val="both"/>
        <w:rPr>
          <w:rFonts w:ascii="Calibri" w:hAnsi="Calibri"/>
          <w:rtl/>
        </w:rPr>
      </w:pPr>
      <w:r w:rsidRPr="009013BE">
        <w:rPr>
          <w:rFonts w:ascii="Calibri" w:hAnsi="Calibri" w:hint="cs"/>
          <w:rtl/>
        </w:rPr>
        <w:t>על כן ההליך שעבר במסגרת שירות המבחן, גם אם התמיד בהשתתפות בקבוצה הייעודית במסגרתה שולב,  אין בו לטעמי, בנסיבות שבפניי,  להצדיק סטיה ממתחם העונש ההולם.</w:t>
      </w:r>
    </w:p>
    <w:p w14:paraId="14329F37" w14:textId="77777777" w:rsidR="009013BE" w:rsidRDefault="009013BE" w:rsidP="009013BE">
      <w:pPr>
        <w:spacing w:after="200" w:line="288" w:lineRule="auto"/>
        <w:ind w:left="418" w:hanging="418"/>
        <w:jc w:val="both"/>
        <w:rPr>
          <w:bCs/>
          <w:u w:val="single"/>
          <w:rtl/>
          <w:lang w:eastAsia="he-IL"/>
        </w:rPr>
      </w:pPr>
    </w:p>
    <w:p w14:paraId="7512C04B" w14:textId="77777777" w:rsidR="009013BE" w:rsidRDefault="009013BE" w:rsidP="009013BE">
      <w:pPr>
        <w:spacing w:after="200" w:line="288" w:lineRule="auto"/>
        <w:ind w:left="418" w:hanging="418"/>
        <w:jc w:val="both"/>
        <w:rPr>
          <w:rFonts w:ascii="Arial" w:hAnsi="Arial"/>
          <w:rtl/>
          <w:lang w:eastAsia="he-IL"/>
        </w:rPr>
      </w:pPr>
      <w:r>
        <w:rPr>
          <w:rFonts w:hint="cs"/>
          <w:bCs/>
          <w:u w:val="single"/>
          <w:rtl/>
          <w:lang w:eastAsia="he-IL"/>
        </w:rPr>
        <w:t>גזירת עונשו של הנאשם בתוך מתחם העונש ההולם</w:t>
      </w:r>
    </w:p>
    <w:p w14:paraId="6B67E9BD" w14:textId="77777777" w:rsidR="009013BE" w:rsidRDefault="009013BE" w:rsidP="009013BE">
      <w:pPr>
        <w:spacing w:before="100" w:beforeAutospacing="1" w:after="100" w:afterAutospacing="1" w:line="288" w:lineRule="auto"/>
        <w:ind w:left="418" w:hanging="418"/>
        <w:contextualSpacing/>
        <w:jc w:val="both"/>
        <w:rPr>
          <w:color w:val="000000"/>
          <w:rtl/>
        </w:rPr>
      </w:pPr>
      <w:r>
        <w:rPr>
          <w:rFonts w:hint="cs"/>
          <w:color w:val="000000"/>
          <w:rtl/>
        </w:rPr>
        <w:t>16.</w:t>
      </w:r>
      <w:r>
        <w:rPr>
          <w:rFonts w:hint="cs"/>
          <w:color w:val="000000"/>
          <w:rtl/>
        </w:rPr>
        <w:tab/>
        <w:t>בבואי לגזור את עונשו של הנאשם בתוך מתחם העונש ההולם, לקחתי בחשבון את השיקולים הבאים:</w:t>
      </w:r>
    </w:p>
    <w:p w14:paraId="0C7EF877" w14:textId="77777777" w:rsidR="009013BE" w:rsidRDefault="009013BE" w:rsidP="009013BE">
      <w:pPr>
        <w:numPr>
          <w:ilvl w:val="0"/>
          <w:numId w:val="4"/>
        </w:numPr>
        <w:spacing w:before="100" w:beforeAutospacing="1" w:after="100" w:afterAutospacing="1" w:line="288" w:lineRule="auto"/>
        <w:contextualSpacing/>
        <w:jc w:val="both"/>
        <w:rPr>
          <w:color w:val="000000"/>
        </w:rPr>
      </w:pPr>
      <w:r>
        <w:rPr>
          <w:rFonts w:hint="cs"/>
          <w:color w:val="000000"/>
          <w:rtl/>
        </w:rPr>
        <w:t>זקפתי לזכותו של הנאשם את העובדה שבחר לקחת אחריות ולהודות בהזדמנות ראשונה.</w:t>
      </w:r>
    </w:p>
    <w:p w14:paraId="7E0EA9FE" w14:textId="77777777" w:rsidR="009013BE" w:rsidRDefault="009013BE" w:rsidP="009013BE">
      <w:pPr>
        <w:spacing w:before="100" w:beforeAutospacing="1" w:after="100" w:afterAutospacing="1" w:line="288" w:lineRule="auto"/>
        <w:ind w:left="1080"/>
        <w:contextualSpacing/>
        <w:jc w:val="both"/>
        <w:rPr>
          <w:color w:val="000000"/>
        </w:rPr>
      </w:pPr>
    </w:p>
    <w:p w14:paraId="139C8164" w14:textId="77777777" w:rsidR="009013BE" w:rsidRDefault="009013BE" w:rsidP="009013BE">
      <w:pPr>
        <w:numPr>
          <w:ilvl w:val="0"/>
          <w:numId w:val="4"/>
        </w:numPr>
        <w:spacing w:before="100" w:beforeAutospacing="1" w:after="100" w:afterAutospacing="1" w:line="288" w:lineRule="auto"/>
        <w:contextualSpacing/>
        <w:jc w:val="both"/>
        <w:rPr>
          <w:color w:val="000000"/>
        </w:rPr>
      </w:pPr>
      <w:r>
        <w:rPr>
          <w:rFonts w:hint="cs"/>
          <w:color w:val="000000"/>
          <w:rtl/>
        </w:rPr>
        <w:t>זקפתי לחובתו של הנאשם את הרשעתו הקודמת. הנאשם נדון ביום 29.4.14 בגין עבירה דומה למאסר בן 6 חודשים לריצוי בעבודות שירות וכן מאסרים מותנים. כ- 9 חודשים לאחר שנגזר דינו וחודשים ספורים לאחר שסיים לרצות את עונש המאסר שהוטל עליו, חזר לבצע את העבירה עליה נדון עתה, כל זאת כשתלוי ועומד נגדו מאסר מותנה בן 9 חודשים בר הפעלה שלא היה בו די כדי להרתיעו.</w:t>
      </w:r>
    </w:p>
    <w:p w14:paraId="761CA694" w14:textId="77777777" w:rsidR="009013BE" w:rsidRDefault="009013BE" w:rsidP="009013BE">
      <w:pPr>
        <w:bidi w:val="0"/>
        <w:ind w:left="720"/>
        <w:contextualSpacing/>
        <w:jc w:val="both"/>
        <w:rPr>
          <w:color w:val="000000"/>
        </w:rPr>
      </w:pPr>
    </w:p>
    <w:p w14:paraId="442F6005" w14:textId="77777777" w:rsidR="009013BE" w:rsidRDefault="009013BE" w:rsidP="009013BE">
      <w:pPr>
        <w:numPr>
          <w:ilvl w:val="0"/>
          <w:numId w:val="4"/>
        </w:numPr>
        <w:tabs>
          <w:tab w:val="num" w:pos="0"/>
        </w:tabs>
        <w:spacing w:before="100" w:beforeAutospacing="1" w:after="100" w:afterAutospacing="1" w:line="288" w:lineRule="auto"/>
        <w:contextualSpacing/>
        <w:jc w:val="both"/>
        <w:rPr>
          <w:color w:val="000000"/>
          <w:rtl/>
        </w:rPr>
      </w:pPr>
      <w:r>
        <w:rPr>
          <w:rFonts w:hint="cs"/>
          <w:color w:val="000000"/>
          <w:rtl/>
        </w:rPr>
        <w:t>לקחתי בחשבון כי ממועד ביצוע העבירה חלפו 3 שנים וכי מאז לא נפתחו תיקים חדשים.</w:t>
      </w:r>
    </w:p>
    <w:p w14:paraId="68837B27" w14:textId="77777777" w:rsidR="009013BE" w:rsidRDefault="009013BE" w:rsidP="009013BE">
      <w:pPr>
        <w:bidi w:val="0"/>
        <w:ind w:left="720"/>
        <w:contextualSpacing/>
        <w:jc w:val="both"/>
        <w:rPr>
          <w:color w:val="000000"/>
        </w:rPr>
      </w:pPr>
    </w:p>
    <w:p w14:paraId="1718711F" w14:textId="77777777" w:rsidR="009013BE" w:rsidRDefault="009013BE" w:rsidP="009013BE">
      <w:pPr>
        <w:numPr>
          <w:ilvl w:val="0"/>
          <w:numId w:val="4"/>
        </w:numPr>
        <w:spacing w:before="100" w:beforeAutospacing="1" w:after="100" w:afterAutospacing="1" w:line="288" w:lineRule="auto"/>
        <w:contextualSpacing/>
        <w:jc w:val="both"/>
        <w:rPr>
          <w:color w:val="000000"/>
          <w:rtl/>
        </w:rPr>
      </w:pPr>
      <w:r>
        <w:rPr>
          <w:rFonts w:hint="cs"/>
          <w:color w:val="000000"/>
          <w:rtl/>
        </w:rPr>
        <w:t>לקחתי בחשבון את נסיבותיו האישיות של הנאשם. את גילו הצעיר, כיום בן 26, את מצבו הרפואי המורכב, בעקבות פגיעה שנפגע בהיותו בן 13, כמפורט בתסקיר ובטיעוני ההגנה. את העובדה כי סובל מקשיי נשימה ודלקות כפי שעולה במסמך הרפואי שהציגה ההגנה.</w:t>
      </w:r>
    </w:p>
    <w:p w14:paraId="1FB85F98" w14:textId="77777777" w:rsidR="009013BE" w:rsidRDefault="009013BE" w:rsidP="009013BE">
      <w:pPr>
        <w:bidi w:val="0"/>
        <w:ind w:left="720"/>
        <w:contextualSpacing/>
        <w:jc w:val="both"/>
        <w:rPr>
          <w:color w:val="000000"/>
        </w:rPr>
      </w:pPr>
    </w:p>
    <w:p w14:paraId="7F381FEF" w14:textId="77777777" w:rsidR="009013BE" w:rsidRDefault="009013BE" w:rsidP="009013BE">
      <w:pPr>
        <w:numPr>
          <w:ilvl w:val="0"/>
          <w:numId w:val="4"/>
        </w:numPr>
        <w:spacing w:before="100" w:beforeAutospacing="1" w:after="100" w:afterAutospacing="1" w:line="288" w:lineRule="auto"/>
        <w:contextualSpacing/>
        <w:jc w:val="both"/>
        <w:rPr>
          <w:color w:val="000000"/>
          <w:rtl/>
        </w:rPr>
      </w:pPr>
      <w:r>
        <w:rPr>
          <w:rFonts w:hint="cs"/>
          <w:color w:val="000000"/>
          <w:rtl/>
        </w:rPr>
        <w:t>לקחתי בחשבון כי מאז ביצוע העבירה הנאשם התחתן ונולדה לו ילדה וכי העונש שיוטל יפגע בו ובבני משפחתו.</w:t>
      </w:r>
    </w:p>
    <w:p w14:paraId="272E0C3C" w14:textId="77777777" w:rsidR="009013BE" w:rsidRDefault="009013BE" w:rsidP="009013BE">
      <w:pPr>
        <w:bidi w:val="0"/>
        <w:ind w:left="720"/>
        <w:contextualSpacing/>
        <w:jc w:val="both"/>
        <w:rPr>
          <w:color w:val="000000"/>
        </w:rPr>
      </w:pPr>
    </w:p>
    <w:p w14:paraId="2C982FBE" w14:textId="77777777" w:rsidR="009013BE" w:rsidRDefault="009013BE" w:rsidP="009013BE">
      <w:pPr>
        <w:numPr>
          <w:ilvl w:val="0"/>
          <w:numId w:val="4"/>
        </w:numPr>
        <w:spacing w:before="100" w:beforeAutospacing="1" w:after="100" w:afterAutospacing="1" w:line="288" w:lineRule="auto"/>
        <w:contextualSpacing/>
        <w:jc w:val="both"/>
        <w:rPr>
          <w:color w:val="000000"/>
          <w:rtl/>
        </w:rPr>
      </w:pPr>
      <w:r>
        <w:rPr>
          <w:rFonts w:hint="cs"/>
          <w:color w:val="000000"/>
          <w:rtl/>
        </w:rPr>
        <w:t>לקחתי בחשבון את הערכת שירות המבחן כי הנאשם מנהל אורח חיים שולי, ומנגד כי השינוי במצב המשפחתי היווה גורם ממתן בביצוע עבירות, וכי הנאשם החל לגלות מוטיבציה פנימית לשינוי אורחותיו.</w:t>
      </w:r>
    </w:p>
    <w:p w14:paraId="656C4C9C" w14:textId="77777777" w:rsidR="009013BE" w:rsidRDefault="009013BE" w:rsidP="009013BE">
      <w:pPr>
        <w:bidi w:val="0"/>
        <w:ind w:left="720"/>
        <w:contextualSpacing/>
        <w:jc w:val="both"/>
        <w:rPr>
          <w:color w:val="000000"/>
        </w:rPr>
      </w:pPr>
    </w:p>
    <w:p w14:paraId="06C3EC8B" w14:textId="77777777" w:rsidR="009013BE" w:rsidRDefault="009013BE" w:rsidP="009013BE">
      <w:pPr>
        <w:numPr>
          <w:ilvl w:val="0"/>
          <w:numId w:val="4"/>
        </w:numPr>
        <w:spacing w:before="100" w:beforeAutospacing="1" w:after="100" w:afterAutospacing="1" w:line="288" w:lineRule="auto"/>
        <w:contextualSpacing/>
        <w:jc w:val="both"/>
        <w:rPr>
          <w:color w:val="000000"/>
          <w:rtl/>
        </w:rPr>
      </w:pPr>
      <w:r>
        <w:rPr>
          <w:rFonts w:hint="cs"/>
          <w:color w:val="000000"/>
          <w:rtl/>
        </w:rPr>
        <w:t>לקחתי בחשבון כי הנאשם לא ריצה בעבר עונש מאסר מאחורי סורג ובריח.</w:t>
      </w:r>
    </w:p>
    <w:p w14:paraId="25564B3E" w14:textId="77777777" w:rsidR="009013BE" w:rsidRDefault="009013BE" w:rsidP="009013BE">
      <w:pPr>
        <w:bidi w:val="0"/>
        <w:ind w:left="720"/>
        <w:contextualSpacing/>
        <w:jc w:val="both"/>
        <w:rPr>
          <w:color w:val="000000"/>
        </w:rPr>
      </w:pPr>
    </w:p>
    <w:p w14:paraId="7A914C95" w14:textId="77777777" w:rsidR="009013BE" w:rsidRDefault="009013BE" w:rsidP="009013BE">
      <w:pPr>
        <w:numPr>
          <w:ilvl w:val="0"/>
          <w:numId w:val="4"/>
        </w:numPr>
        <w:spacing w:before="100" w:beforeAutospacing="1" w:after="100" w:afterAutospacing="1" w:line="288" w:lineRule="auto"/>
        <w:contextualSpacing/>
        <w:jc w:val="both"/>
        <w:rPr>
          <w:b/>
          <w:bCs/>
          <w:color w:val="000000"/>
          <w:u w:val="single"/>
          <w:rtl/>
        </w:rPr>
      </w:pPr>
      <w:r>
        <w:rPr>
          <w:rFonts w:hint="cs"/>
          <w:color w:val="000000"/>
          <w:rtl/>
        </w:rPr>
        <w:t>לקחתי בחשבון את המלצתו העונשית של שירות המבחן להאריך את המאסר המותנה ולהטיל על הנאשם צו מבחן, הגם שלא מצאתי הצדקה לאמץ המלצה זו.</w:t>
      </w:r>
    </w:p>
    <w:p w14:paraId="3333DFC6" w14:textId="77777777" w:rsidR="009013BE" w:rsidRDefault="009013BE" w:rsidP="009013BE">
      <w:pPr>
        <w:bidi w:val="0"/>
        <w:ind w:left="720"/>
        <w:contextualSpacing/>
        <w:jc w:val="both"/>
        <w:rPr>
          <w:b/>
          <w:bCs/>
          <w:color w:val="000000"/>
          <w:u w:val="single"/>
        </w:rPr>
      </w:pPr>
    </w:p>
    <w:p w14:paraId="681C7B48" w14:textId="77777777" w:rsidR="009013BE" w:rsidRDefault="009013BE" w:rsidP="009013BE">
      <w:pPr>
        <w:spacing w:before="100" w:beforeAutospacing="1" w:after="100" w:afterAutospacing="1" w:line="288" w:lineRule="auto"/>
        <w:jc w:val="both"/>
        <w:rPr>
          <w:b/>
          <w:bCs/>
          <w:color w:val="000000"/>
          <w:u w:val="single"/>
          <w:rtl/>
        </w:rPr>
      </w:pPr>
      <w:r>
        <w:rPr>
          <w:rFonts w:hint="cs"/>
          <w:b/>
          <w:bCs/>
          <w:color w:val="000000"/>
          <w:u w:val="single"/>
          <w:rtl/>
        </w:rPr>
        <w:t>אופן הפעלת המאסר המותנה</w:t>
      </w:r>
    </w:p>
    <w:p w14:paraId="27B25685" w14:textId="77777777" w:rsidR="009013BE" w:rsidRPr="009013BE" w:rsidRDefault="009013BE" w:rsidP="009013BE">
      <w:pPr>
        <w:spacing w:before="120" w:after="200" w:line="288" w:lineRule="auto"/>
        <w:ind w:left="418" w:hanging="425"/>
        <w:jc w:val="both"/>
        <w:rPr>
          <w:rFonts w:ascii="Calibri" w:hAnsi="Calibri"/>
        </w:rPr>
      </w:pPr>
      <w:r w:rsidRPr="009013BE">
        <w:rPr>
          <w:rFonts w:ascii="Calibri" w:hAnsi="Calibri" w:hint="cs"/>
          <w:rtl/>
        </w:rPr>
        <w:t>17.</w:t>
      </w:r>
      <w:r w:rsidRPr="009013BE">
        <w:rPr>
          <w:rFonts w:ascii="Calibri" w:hAnsi="Calibri" w:hint="cs"/>
          <w:rtl/>
        </w:rPr>
        <w:tab/>
        <w:t xml:space="preserve">על פי הוראת </w:t>
      </w:r>
      <w:hyperlink r:id="rId29" w:history="1">
        <w:r w:rsidR="00FE6803" w:rsidRPr="00FE6803">
          <w:rPr>
            <w:rFonts w:ascii="Calibri" w:hAnsi="Calibri" w:hint="eastAsia"/>
            <w:color w:val="0000FF"/>
            <w:u w:val="single"/>
            <w:rtl/>
          </w:rPr>
          <w:t>סעיף</w:t>
        </w:r>
        <w:r w:rsidR="00FE6803" w:rsidRPr="00FE6803">
          <w:rPr>
            <w:rFonts w:ascii="Calibri" w:hAnsi="Calibri"/>
            <w:color w:val="0000FF"/>
            <w:u w:val="single"/>
            <w:rtl/>
          </w:rPr>
          <w:t xml:space="preserve"> 58</w:t>
        </w:r>
      </w:hyperlink>
      <w:r w:rsidRPr="009013BE">
        <w:rPr>
          <w:rFonts w:ascii="Calibri" w:hAnsi="Calibri" w:hint="cs"/>
          <w:rtl/>
        </w:rPr>
        <w:t xml:space="preserve"> ל</w:t>
      </w:r>
      <w:hyperlink r:id="rId30" w:history="1">
        <w:r w:rsidR="006D39F3" w:rsidRPr="006D39F3">
          <w:rPr>
            <w:rStyle w:val="Hyperlink"/>
            <w:rFonts w:ascii="Calibri" w:hAnsi="Calibri" w:cs="David" w:hint="eastAsia"/>
            <w:rtl/>
          </w:rPr>
          <w:t>חוק</w:t>
        </w:r>
        <w:r w:rsidR="006D39F3" w:rsidRPr="006D39F3">
          <w:rPr>
            <w:rStyle w:val="Hyperlink"/>
            <w:rFonts w:ascii="Calibri" w:hAnsi="Calibri" w:cs="David"/>
            <w:rtl/>
          </w:rPr>
          <w:t xml:space="preserve"> </w:t>
        </w:r>
        <w:r w:rsidR="006D39F3" w:rsidRPr="006D39F3">
          <w:rPr>
            <w:rStyle w:val="Hyperlink"/>
            <w:rFonts w:ascii="Calibri" w:hAnsi="Calibri" w:cs="David" w:hint="eastAsia"/>
            <w:rtl/>
          </w:rPr>
          <w:t>העונשין</w:t>
        </w:r>
      </w:hyperlink>
      <w:r w:rsidRPr="009013BE">
        <w:rPr>
          <w:rFonts w:ascii="Calibri" w:hAnsi="Calibri" w:hint="cs"/>
          <w:rtl/>
        </w:rPr>
        <w:t>, תשל"ז 1977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שירשמו ששתי התקופות, כולן או מקצתן יהיו חופפות".</w:t>
      </w:r>
    </w:p>
    <w:p w14:paraId="7FADEC3A" w14:textId="77777777" w:rsidR="009013BE" w:rsidRPr="009013BE" w:rsidRDefault="009013BE" w:rsidP="009013BE">
      <w:pPr>
        <w:spacing w:before="120" w:after="200" w:line="288" w:lineRule="auto"/>
        <w:ind w:firstLine="418"/>
        <w:jc w:val="both"/>
        <w:rPr>
          <w:rFonts w:ascii="Calibri" w:hAnsi="Calibri"/>
          <w:rtl/>
        </w:rPr>
      </w:pPr>
      <w:r w:rsidRPr="009013BE">
        <w:rPr>
          <w:rFonts w:ascii="Calibri" w:hAnsi="Calibri" w:hint="cs"/>
          <w:rtl/>
        </w:rPr>
        <w:t>ראו בעניין זה את פסיקתו של בית המשפט העליון ב</w:t>
      </w:r>
      <w:hyperlink r:id="rId31" w:history="1">
        <w:r w:rsidR="006D39F3" w:rsidRPr="006D39F3">
          <w:rPr>
            <w:rStyle w:val="Hyperlink"/>
            <w:rFonts w:ascii="Calibri" w:hAnsi="Calibri" w:cs="David" w:hint="eastAsia"/>
            <w:rtl/>
          </w:rPr>
          <w:t>ע</w:t>
        </w:r>
        <w:r w:rsidR="006D39F3" w:rsidRPr="006D39F3">
          <w:rPr>
            <w:rStyle w:val="Hyperlink"/>
            <w:rFonts w:ascii="Calibri" w:hAnsi="Calibri" w:cs="David"/>
            <w:rtl/>
          </w:rPr>
          <w:t>"</w:t>
        </w:r>
        <w:r w:rsidR="006D39F3" w:rsidRPr="006D39F3">
          <w:rPr>
            <w:rStyle w:val="Hyperlink"/>
            <w:rFonts w:ascii="Calibri" w:hAnsi="Calibri" w:cs="David" w:hint="eastAsia"/>
            <w:rtl/>
          </w:rPr>
          <w:t>פ</w:t>
        </w:r>
        <w:r w:rsidR="006D39F3" w:rsidRPr="006D39F3">
          <w:rPr>
            <w:rStyle w:val="Hyperlink"/>
            <w:rFonts w:ascii="Calibri" w:hAnsi="Calibri" w:cs="David"/>
            <w:rtl/>
          </w:rPr>
          <w:t xml:space="preserve"> 3869/09</w:t>
        </w:r>
      </w:hyperlink>
      <w:r w:rsidRPr="009013BE">
        <w:rPr>
          <w:rFonts w:ascii="Calibri" w:hAnsi="Calibri" w:hint="cs"/>
          <w:rtl/>
        </w:rPr>
        <w:t xml:space="preserve"> </w:t>
      </w:r>
      <w:r w:rsidRPr="009013BE">
        <w:rPr>
          <w:rFonts w:ascii="Calibri" w:hAnsi="Calibri" w:hint="cs"/>
          <w:b/>
          <w:bCs/>
          <w:rtl/>
        </w:rPr>
        <w:t>סלימן נ. מ"י</w:t>
      </w:r>
      <w:r w:rsidRPr="009013BE">
        <w:rPr>
          <w:rFonts w:ascii="Calibri" w:hAnsi="Calibri" w:hint="cs"/>
          <w:rtl/>
        </w:rPr>
        <w:t>:</w:t>
      </w:r>
    </w:p>
    <w:p w14:paraId="4E4C6AF3" w14:textId="77777777" w:rsidR="009013BE" w:rsidRPr="009013BE" w:rsidRDefault="009013BE" w:rsidP="009013BE">
      <w:pPr>
        <w:spacing w:before="120" w:after="200" w:line="288" w:lineRule="auto"/>
        <w:ind w:left="1440"/>
        <w:jc w:val="both"/>
        <w:rPr>
          <w:rFonts w:ascii="Calibri" w:hAnsi="Calibri"/>
          <w:rtl/>
        </w:rPr>
      </w:pPr>
      <w:r w:rsidRPr="009013BE">
        <w:rPr>
          <w:rFonts w:ascii="Calibri" w:hAnsi="Calibri" w:hint="cs"/>
          <w:rtl/>
        </w:rPr>
        <w:t>"רק בנסיבות מיוחדות רשאי בית המשפט לקבוע כי המאסר המותנה שהופעל ירוצה בחופף לעונש המאסר שנגזר בגין העבירה הנוספת. החוק דורש כי תקופות המאסר יחפפו רק אם קיימים "טעמים שיירשמו". "דרישת 'טעמים שיירשמו' מצמצמת את שיקול דעת בית המשפט, וזאת על מנת לא לפגוע בכוחו של עונש המאסר כעונש ממשי ומוחשי".</w:t>
      </w:r>
    </w:p>
    <w:p w14:paraId="64AFCC1C" w14:textId="77777777" w:rsidR="009013BE" w:rsidRPr="009013BE" w:rsidRDefault="009013BE" w:rsidP="009013BE">
      <w:pPr>
        <w:spacing w:before="120" w:after="200" w:line="288" w:lineRule="auto"/>
        <w:jc w:val="both"/>
        <w:rPr>
          <w:rFonts w:ascii="Calibri" w:hAnsi="Calibri"/>
          <w:rtl/>
        </w:rPr>
      </w:pPr>
      <w:r w:rsidRPr="009013BE">
        <w:rPr>
          <w:rFonts w:ascii="Calibri" w:hAnsi="Calibri" w:hint="cs"/>
          <w:rtl/>
        </w:rPr>
        <w:t xml:space="preserve">        ראו פסיקת בית המשפט העליון ב</w:t>
      </w:r>
      <w:hyperlink r:id="rId32" w:history="1">
        <w:r w:rsidR="006D39F3" w:rsidRPr="006D39F3">
          <w:rPr>
            <w:rStyle w:val="Hyperlink"/>
            <w:rFonts w:ascii="Calibri" w:hAnsi="Calibri" w:cs="David" w:hint="eastAsia"/>
            <w:rtl/>
          </w:rPr>
          <w:t>ע</w:t>
        </w:r>
        <w:r w:rsidR="006D39F3" w:rsidRPr="006D39F3">
          <w:rPr>
            <w:rStyle w:val="Hyperlink"/>
            <w:rFonts w:ascii="Calibri" w:hAnsi="Calibri" w:cs="David"/>
            <w:rtl/>
          </w:rPr>
          <w:t>"</w:t>
        </w:r>
        <w:r w:rsidR="006D39F3" w:rsidRPr="006D39F3">
          <w:rPr>
            <w:rStyle w:val="Hyperlink"/>
            <w:rFonts w:ascii="Calibri" w:hAnsi="Calibri" w:cs="David" w:hint="eastAsia"/>
            <w:rtl/>
          </w:rPr>
          <w:t>פ</w:t>
        </w:r>
        <w:r w:rsidR="006D39F3" w:rsidRPr="006D39F3">
          <w:rPr>
            <w:rStyle w:val="Hyperlink"/>
            <w:rFonts w:ascii="Calibri" w:hAnsi="Calibri" w:cs="David"/>
            <w:rtl/>
          </w:rPr>
          <w:t xml:space="preserve"> 4654/03</w:t>
        </w:r>
      </w:hyperlink>
      <w:r w:rsidRPr="009013BE">
        <w:rPr>
          <w:rFonts w:ascii="Calibri" w:hAnsi="Calibri" w:hint="cs"/>
          <w:rtl/>
        </w:rPr>
        <w:t xml:space="preserve"> </w:t>
      </w:r>
      <w:r w:rsidRPr="009013BE">
        <w:rPr>
          <w:rFonts w:ascii="Calibri" w:hAnsi="Calibri" w:hint="cs"/>
          <w:b/>
          <w:bCs/>
          <w:rtl/>
        </w:rPr>
        <w:t>ווליד נ' מ"י</w:t>
      </w:r>
      <w:r w:rsidRPr="009013BE">
        <w:rPr>
          <w:rFonts w:ascii="Calibri" w:hAnsi="Calibri" w:hint="cs"/>
          <w:rtl/>
        </w:rPr>
        <w:t>:</w:t>
      </w:r>
    </w:p>
    <w:p w14:paraId="47363439" w14:textId="77777777" w:rsidR="009013BE" w:rsidRDefault="009013BE" w:rsidP="009013BE">
      <w:pPr>
        <w:spacing w:before="120" w:line="288" w:lineRule="auto"/>
        <w:ind w:left="1440"/>
        <w:contextualSpacing/>
        <w:jc w:val="both"/>
        <w:rPr>
          <w:rFonts w:ascii="Calibri" w:hAnsi="Calibri"/>
          <w:rtl/>
        </w:rPr>
      </w:pPr>
      <w:r>
        <w:rPr>
          <w:rFonts w:ascii="Calibri" w:hAnsi="Calibri" w:hint="cs"/>
          <w:rtl/>
        </w:rPr>
        <w:t xml:space="preserve">"עונש מאסר מותנה משמעו מאסר שהחברה נכונה לדחות ביצועו ובהמשך לוותר על ריצויו כליל אם לא יבצע הנידון עבירה נוספת בתקופת התנאי. מאחורי נכונות זו להקל עם מי שהורשע ונידון למאסר עומד, בין היתר, הרצון לאפשר לו לחזור אל מסלול חיים נורמטיבי וההכרה בכך שהתועלת שתצמח לחברה מהוצאתו מן המעגל העברייני עולה על התועלת מהשמתו מאחורי סורג ובריח כדי להשיב לו כגמולו. זאת, הגם שעונש מאסר על תנאי אינו כולל רכיב שיקומי של ממש אלא מהווה מתן הזדמנות חוזרת לנידון לתקן דרכיו ... המאסר המותנה הינו אם כן בבחינת כרטיס כניסה מחודש אל החברה. אולם, אם נכזבה הציפיה כי המאסר המותנה התלוי ועומד נגד הנידון ירתיעו מלשוב ולבצע עבירות, הרי שנחלש באופן ניכר משקלו של אינטרס השיקום וגובר משקלם של אינטרס הגמול, ההגנה על הציבור, הצורך בהרחקה מהציבור ושיקום בעת המאסר". </w:t>
      </w:r>
    </w:p>
    <w:p w14:paraId="057E57AF" w14:textId="77777777" w:rsidR="009013BE" w:rsidRDefault="009013BE" w:rsidP="009013BE">
      <w:pPr>
        <w:spacing w:before="120" w:line="288" w:lineRule="auto"/>
        <w:ind w:left="1080"/>
        <w:contextualSpacing/>
        <w:jc w:val="both"/>
        <w:rPr>
          <w:rFonts w:ascii="Calibri" w:hAnsi="Calibri"/>
          <w:rtl/>
        </w:rPr>
      </w:pPr>
    </w:p>
    <w:p w14:paraId="5AF69A68" w14:textId="77777777" w:rsidR="009013BE" w:rsidRPr="009013BE" w:rsidRDefault="009013BE" w:rsidP="009013BE">
      <w:pPr>
        <w:spacing w:before="120" w:after="200" w:line="288" w:lineRule="auto"/>
        <w:ind w:left="418" w:hanging="425"/>
        <w:jc w:val="both"/>
        <w:rPr>
          <w:rFonts w:ascii="Calibri" w:hAnsi="Calibri"/>
          <w:rtl/>
        </w:rPr>
      </w:pPr>
      <w:r w:rsidRPr="009013BE">
        <w:rPr>
          <w:rFonts w:ascii="Calibri" w:hAnsi="Calibri" w:hint="cs"/>
          <w:rtl/>
        </w:rPr>
        <w:t>17.</w:t>
      </w:r>
      <w:r w:rsidRPr="009013BE">
        <w:rPr>
          <w:rFonts w:ascii="Calibri" w:hAnsi="Calibri" w:hint="cs"/>
          <w:rtl/>
        </w:rPr>
        <w:tab/>
        <w:t>בעניינו של הנאשם לא מצאתי הצדקה להפעיל את המאסר המותנה כולו בחופף למאסר שיוטל בתיק זה, שכן "נכזבה הציפיה". המאסר המותנה לא הרתיע הנאשם ועל כן "נחלש באופן ניכר משקלו של אינטרס השיקום".</w:t>
      </w:r>
    </w:p>
    <w:p w14:paraId="418E6CB6" w14:textId="77777777" w:rsidR="009013BE" w:rsidRPr="009013BE" w:rsidRDefault="009013BE" w:rsidP="009013BE">
      <w:pPr>
        <w:spacing w:before="120" w:after="200" w:line="288" w:lineRule="auto"/>
        <w:ind w:left="418"/>
        <w:jc w:val="both"/>
        <w:rPr>
          <w:rFonts w:ascii="Calibri" w:hAnsi="Calibri"/>
          <w:rtl/>
        </w:rPr>
      </w:pPr>
      <w:r w:rsidRPr="009013BE">
        <w:rPr>
          <w:rFonts w:ascii="Calibri" w:hAnsi="Calibri" w:hint="cs"/>
          <w:rtl/>
        </w:rPr>
        <w:t>עם זאת, לאור העובדה כי זהו מאסרו הראשון מאחורי סורג ובריח, לאור גילו הצעיר, לאור השינוי במצבו המשפחתי, לאור העובדה שלא נפתחו תיקים חדשים בשלוש השנים האחרונות, ולאור התובנות הראשוניות שגילה הנאשם בדבר הצורך בשינוי אורחותיו והשתתפותו בטיפול הקבוצתי אליו שולב על ידי שירות המבחן, מצאתי כי טעמים המצדיקים לגזור את עונשו של הנאשם בסמוך לרף התחתון של מתחם העונש ההולם ולהורות כי המאסר המותנה יופעל במרביתו בחופף למאסר שיוטל בתיק זה.</w:t>
      </w:r>
    </w:p>
    <w:p w14:paraId="0FED4F4C" w14:textId="77777777" w:rsidR="009013BE" w:rsidRDefault="009013BE" w:rsidP="009013BE">
      <w:pPr>
        <w:snapToGrid w:val="0"/>
        <w:spacing w:before="120" w:after="200" w:line="288" w:lineRule="auto"/>
        <w:jc w:val="both"/>
        <w:rPr>
          <w:b/>
          <w:bCs/>
          <w:u w:val="single"/>
          <w:rtl/>
          <w:lang w:eastAsia="he-IL"/>
        </w:rPr>
      </w:pPr>
    </w:p>
    <w:p w14:paraId="1E07CD89" w14:textId="77777777" w:rsidR="009013BE" w:rsidRDefault="009013BE" w:rsidP="009013BE">
      <w:pPr>
        <w:snapToGrid w:val="0"/>
        <w:spacing w:before="120" w:after="200" w:line="288" w:lineRule="auto"/>
        <w:jc w:val="both"/>
        <w:rPr>
          <w:rtl/>
          <w:lang w:eastAsia="he-IL"/>
        </w:rPr>
      </w:pPr>
      <w:r>
        <w:rPr>
          <w:rFonts w:hint="cs"/>
          <w:b/>
          <w:bCs/>
          <w:u w:val="single"/>
          <w:rtl/>
          <w:lang w:eastAsia="he-IL"/>
        </w:rPr>
        <w:t>עונשו של הנאשם</w:t>
      </w:r>
    </w:p>
    <w:p w14:paraId="2C64B9B7" w14:textId="77777777" w:rsidR="009013BE" w:rsidRDefault="009013BE" w:rsidP="009013BE">
      <w:pPr>
        <w:snapToGrid w:val="0"/>
        <w:spacing w:before="120" w:after="200" w:line="288" w:lineRule="auto"/>
        <w:jc w:val="both"/>
        <w:rPr>
          <w:lang w:eastAsia="he-IL"/>
        </w:rPr>
      </w:pPr>
      <w:r>
        <w:rPr>
          <w:rFonts w:hint="cs"/>
          <w:rtl/>
          <w:lang w:eastAsia="he-IL"/>
        </w:rPr>
        <w:t>18.</w:t>
      </w:r>
      <w:r>
        <w:rPr>
          <w:rFonts w:hint="cs"/>
          <w:rtl/>
          <w:lang w:eastAsia="he-IL"/>
        </w:rPr>
        <w:tab/>
        <w:t>לפיכך, מצאתי לנכון ולמידתי להטיל על הנאשם את העונשים הבאים:</w:t>
      </w:r>
    </w:p>
    <w:p w14:paraId="2F357D1E" w14:textId="77777777" w:rsidR="009013BE" w:rsidRDefault="009013BE" w:rsidP="009013BE">
      <w:pPr>
        <w:snapToGrid w:val="0"/>
        <w:spacing w:before="120" w:after="200" w:line="288" w:lineRule="auto"/>
        <w:jc w:val="both"/>
        <w:rPr>
          <w:rtl/>
          <w:lang w:eastAsia="he-IL"/>
        </w:rPr>
      </w:pPr>
    </w:p>
    <w:p w14:paraId="320DC75C" w14:textId="77777777" w:rsidR="009013BE" w:rsidRDefault="009013BE" w:rsidP="009013BE">
      <w:pPr>
        <w:snapToGrid w:val="0"/>
        <w:spacing w:before="120" w:after="200" w:line="288" w:lineRule="auto"/>
        <w:ind w:left="1440" w:hanging="720"/>
        <w:jc w:val="both"/>
        <w:rPr>
          <w:rtl/>
          <w:lang w:eastAsia="he-IL"/>
        </w:rPr>
      </w:pPr>
      <w:r>
        <w:rPr>
          <w:rFonts w:hint="cs"/>
          <w:rtl/>
          <w:lang w:eastAsia="he-IL"/>
        </w:rPr>
        <w:t>א.</w:t>
      </w:r>
      <w:r>
        <w:rPr>
          <w:rFonts w:hint="cs"/>
          <w:rtl/>
          <w:lang w:eastAsia="he-IL"/>
        </w:rPr>
        <w:tab/>
        <w:t xml:space="preserve">8 חודשי מאסר בפועל. </w:t>
      </w:r>
    </w:p>
    <w:p w14:paraId="55A5D7A2" w14:textId="77777777" w:rsidR="009013BE" w:rsidRDefault="009013BE" w:rsidP="009013BE">
      <w:pPr>
        <w:snapToGrid w:val="0"/>
        <w:spacing w:before="120" w:after="200" w:line="288" w:lineRule="auto"/>
        <w:ind w:left="1440"/>
        <w:jc w:val="both"/>
        <w:rPr>
          <w:rtl/>
          <w:lang w:eastAsia="he-IL"/>
        </w:rPr>
      </w:pPr>
      <w:r>
        <w:rPr>
          <w:rFonts w:hint="cs"/>
          <w:rtl/>
          <w:lang w:eastAsia="he-IL"/>
        </w:rPr>
        <w:t>מתקופת המאסר ינוכו ימי המעצר שריצה הנאשם.</w:t>
      </w:r>
    </w:p>
    <w:p w14:paraId="564E3911" w14:textId="77777777" w:rsidR="009013BE" w:rsidRDefault="009013BE" w:rsidP="009013BE">
      <w:pPr>
        <w:snapToGrid w:val="0"/>
        <w:spacing w:before="120" w:after="200" w:line="288" w:lineRule="auto"/>
        <w:ind w:left="1440"/>
        <w:jc w:val="both"/>
        <w:rPr>
          <w:rtl/>
          <w:lang w:eastAsia="he-IL"/>
        </w:rPr>
      </w:pPr>
    </w:p>
    <w:p w14:paraId="11F02B81" w14:textId="77777777" w:rsidR="009013BE" w:rsidRDefault="009013BE" w:rsidP="009013BE">
      <w:pPr>
        <w:snapToGrid w:val="0"/>
        <w:spacing w:before="120" w:after="200" w:line="288" w:lineRule="auto"/>
        <w:ind w:left="1440" w:hanging="720"/>
        <w:jc w:val="both"/>
        <w:rPr>
          <w:rtl/>
          <w:lang w:eastAsia="he-IL"/>
        </w:rPr>
      </w:pPr>
      <w:r>
        <w:rPr>
          <w:rFonts w:hint="cs"/>
          <w:rtl/>
          <w:lang w:eastAsia="he-IL"/>
        </w:rPr>
        <w:t>ב.</w:t>
      </w:r>
      <w:r>
        <w:rPr>
          <w:rFonts w:hint="cs"/>
          <w:rtl/>
          <w:lang w:eastAsia="he-IL"/>
        </w:rPr>
        <w:tab/>
        <w:t>מורה על הפעלת מאסר מותנה בן 9 חודשים, כפי שהוטל על הנאשם בתיק 10402-01-13 בבית משפט השלום ברמלה ביום 29.4.14.</w:t>
      </w:r>
    </w:p>
    <w:p w14:paraId="45C19DAC" w14:textId="77777777" w:rsidR="009013BE" w:rsidRDefault="009013BE" w:rsidP="009013BE">
      <w:pPr>
        <w:snapToGrid w:val="0"/>
        <w:spacing w:before="120" w:after="200" w:line="288" w:lineRule="auto"/>
        <w:ind w:left="1440"/>
        <w:jc w:val="both"/>
        <w:rPr>
          <w:rtl/>
          <w:lang w:eastAsia="he-IL"/>
        </w:rPr>
      </w:pPr>
      <w:r>
        <w:rPr>
          <w:rFonts w:hint="cs"/>
          <w:rtl/>
          <w:lang w:eastAsia="he-IL"/>
        </w:rPr>
        <w:t>7 חודשים ירוצו בחופף למאסר שהוטל בתיק זה וחודשיים ירוצו במצטבר.</w:t>
      </w:r>
    </w:p>
    <w:p w14:paraId="2FCAB6F6" w14:textId="77777777" w:rsidR="009013BE" w:rsidRDefault="009013BE" w:rsidP="009013BE">
      <w:pPr>
        <w:snapToGrid w:val="0"/>
        <w:spacing w:before="120" w:after="200" w:line="288" w:lineRule="auto"/>
        <w:ind w:left="1440"/>
        <w:jc w:val="both"/>
        <w:rPr>
          <w:rtl/>
          <w:lang w:eastAsia="he-IL"/>
        </w:rPr>
      </w:pPr>
      <w:r>
        <w:rPr>
          <w:rFonts w:hint="cs"/>
          <w:rtl/>
          <w:lang w:eastAsia="he-IL"/>
        </w:rPr>
        <w:t>למען הסר ספק על הנאשם לרצות בסך הכל 10 חודשי מאסר בניכוי ימי המעצר.</w:t>
      </w:r>
    </w:p>
    <w:p w14:paraId="0ED9CF4A" w14:textId="77777777" w:rsidR="009013BE" w:rsidRDefault="009013BE" w:rsidP="009013BE">
      <w:pPr>
        <w:snapToGrid w:val="0"/>
        <w:spacing w:before="120" w:after="200" w:line="288" w:lineRule="auto"/>
        <w:ind w:left="1440"/>
        <w:jc w:val="both"/>
        <w:rPr>
          <w:rtl/>
          <w:lang w:eastAsia="he-IL"/>
        </w:rPr>
      </w:pPr>
      <w:r>
        <w:rPr>
          <w:rFonts w:hint="cs"/>
          <w:rtl/>
          <w:lang w:eastAsia="he-IL"/>
        </w:rPr>
        <w:t>המאסר יחל היום.</w:t>
      </w:r>
    </w:p>
    <w:p w14:paraId="54F20E24" w14:textId="77777777" w:rsidR="009013BE" w:rsidRDefault="009013BE" w:rsidP="009013BE">
      <w:pPr>
        <w:snapToGrid w:val="0"/>
        <w:spacing w:before="120" w:after="200" w:line="288" w:lineRule="auto"/>
        <w:ind w:left="1440"/>
        <w:jc w:val="both"/>
        <w:rPr>
          <w:rtl/>
          <w:lang w:eastAsia="he-IL"/>
        </w:rPr>
      </w:pPr>
    </w:p>
    <w:p w14:paraId="6515671F" w14:textId="77777777" w:rsidR="009013BE" w:rsidRDefault="009013BE" w:rsidP="009013BE">
      <w:pPr>
        <w:snapToGrid w:val="0"/>
        <w:spacing w:before="120" w:after="200" w:line="288" w:lineRule="auto"/>
        <w:ind w:left="1440" w:hanging="720"/>
        <w:jc w:val="both"/>
        <w:rPr>
          <w:rtl/>
          <w:lang w:eastAsia="he-IL"/>
        </w:rPr>
      </w:pPr>
      <w:r>
        <w:rPr>
          <w:rFonts w:hint="cs"/>
          <w:rtl/>
          <w:lang w:eastAsia="he-IL"/>
        </w:rPr>
        <w:t>ג.</w:t>
      </w:r>
      <w:r>
        <w:rPr>
          <w:rFonts w:hint="cs"/>
          <w:rtl/>
          <w:lang w:eastAsia="he-IL"/>
        </w:rPr>
        <w:tab/>
        <w:t xml:space="preserve">מאסר על תנאי בן 6 חודשים שלא יעבור עבירות מסוג פשע על </w:t>
      </w:r>
      <w:hyperlink r:id="rId33" w:history="1">
        <w:r w:rsidR="006D39F3" w:rsidRPr="006D39F3">
          <w:rPr>
            <w:rStyle w:val="Hyperlink"/>
            <w:rFonts w:cs="David" w:hint="eastAsia"/>
            <w:rtl/>
            <w:lang w:eastAsia="he-IL"/>
          </w:rPr>
          <w:t>פקודת</w:t>
        </w:r>
        <w:r w:rsidR="006D39F3" w:rsidRPr="006D39F3">
          <w:rPr>
            <w:rStyle w:val="Hyperlink"/>
            <w:rFonts w:cs="David"/>
            <w:rtl/>
            <w:lang w:eastAsia="he-IL"/>
          </w:rPr>
          <w:t xml:space="preserve"> הסמים המסוכנים</w:t>
        </w:r>
      </w:hyperlink>
      <w:r>
        <w:rPr>
          <w:rFonts w:hint="cs"/>
          <w:rtl/>
          <w:lang w:eastAsia="he-IL"/>
        </w:rPr>
        <w:t xml:space="preserve"> למשך 3 שנים מהיום.</w:t>
      </w:r>
    </w:p>
    <w:p w14:paraId="01220D9F" w14:textId="77777777" w:rsidR="009013BE" w:rsidRDefault="009013BE" w:rsidP="009013BE">
      <w:pPr>
        <w:snapToGrid w:val="0"/>
        <w:spacing w:before="120" w:after="200" w:line="288" w:lineRule="auto"/>
        <w:ind w:left="1440" w:hanging="720"/>
        <w:jc w:val="both"/>
        <w:rPr>
          <w:rtl/>
          <w:lang w:eastAsia="he-IL"/>
        </w:rPr>
      </w:pPr>
      <w:r>
        <w:rPr>
          <w:rFonts w:hint="cs"/>
          <w:rtl/>
          <w:lang w:eastAsia="he-IL"/>
        </w:rPr>
        <w:t>ד.</w:t>
      </w:r>
      <w:r>
        <w:rPr>
          <w:rFonts w:hint="cs"/>
          <w:rtl/>
          <w:lang w:eastAsia="he-IL"/>
        </w:rPr>
        <w:tab/>
        <w:t xml:space="preserve">מאסר על תנאי בן חודש שלא יעבור עבירות מסוג עוון על </w:t>
      </w:r>
      <w:hyperlink r:id="rId34" w:history="1">
        <w:r w:rsidR="006D39F3" w:rsidRPr="006D39F3">
          <w:rPr>
            <w:rStyle w:val="Hyperlink"/>
            <w:rFonts w:cs="David" w:hint="eastAsia"/>
            <w:rtl/>
            <w:lang w:eastAsia="he-IL"/>
          </w:rPr>
          <w:t>פקודת</w:t>
        </w:r>
        <w:r w:rsidR="006D39F3" w:rsidRPr="006D39F3">
          <w:rPr>
            <w:rStyle w:val="Hyperlink"/>
            <w:rFonts w:cs="David"/>
            <w:rtl/>
            <w:lang w:eastAsia="he-IL"/>
          </w:rPr>
          <w:t xml:space="preserve"> הסמים המסוכנים</w:t>
        </w:r>
      </w:hyperlink>
      <w:r>
        <w:rPr>
          <w:rFonts w:hint="cs"/>
          <w:rtl/>
          <w:lang w:eastAsia="he-IL"/>
        </w:rPr>
        <w:t xml:space="preserve"> למשך 3 שנים מהיום.</w:t>
      </w:r>
    </w:p>
    <w:p w14:paraId="12713BD2" w14:textId="77777777" w:rsidR="009013BE" w:rsidRDefault="009013BE" w:rsidP="009013BE">
      <w:pPr>
        <w:snapToGrid w:val="0"/>
        <w:spacing w:before="120" w:after="200" w:line="288" w:lineRule="auto"/>
        <w:ind w:left="1440" w:hanging="720"/>
        <w:jc w:val="both"/>
        <w:rPr>
          <w:rtl/>
          <w:lang w:eastAsia="he-IL"/>
        </w:rPr>
      </w:pPr>
    </w:p>
    <w:p w14:paraId="1D109D77" w14:textId="77777777" w:rsidR="009013BE" w:rsidRPr="009013BE" w:rsidRDefault="009013BE" w:rsidP="009013BE">
      <w:pPr>
        <w:spacing w:after="200" w:line="288" w:lineRule="auto"/>
        <w:ind w:left="1440" w:hanging="720"/>
        <w:jc w:val="both"/>
        <w:rPr>
          <w:rFonts w:ascii="Calibri" w:hAnsi="Calibri"/>
          <w:rtl/>
        </w:rPr>
      </w:pPr>
      <w:r w:rsidRPr="009013BE">
        <w:rPr>
          <w:rFonts w:ascii="Calibri" w:hAnsi="Calibri" w:hint="cs"/>
          <w:rtl/>
        </w:rPr>
        <w:t>ה.</w:t>
      </w:r>
      <w:r w:rsidRPr="009013BE">
        <w:rPr>
          <w:rFonts w:ascii="Calibri" w:hAnsi="Calibri" w:hint="cs"/>
          <w:rtl/>
        </w:rPr>
        <w:tab/>
        <w:t>קנס בסך 1000 ₪ או 10 ימי  מאסר תמורתו.</w:t>
      </w:r>
    </w:p>
    <w:p w14:paraId="2175A9B9" w14:textId="77777777" w:rsidR="009013BE" w:rsidRPr="009013BE" w:rsidRDefault="009013BE" w:rsidP="009013BE">
      <w:pPr>
        <w:spacing w:after="200" w:line="288" w:lineRule="auto"/>
        <w:ind w:left="1440" w:hanging="720"/>
        <w:jc w:val="both"/>
        <w:rPr>
          <w:rFonts w:ascii="Calibri" w:hAnsi="Calibri"/>
          <w:rtl/>
        </w:rPr>
      </w:pPr>
      <w:r w:rsidRPr="009013BE">
        <w:rPr>
          <w:rFonts w:ascii="Calibri" w:hAnsi="Calibri" w:hint="cs"/>
          <w:rtl/>
        </w:rPr>
        <w:tab/>
        <w:t>הקנס ישולם ב- 4 תשלומים החל מיום 1.7.18.</w:t>
      </w:r>
    </w:p>
    <w:p w14:paraId="39FCE4FA" w14:textId="77777777" w:rsidR="009013BE" w:rsidRPr="009013BE" w:rsidRDefault="009013BE" w:rsidP="009013BE">
      <w:pPr>
        <w:spacing w:after="200" w:line="288" w:lineRule="auto"/>
        <w:ind w:left="1440" w:hanging="720"/>
        <w:jc w:val="both"/>
        <w:rPr>
          <w:rFonts w:ascii="Calibri" w:hAnsi="Calibri"/>
          <w:rtl/>
        </w:rPr>
      </w:pPr>
      <w:r w:rsidRPr="009013BE">
        <w:rPr>
          <w:rFonts w:ascii="Calibri" w:hAnsi="Calibri" w:hint="cs"/>
          <w:rtl/>
        </w:rPr>
        <w:t>ו.</w:t>
      </w:r>
      <w:r w:rsidRPr="009013BE">
        <w:rPr>
          <w:rFonts w:ascii="Calibri" w:hAnsi="Calibri" w:hint="cs"/>
          <w:rtl/>
        </w:rPr>
        <w:tab/>
        <w:t>הנאשם יחתום על התחייבות כספית בסך 5,000 ₪ להימנע מביצוע עבירה בניגוד ל</w:t>
      </w:r>
      <w:hyperlink r:id="rId35" w:history="1">
        <w:r w:rsidR="006D39F3" w:rsidRPr="006D39F3">
          <w:rPr>
            <w:rStyle w:val="Hyperlink"/>
            <w:rFonts w:ascii="Calibri" w:hAnsi="Calibri" w:cs="David" w:hint="eastAsia"/>
            <w:rtl/>
          </w:rPr>
          <w:t>פקודת</w:t>
        </w:r>
        <w:r w:rsidR="006D39F3" w:rsidRPr="006D39F3">
          <w:rPr>
            <w:rStyle w:val="Hyperlink"/>
            <w:rFonts w:ascii="Calibri" w:hAnsi="Calibri" w:cs="David"/>
            <w:rtl/>
          </w:rPr>
          <w:t xml:space="preserve"> </w:t>
        </w:r>
        <w:r w:rsidR="006D39F3" w:rsidRPr="006D39F3">
          <w:rPr>
            <w:rStyle w:val="Hyperlink"/>
            <w:rFonts w:ascii="Calibri" w:hAnsi="Calibri" w:cs="David" w:hint="eastAsia"/>
            <w:rtl/>
          </w:rPr>
          <w:t>הסמים</w:t>
        </w:r>
        <w:r w:rsidR="006D39F3" w:rsidRPr="006D39F3">
          <w:rPr>
            <w:rStyle w:val="Hyperlink"/>
            <w:rFonts w:ascii="Calibri" w:hAnsi="Calibri" w:cs="David"/>
            <w:rtl/>
          </w:rPr>
          <w:t xml:space="preserve"> </w:t>
        </w:r>
        <w:r w:rsidR="006D39F3" w:rsidRPr="006D39F3">
          <w:rPr>
            <w:rStyle w:val="Hyperlink"/>
            <w:rFonts w:ascii="Calibri" w:hAnsi="Calibri" w:cs="David" w:hint="eastAsia"/>
            <w:rtl/>
          </w:rPr>
          <w:t>המסוכנים</w:t>
        </w:r>
      </w:hyperlink>
      <w:r w:rsidRPr="009013BE">
        <w:rPr>
          <w:rFonts w:ascii="Calibri" w:hAnsi="Calibri" w:hint="cs"/>
          <w:rtl/>
        </w:rPr>
        <w:t xml:space="preserve"> והכל תוך שלוש שנים מיום שחרורו.</w:t>
      </w:r>
    </w:p>
    <w:p w14:paraId="35E926F2" w14:textId="77777777" w:rsidR="009013BE" w:rsidRPr="009013BE" w:rsidRDefault="009013BE" w:rsidP="009013BE">
      <w:pPr>
        <w:spacing w:after="200" w:line="288" w:lineRule="auto"/>
        <w:ind w:left="1440"/>
        <w:jc w:val="both"/>
        <w:rPr>
          <w:rFonts w:ascii="Calibri" w:hAnsi="Calibri"/>
          <w:rtl/>
        </w:rPr>
      </w:pPr>
      <w:r w:rsidRPr="009013BE">
        <w:rPr>
          <w:rFonts w:ascii="Calibri" w:hAnsi="Calibri" w:hint="cs"/>
          <w:rtl/>
        </w:rPr>
        <w:t>ההתחייבות תחתם במזכירות בית משפט עוד היום. לא יחתום הנאשם כאמור, יאסר למשך 15 יום</w:t>
      </w:r>
    </w:p>
    <w:p w14:paraId="4C87E516" w14:textId="77777777" w:rsidR="009013BE" w:rsidRDefault="009013BE" w:rsidP="009013BE">
      <w:pPr>
        <w:pStyle w:val="1"/>
        <w:spacing w:line="360" w:lineRule="auto"/>
        <w:rPr>
          <w:rtl/>
        </w:rPr>
      </w:pPr>
      <w:r w:rsidRPr="009013BE">
        <w:rPr>
          <w:rFonts w:ascii="Calibri" w:hAnsi="Calibri" w:hint="cs"/>
          <w:rtl/>
        </w:rPr>
        <w:tab/>
        <w:t>ז.</w:t>
      </w:r>
      <w:r w:rsidRPr="009013BE">
        <w:rPr>
          <w:rFonts w:ascii="Calibri" w:hAnsi="Calibri" w:hint="cs"/>
          <w:rtl/>
        </w:rPr>
        <w:tab/>
      </w:r>
      <w:bookmarkStart w:id="7" w:name="סוג_מסמך"/>
      <w:r>
        <w:rPr>
          <w:rFonts w:hint="cs"/>
          <w:rtl/>
        </w:rPr>
        <w:tab/>
        <w:t>פסילה בפועל מקבל או מהחזיק רשיון נהיגה לתקופה של 6 חודשים.</w:t>
      </w:r>
    </w:p>
    <w:p w14:paraId="146C484C" w14:textId="77777777" w:rsidR="009013BE" w:rsidRDefault="009013BE" w:rsidP="009013BE">
      <w:pPr>
        <w:pStyle w:val="1"/>
        <w:spacing w:line="360" w:lineRule="auto"/>
        <w:rPr>
          <w:rtl/>
        </w:rPr>
      </w:pPr>
      <w:r>
        <w:rPr>
          <w:rFonts w:hint="cs"/>
          <w:rtl/>
        </w:rPr>
        <w:tab/>
      </w:r>
      <w:r>
        <w:rPr>
          <w:rFonts w:hint="cs"/>
          <w:rtl/>
        </w:rPr>
        <w:tab/>
      </w:r>
      <w:r>
        <w:rPr>
          <w:rFonts w:hint="cs"/>
          <w:rtl/>
        </w:rPr>
        <w:tab/>
        <w:t>הפסילה בפועל תחל מיום שחרורו מן המאסר.</w:t>
      </w:r>
    </w:p>
    <w:p w14:paraId="191E5425" w14:textId="77777777" w:rsidR="009013BE" w:rsidRDefault="009013BE" w:rsidP="009013BE">
      <w:pPr>
        <w:pStyle w:val="1"/>
        <w:spacing w:line="360" w:lineRule="auto"/>
        <w:ind w:left="1440"/>
        <w:rPr>
          <w:rtl/>
        </w:rPr>
      </w:pPr>
      <w:r>
        <w:rPr>
          <w:rFonts w:hint="cs"/>
          <w:rtl/>
        </w:rPr>
        <w:tab/>
        <w:t>בשל היות הנאשם בלתי מורשה לנהיגה, המזכירות תנפיק אישור הפקדה מיום השחרור ללא צורך בהפקדת רישיון.</w:t>
      </w:r>
    </w:p>
    <w:p w14:paraId="3B8EBC53" w14:textId="77777777" w:rsidR="009013BE" w:rsidRDefault="009013BE" w:rsidP="009013BE">
      <w:pPr>
        <w:pStyle w:val="1"/>
        <w:spacing w:line="360" w:lineRule="auto"/>
        <w:ind w:left="1440"/>
        <w:rPr>
          <w:rtl/>
        </w:rPr>
      </w:pPr>
      <w:r>
        <w:rPr>
          <w:rFonts w:hint="cs"/>
          <w:rtl/>
        </w:rPr>
        <w:tab/>
        <w:t xml:space="preserve">הנאשם ידאג להמציא למזכירות ביהמ"ש אישור על שחרורו מן המאסר. </w:t>
      </w:r>
      <w:bookmarkEnd w:id="7"/>
    </w:p>
    <w:p w14:paraId="6DDB8E6C" w14:textId="77777777" w:rsidR="009013BE" w:rsidRPr="009013BE" w:rsidRDefault="009013BE" w:rsidP="009013BE">
      <w:pPr>
        <w:ind w:left="1440" w:hanging="873"/>
        <w:jc w:val="both"/>
        <w:rPr>
          <w:rFonts w:ascii="Calibri" w:hAnsi="Calibri"/>
          <w:rtl/>
        </w:rPr>
      </w:pPr>
    </w:p>
    <w:p w14:paraId="1AF3B003" w14:textId="77777777" w:rsidR="009013BE" w:rsidRDefault="009013BE" w:rsidP="009013BE">
      <w:pPr>
        <w:ind w:left="1440" w:hanging="873"/>
        <w:jc w:val="both"/>
        <w:rPr>
          <w:rFonts w:ascii="David" w:eastAsia="David" w:hAnsi="David"/>
          <w:sz w:val="22"/>
          <w:rtl/>
        </w:rPr>
      </w:pPr>
      <w:r w:rsidRPr="009013BE">
        <w:rPr>
          <w:rFonts w:ascii="Calibri" w:hAnsi="Calibri" w:hint="cs"/>
          <w:rtl/>
        </w:rPr>
        <w:t>ח.</w:t>
      </w:r>
      <w:r w:rsidRPr="009013BE">
        <w:rPr>
          <w:rFonts w:ascii="Calibri" w:hAnsi="Calibri" w:hint="cs"/>
          <w:rtl/>
        </w:rPr>
        <w:tab/>
      </w:r>
      <w:r>
        <w:rPr>
          <w:rFonts w:hint="cs"/>
          <w:sz w:val="22"/>
          <w:rtl/>
        </w:rPr>
        <w:t>פסילה מלהחזיק ומלקבל רישיון נהיגה לתקופה של 6 חודשים וזאת על תנאי למשך 3 שנים שהנאשם לא יעבור עבירה בניגוד ל</w:t>
      </w:r>
      <w:hyperlink r:id="rId36" w:history="1">
        <w:r w:rsidR="006D39F3" w:rsidRPr="006D39F3">
          <w:rPr>
            <w:rStyle w:val="Hyperlink"/>
            <w:rFonts w:cs="David" w:hint="eastAsia"/>
            <w:sz w:val="22"/>
            <w:rtl/>
          </w:rPr>
          <w:t>פקודת</w:t>
        </w:r>
        <w:r w:rsidR="006D39F3" w:rsidRPr="006D39F3">
          <w:rPr>
            <w:rStyle w:val="Hyperlink"/>
            <w:rFonts w:cs="David"/>
            <w:sz w:val="22"/>
            <w:rtl/>
          </w:rPr>
          <w:t xml:space="preserve"> הסמים המסוכנים</w:t>
        </w:r>
      </w:hyperlink>
      <w:r>
        <w:rPr>
          <w:rFonts w:hint="cs"/>
          <w:sz w:val="22"/>
          <w:rtl/>
        </w:rPr>
        <w:t xml:space="preserve"> [נוסח חדש] התשל"ג 1973.</w:t>
      </w:r>
    </w:p>
    <w:p w14:paraId="11B4106D" w14:textId="77777777" w:rsidR="009013BE" w:rsidRPr="009013BE" w:rsidRDefault="009013BE" w:rsidP="009013BE">
      <w:pPr>
        <w:spacing w:after="200" w:line="288" w:lineRule="auto"/>
        <w:jc w:val="both"/>
        <w:rPr>
          <w:rFonts w:ascii="Calibri" w:hAnsi="Calibri"/>
          <w:highlight w:val="yellow"/>
        </w:rPr>
      </w:pPr>
    </w:p>
    <w:p w14:paraId="43E6D4F4" w14:textId="77777777" w:rsidR="009013BE" w:rsidRPr="009013BE" w:rsidRDefault="006D39F3" w:rsidP="009013BE">
      <w:pPr>
        <w:spacing w:after="200" w:line="288" w:lineRule="auto"/>
        <w:ind w:left="567"/>
        <w:jc w:val="both"/>
        <w:rPr>
          <w:rFonts w:ascii="Calibri" w:hAnsi="Calibri"/>
          <w:b/>
          <w:bCs/>
        </w:rPr>
      </w:pPr>
      <w:r w:rsidRPr="006D39F3">
        <w:rPr>
          <w:rFonts w:ascii="Calibri" w:hAnsi="Calibri"/>
          <w:b/>
          <w:bCs/>
          <w:color w:val="FFFFFF"/>
          <w:sz w:val="2"/>
          <w:szCs w:val="2"/>
          <w:rtl/>
        </w:rPr>
        <w:t>5129371</w:t>
      </w:r>
      <w:r w:rsidR="009013BE" w:rsidRPr="009013BE">
        <w:rPr>
          <w:rFonts w:ascii="Calibri" w:hAnsi="Calibri" w:hint="cs"/>
          <w:b/>
          <w:bCs/>
          <w:rtl/>
        </w:rPr>
        <w:t>הסמים יושמדו, בכפוף לחלוף תקופת הערעור.</w:t>
      </w:r>
    </w:p>
    <w:p w14:paraId="098466B1" w14:textId="77777777" w:rsidR="009013BE" w:rsidRPr="009013BE" w:rsidRDefault="006D39F3" w:rsidP="009013BE">
      <w:pPr>
        <w:spacing w:after="200" w:line="288" w:lineRule="auto"/>
        <w:ind w:left="567"/>
        <w:jc w:val="both"/>
        <w:rPr>
          <w:rFonts w:ascii="Calibri" w:hAnsi="Calibri"/>
          <w:b/>
          <w:bCs/>
          <w:rtl/>
        </w:rPr>
      </w:pPr>
      <w:r w:rsidRPr="006D39F3">
        <w:rPr>
          <w:rFonts w:ascii="Calibri" w:hAnsi="Calibri"/>
          <w:b/>
          <w:bCs/>
          <w:color w:val="FFFFFF"/>
          <w:sz w:val="2"/>
          <w:szCs w:val="2"/>
          <w:rtl/>
        </w:rPr>
        <w:t>54678313</w:t>
      </w:r>
      <w:r w:rsidR="009013BE" w:rsidRPr="009013BE">
        <w:rPr>
          <w:rFonts w:ascii="Calibri" w:hAnsi="Calibri" w:hint="cs"/>
          <w:b/>
          <w:bCs/>
          <w:rtl/>
        </w:rPr>
        <w:t>זכות ערעור תוך 45 יום לביהמ"ש המחוזי</w:t>
      </w:r>
    </w:p>
    <w:p w14:paraId="376443CE" w14:textId="77777777" w:rsidR="009013BE" w:rsidRDefault="006D39F3" w:rsidP="009013BE">
      <w:pPr>
        <w:jc w:val="center"/>
      </w:pPr>
      <w:r>
        <w:rPr>
          <w:b/>
          <w:bCs/>
          <w:rtl/>
        </w:rPr>
        <w:t xml:space="preserve">ניתנה והודעה היום י"ט שבט תשע"ח, 04/02/2018 במעמד הנוכחים. </w:t>
      </w:r>
      <w:r w:rsidR="009013BE">
        <w:rPr>
          <w:rFonts w:hint="cs"/>
          <w:rtl/>
        </w:rPr>
        <w:t xml:space="preserve">   </w:t>
      </w:r>
      <w:r w:rsidR="009013BE">
        <w:rPr>
          <w:rFonts w:hint="cs"/>
          <w:rtl/>
        </w:rPr>
        <w:tab/>
      </w:r>
      <w:r w:rsidR="009013BE">
        <w:rPr>
          <w:rFonts w:hint="cs"/>
          <w:rtl/>
        </w:rPr>
        <w:tab/>
      </w:r>
      <w:r w:rsidR="009013BE">
        <w:rPr>
          <w:rFonts w:hint="cs"/>
          <w:rtl/>
        </w:rPr>
        <w:tab/>
      </w:r>
      <w:r w:rsidR="009013BE">
        <w:rPr>
          <w:rFonts w:hint="cs"/>
          <w:rtl/>
        </w:rPr>
        <w:tab/>
      </w:r>
      <w:r w:rsidR="009013BE">
        <w:rPr>
          <w:rFonts w:hint="cs"/>
          <w:rtl/>
        </w:rPr>
        <w:tab/>
      </w:r>
      <w:r w:rsidR="009013BE">
        <w:rPr>
          <w:rtl/>
        </w:rPr>
        <w:t xml:space="preserve">     </w:t>
      </w:r>
    </w:p>
    <w:p w14:paraId="1C8A15D2" w14:textId="77777777" w:rsidR="009013BE" w:rsidRDefault="009013BE" w:rsidP="009013BE">
      <w:pPr>
        <w:jc w:val="center"/>
        <w:rPr>
          <w:rFonts w:ascii="Arial" w:hAnsi="Arial" w:cs="FrankRuehl"/>
          <w:sz w:val="28"/>
          <w:szCs w:val="28"/>
          <w:rtl/>
        </w:rPr>
      </w:pPr>
    </w:p>
    <w:p w14:paraId="7873E6E9" w14:textId="77777777" w:rsidR="009013BE" w:rsidRDefault="009013BE" w:rsidP="009013BE">
      <w:pPr>
        <w:rPr>
          <w:rFonts w:cs="FrankRuehl"/>
          <w:sz w:val="28"/>
          <w:szCs w:val="28"/>
          <w:rtl/>
        </w:rPr>
      </w:pPr>
    </w:p>
    <w:p w14:paraId="116E7FBE" w14:textId="77777777" w:rsidR="009013BE" w:rsidRDefault="009013BE" w:rsidP="009013BE">
      <w:pPr>
        <w:pStyle w:val="a3"/>
        <w:jc w:val="center"/>
        <w:rPr>
          <w:rtl/>
        </w:rPr>
      </w:pPr>
    </w:p>
    <w:p w14:paraId="572762AE" w14:textId="77777777" w:rsidR="001C7DC4" w:rsidRPr="006D39F3" w:rsidRDefault="001C7DC4" w:rsidP="006D39F3">
      <w:pPr>
        <w:keepNext/>
        <w:rPr>
          <w:rFonts w:ascii="David" w:hAnsi="David"/>
          <w:color w:val="000000"/>
          <w:sz w:val="22"/>
          <w:szCs w:val="22"/>
          <w:rtl/>
        </w:rPr>
      </w:pPr>
    </w:p>
    <w:p w14:paraId="1D019211" w14:textId="77777777" w:rsidR="006D39F3" w:rsidRPr="006D39F3" w:rsidRDefault="006D39F3" w:rsidP="006D39F3">
      <w:pPr>
        <w:keepNext/>
        <w:rPr>
          <w:rFonts w:ascii="David" w:hAnsi="David"/>
          <w:color w:val="000000"/>
          <w:sz w:val="22"/>
          <w:szCs w:val="22"/>
          <w:rtl/>
        </w:rPr>
      </w:pPr>
      <w:r w:rsidRPr="006D39F3">
        <w:rPr>
          <w:rFonts w:ascii="David" w:hAnsi="David"/>
          <w:color w:val="000000"/>
          <w:sz w:val="22"/>
          <w:szCs w:val="22"/>
          <w:rtl/>
        </w:rPr>
        <w:t>נועה חקלאי 54678313</w:t>
      </w:r>
    </w:p>
    <w:p w14:paraId="604D5C62" w14:textId="77777777" w:rsidR="006D39F3" w:rsidRDefault="006D39F3" w:rsidP="006D39F3">
      <w:r w:rsidRPr="006D39F3">
        <w:rPr>
          <w:color w:val="000000"/>
          <w:rtl/>
        </w:rPr>
        <w:t>נוסח מסמך זה כפוף לשינויי ניסוח ועריכה</w:t>
      </w:r>
    </w:p>
    <w:p w14:paraId="12DDFD03" w14:textId="77777777" w:rsidR="006D39F3" w:rsidRDefault="006D39F3" w:rsidP="006D39F3">
      <w:pPr>
        <w:rPr>
          <w:rtl/>
        </w:rPr>
      </w:pPr>
    </w:p>
    <w:p w14:paraId="694014A9" w14:textId="77777777" w:rsidR="006D39F3" w:rsidRDefault="006D39F3" w:rsidP="006D39F3">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A65768D" w14:textId="77777777" w:rsidR="006D39F3" w:rsidRPr="006D39F3" w:rsidRDefault="006D39F3" w:rsidP="006D39F3">
      <w:pPr>
        <w:jc w:val="center"/>
        <w:rPr>
          <w:color w:val="0000FF"/>
          <w:u w:val="single"/>
        </w:rPr>
      </w:pPr>
    </w:p>
    <w:sectPr w:rsidR="006D39F3" w:rsidRPr="006D39F3" w:rsidSect="006D39F3">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B3F1F" w14:textId="77777777" w:rsidR="00082735" w:rsidRDefault="00082735" w:rsidP="00A93128">
      <w:r>
        <w:separator/>
      </w:r>
    </w:p>
  </w:endnote>
  <w:endnote w:type="continuationSeparator" w:id="0">
    <w:p w14:paraId="4663BD26" w14:textId="77777777" w:rsidR="00082735" w:rsidRDefault="00082735" w:rsidP="00A9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64810" w14:textId="77777777" w:rsidR="006D39F3" w:rsidRDefault="006D39F3" w:rsidP="006D39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775884" w14:textId="77777777" w:rsidR="00091805" w:rsidRPr="006D39F3" w:rsidRDefault="006D39F3" w:rsidP="006D39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AC16" w14:textId="77777777" w:rsidR="006D39F3" w:rsidRDefault="006D39F3" w:rsidP="006D39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2B7C">
      <w:rPr>
        <w:rFonts w:ascii="FrankRuehl" w:hAnsi="FrankRuehl" w:cs="FrankRuehl"/>
        <w:noProof/>
        <w:rtl/>
      </w:rPr>
      <w:t>1</w:t>
    </w:r>
    <w:r>
      <w:rPr>
        <w:rFonts w:ascii="FrankRuehl" w:hAnsi="FrankRuehl" w:cs="FrankRuehl"/>
        <w:rtl/>
      </w:rPr>
      <w:fldChar w:fldCharType="end"/>
    </w:r>
  </w:p>
  <w:p w14:paraId="47EA70E7" w14:textId="77777777" w:rsidR="00091805" w:rsidRPr="006D39F3" w:rsidRDefault="006D39F3" w:rsidP="006D39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173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F1F38" w14:textId="77777777" w:rsidR="00082735" w:rsidRDefault="00082735" w:rsidP="00A93128">
      <w:r>
        <w:separator/>
      </w:r>
    </w:p>
  </w:footnote>
  <w:footnote w:type="continuationSeparator" w:id="0">
    <w:p w14:paraId="79D0AB7E" w14:textId="77777777" w:rsidR="00082735" w:rsidRDefault="00082735" w:rsidP="00A9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58B9B" w14:textId="77777777" w:rsidR="006D39F3" w:rsidRPr="006D39F3" w:rsidRDefault="006D39F3" w:rsidP="006D39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49156-08-15</w:t>
    </w:r>
    <w:r>
      <w:rPr>
        <w:rFonts w:ascii="David" w:hAnsi="David"/>
        <w:color w:val="000000"/>
        <w:sz w:val="22"/>
        <w:szCs w:val="22"/>
        <w:rtl/>
      </w:rPr>
      <w:tab/>
      <w:t xml:space="preserve"> מדינת ישראל נ' גיהד זיתון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C0FB" w14:textId="77777777" w:rsidR="006D39F3" w:rsidRPr="006D39F3" w:rsidRDefault="006D39F3" w:rsidP="006D39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49156-08-15</w:t>
    </w:r>
    <w:r>
      <w:rPr>
        <w:rFonts w:ascii="David" w:hAnsi="David"/>
        <w:color w:val="000000"/>
        <w:sz w:val="22"/>
        <w:szCs w:val="22"/>
        <w:rtl/>
      </w:rPr>
      <w:tab/>
      <w:t xml:space="preserve"> מדינת ישראל נ' גיהד זיתון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4658FC2A"/>
    <w:lvl w:ilvl="0" w:tplc="9490D2A8">
      <w:start w:val="1"/>
      <w:numFmt w:val="decimal"/>
      <w:lvlText w:val="%1."/>
      <w:lvlJc w:val="left"/>
      <w:pPr>
        <w:ind w:left="36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9654392"/>
    <w:multiLevelType w:val="hybridMultilevel"/>
    <w:tmpl w:val="EAFEA3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0665480"/>
    <w:multiLevelType w:val="hybridMultilevel"/>
    <w:tmpl w:val="F6C8F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36"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4843B5"/>
    <w:multiLevelType w:val="hybridMultilevel"/>
    <w:tmpl w:val="8726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397168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5364452">
    <w:abstractNumId w:val="3"/>
  </w:num>
  <w:num w:numId="3" w16cid:durableId="1564482541">
    <w:abstractNumId w:val="2"/>
  </w:num>
  <w:num w:numId="4" w16cid:durableId="245192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13BE"/>
    <w:rsid w:val="00022B7C"/>
    <w:rsid w:val="000803D3"/>
    <w:rsid w:val="00082735"/>
    <w:rsid w:val="00091805"/>
    <w:rsid w:val="001C7DC4"/>
    <w:rsid w:val="006D39F3"/>
    <w:rsid w:val="009013BE"/>
    <w:rsid w:val="00A93128"/>
    <w:rsid w:val="00F77E8A"/>
    <w:rsid w:val="00FE6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59894B"/>
  <w15:chartTrackingRefBased/>
  <w15:docId w15:val="{52E565B0-3907-4A99-A6AF-AA6B233D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13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13BE"/>
    <w:pPr>
      <w:tabs>
        <w:tab w:val="center" w:pos="4153"/>
        <w:tab w:val="right" w:pos="8306"/>
      </w:tabs>
    </w:pPr>
  </w:style>
  <w:style w:type="character" w:customStyle="1" w:styleId="a4">
    <w:name w:val="כותרת עליונה תו"/>
    <w:link w:val="a3"/>
    <w:rsid w:val="009013BE"/>
    <w:rPr>
      <w:rFonts w:ascii="Times New Roman" w:eastAsia="Times New Roman" w:hAnsi="Times New Roman" w:cs="David"/>
      <w:sz w:val="24"/>
      <w:szCs w:val="24"/>
    </w:rPr>
  </w:style>
  <w:style w:type="paragraph" w:styleId="a5">
    <w:name w:val="footer"/>
    <w:basedOn w:val="a"/>
    <w:link w:val="a6"/>
    <w:rsid w:val="009013BE"/>
    <w:pPr>
      <w:tabs>
        <w:tab w:val="center" w:pos="4153"/>
        <w:tab w:val="right" w:pos="8306"/>
      </w:tabs>
    </w:pPr>
  </w:style>
  <w:style w:type="character" w:customStyle="1" w:styleId="a6">
    <w:name w:val="כותרת תחתונה תו"/>
    <w:link w:val="a5"/>
    <w:rsid w:val="009013BE"/>
    <w:rPr>
      <w:rFonts w:ascii="Times New Roman" w:eastAsia="Times New Roman" w:hAnsi="Times New Roman" w:cs="David"/>
      <w:sz w:val="24"/>
      <w:szCs w:val="24"/>
    </w:rPr>
  </w:style>
  <w:style w:type="table" w:styleId="a7">
    <w:name w:val="Table Grid"/>
    <w:basedOn w:val="a1"/>
    <w:rsid w:val="009013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13BE"/>
  </w:style>
  <w:style w:type="character" w:styleId="Hyperlink">
    <w:name w:val="Hyperlink"/>
    <w:rsid w:val="009013BE"/>
    <w:rPr>
      <w:rFonts w:ascii="Times New Roman" w:hAnsi="Times New Roman" w:cs="Times New Roman" w:hint="default"/>
      <w:color w:val="0000FF"/>
      <w:u w:val="single"/>
    </w:rPr>
  </w:style>
  <w:style w:type="paragraph" w:customStyle="1" w:styleId="1">
    <w:name w:val="היסט_1"/>
    <w:basedOn w:val="a"/>
    <w:rsid w:val="009013BE"/>
    <w:pPr>
      <w:widowControl w:val="0"/>
      <w:tabs>
        <w:tab w:val="left" w:pos="567"/>
      </w:tabs>
      <w:ind w:left="567" w:hanging="567"/>
      <w:jc w:val="both"/>
    </w:pPr>
    <w:rPr>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0178093" TargetMode="External"/><Relationship Id="rId26" Type="http://schemas.openxmlformats.org/officeDocument/2006/relationships/hyperlink" Target="http://www.nevo.co.il/case/11269647" TargetMode="External"/><Relationship Id="rId39" Type="http://schemas.openxmlformats.org/officeDocument/2006/relationships/header" Target="header2.xml"/><Relationship Id="rId21" Type="http://schemas.openxmlformats.org/officeDocument/2006/relationships/hyperlink" Target="http://www.nevo.co.il/case/11279208"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2217955" TargetMode="External"/><Relationship Id="rId20" Type="http://schemas.openxmlformats.org/officeDocument/2006/relationships/hyperlink" Target="https://www.nevo.co.il/psika_html/elyon/15003220-h01.htm" TargetMode="External"/><Relationship Id="rId29" Type="http://schemas.openxmlformats.org/officeDocument/2006/relationships/hyperlink" Target="http://www.nevo.co.il/law/70301/58"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7664131" TargetMode="External"/><Relationship Id="rId32" Type="http://schemas.openxmlformats.org/officeDocument/2006/relationships/hyperlink" Target="http://www.nevo.co.il/case/570134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s://www.nevo.co.il/psika_html/mechozi/ME-16-02-16273-193.htm" TargetMode="External"/><Relationship Id="rId28" Type="http://schemas.openxmlformats.org/officeDocument/2006/relationships/hyperlink" Target="http://www.nevo.co.il/case/5608601"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052568" TargetMode="External"/><Relationship Id="rId31" Type="http://schemas.openxmlformats.org/officeDocument/2006/relationships/hyperlink" Target="http://www.nevo.co.il/case/592035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200218" TargetMode="External"/><Relationship Id="rId27" Type="http://schemas.openxmlformats.org/officeDocument/2006/relationships/hyperlink" Target="http://www.nevo.co.il/case/1700094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case/20956295" TargetMode="External"/><Relationship Id="rId25" Type="http://schemas.openxmlformats.org/officeDocument/2006/relationships/hyperlink" Target="http://www.nevo.co.il/law/70301/40d" TargetMode="External"/><Relationship Id="rId33" Type="http://schemas.openxmlformats.org/officeDocument/2006/relationships/hyperlink" Target="http://www.nevo.co.il/law/421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3102</Words>
  <Characters>15514</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18579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3342454</vt:i4>
      </vt:variant>
      <vt:variant>
        <vt:i4>75</vt:i4>
      </vt:variant>
      <vt:variant>
        <vt:i4>0</vt:i4>
      </vt:variant>
      <vt:variant>
        <vt:i4>5</vt:i4>
      </vt:variant>
      <vt:variant>
        <vt:lpwstr>http://www.nevo.co.il/case/5701345</vt:lpwstr>
      </vt:variant>
      <vt:variant>
        <vt:lpwstr/>
      </vt:variant>
      <vt:variant>
        <vt:i4>3342456</vt:i4>
      </vt:variant>
      <vt:variant>
        <vt:i4>72</vt:i4>
      </vt:variant>
      <vt:variant>
        <vt:i4>0</vt:i4>
      </vt:variant>
      <vt:variant>
        <vt:i4>5</vt:i4>
      </vt:variant>
      <vt:variant>
        <vt:lpwstr>http://www.nevo.co.il/case/5920357</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7143520</vt:i4>
      </vt:variant>
      <vt:variant>
        <vt:i4>66</vt:i4>
      </vt:variant>
      <vt:variant>
        <vt:i4>0</vt:i4>
      </vt:variant>
      <vt:variant>
        <vt:i4>5</vt:i4>
      </vt:variant>
      <vt:variant>
        <vt:lpwstr>http://www.nevo.co.il/law/70301/58</vt:lpwstr>
      </vt:variant>
      <vt:variant>
        <vt:lpwstr/>
      </vt:variant>
      <vt:variant>
        <vt:i4>3276922</vt:i4>
      </vt:variant>
      <vt:variant>
        <vt:i4>63</vt:i4>
      </vt:variant>
      <vt:variant>
        <vt:i4>0</vt:i4>
      </vt:variant>
      <vt:variant>
        <vt:i4>5</vt:i4>
      </vt:variant>
      <vt:variant>
        <vt:lpwstr>http://www.nevo.co.il/case/5608601</vt:lpwstr>
      </vt:variant>
      <vt:variant>
        <vt:lpwstr/>
      </vt:variant>
      <vt:variant>
        <vt:i4>3473530</vt:i4>
      </vt:variant>
      <vt:variant>
        <vt:i4>60</vt:i4>
      </vt:variant>
      <vt:variant>
        <vt:i4>0</vt:i4>
      </vt:variant>
      <vt:variant>
        <vt:i4>5</vt:i4>
      </vt:variant>
      <vt:variant>
        <vt:lpwstr>http://www.nevo.co.il/case/17000947</vt:lpwstr>
      </vt:variant>
      <vt:variant>
        <vt:lpwstr/>
      </vt:variant>
      <vt:variant>
        <vt:i4>4063349</vt:i4>
      </vt:variant>
      <vt:variant>
        <vt:i4>57</vt:i4>
      </vt:variant>
      <vt:variant>
        <vt:i4>0</vt:i4>
      </vt:variant>
      <vt:variant>
        <vt:i4>5</vt:i4>
      </vt:variant>
      <vt:variant>
        <vt:lpwstr>http://www.nevo.co.il/case/11269647</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3211381</vt:i4>
      </vt:variant>
      <vt:variant>
        <vt:i4>51</vt:i4>
      </vt:variant>
      <vt:variant>
        <vt:i4>0</vt:i4>
      </vt:variant>
      <vt:variant>
        <vt:i4>5</vt:i4>
      </vt:variant>
      <vt:variant>
        <vt:lpwstr>http://www.nevo.co.il/case/7664131</vt:lpwstr>
      </vt:variant>
      <vt:variant>
        <vt:lpwstr/>
      </vt:variant>
      <vt:variant>
        <vt:i4>1376300</vt:i4>
      </vt:variant>
      <vt:variant>
        <vt:i4>48</vt:i4>
      </vt:variant>
      <vt:variant>
        <vt:i4>0</vt:i4>
      </vt:variant>
      <vt:variant>
        <vt:i4>5</vt:i4>
      </vt:variant>
      <vt:variant>
        <vt:lpwstr>https://www.nevo.co.il/psika_html/mechozi/ME-16-02-16273-193.htm</vt:lpwstr>
      </vt:variant>
      <vt:variant>
        <vt:lpwstr/>
      </vt:variant>
      <vt:variant>
        <vt:i4>3211382</vt:i4>
      </vt:variant>
      <vt:variant>
        <vt:i4>45</vt:i4>
      </vt:variant>
      <vt:variant>
        <vt:i4>0</vt:i4>
      </vt:variant>
      <vt:variant>
        <vt:i4>5</vt:i4>
      </vt:variant>
      <vt:variant>
        <vt:lpwstr>http://www.nevo.co.il/case/20200218</vt:lpwstr>
      </vt:variant>
      <vt:variant>
        <vt:lpwstr/>
      </vt:variant>
      <vt:variant>
        <vt:i4>3801200</vt:i4>
      </vt:variant>
      <vt:variant>
        <vt:i4>42</vt:i4>
      </vt:variant>
      <vt:variant>
        <vt:i4>0</vt:i4>
      </vt:variant>
      <vt:variant>
        <vt:i4>5</vt:i4>
      </vt:variant>
      <vt:variant>
        <vt:lpwstr>http://www.nevo.co.il/case/11279208</vt:lpwstr>
      </vt:variant>
      <vt:variant>
        <vt:lpwstr/>
      </vt:variant>
      <vt:variant>
        <vt:i4>4587573</vt:i4>
      </vt:variant>
      <vt:variant>
        <vt:i4>39</vt:i4>
      </vt:variant>
      <vt:variant>
        <vt:i4>0</vt:i4>
      </vt:variant>
      <vt:variant>
        <vt:i4>5</vt:i4>
      </vt:variant>
      <vt:variant>
        <vt:lpwstr>https://www.nevo.co.il/psika_html/elyon/15003220-h01.htm</vt:lpwstr>
      </vt:variant>
      <vt:variant>
        <vt:lpwstr/>
      </vt:variant>
      <vt:variant>
        <vt:i4>3539060</vt:i4>
      </vt:variant>
      <vt:variant>
        <vt:i4>36</vt:i4>
      </vt:variant>
      <vt:variant>
        <vt:i4>0</vt:i4>
      </vt:variant>
      <vt:variant>
        <vt:i4>5</vt:i4>
      </vt:variant>
      <vt:variant>
        <vt:lpwstr>http://www.nevo.co.il/case/20052568</vt:lpwstr>
      </vt:variant>
      <vt:variant>
        <vt:lpwstr/>
      </vt:variant>
      <vt:variant>
        <vt:i4>3276915</vt:i4>
      </vt:variant>
      <vt:variant>
        <vt:i4>33</vt:i4>
      </vt:variant>
      <vt:variant>
        <vt:i4>0</vt:i4>
      </vt:variant>
      <vt:variant>
        <vt:i4>5</vt:i4>
      </vt:variant>
      <vt:variant>
        <vt:lpwstr>http://www.nevo.co.il/case/20178093</vt:lpwstr>
      </vt:variant>
      <vt:variant>
        <vt:lpwstr/>
      </vt:variant>
      <vt:variant>
        <vt:i4>3407987</vt:i4>
      </vt:variant>
      <vt:variant>
        <vt:i4>30</vt:i4>
      </vt:variant>
      <vt:variant>
        <vt:i4>0</vt:i4>
      </vt:variant>
      <vt:variant>
        <vt:i4>5</vt:i4>
      </vt:variant>
      <vt:variant>
        <vt:lpwstr>http://www.nevo.co.il/case/20956295</vt:lpwstr>
      </vt:variant>
      <vt:variant>
        <vt:lpwstr/>
      </vt:variant>
      <vt:variant>
        <vt:i4>3276926</vt:i4>
      </vt:variant>
      <vt:variant>
        <vt:i4>27</vt:i4>
      </vt:variant>
      <vt:variant>
        <vt:i4>0</vt:i4>
      </vt:variant>
      <vt:variant>
        <vt:i4>5</vt:i4>
      </vt:variant>
      <vt:variant>
        <vt:lpwstr>http://www.nevo.co.il/case/22217955</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49156</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גיהד זיתון</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20180204</vt:lpwstr>
  </property>
  <property fmtid="{D5CDD505-2E9C-101B-9397-08002B2CF9AE}" pid="13" name="TYPE_N_DATE">
    <vt:lpwstr>38020180204</vt:lpwstr>
  </property>
  <property fmtid="{D5CDD505-2E9C-101B-9397-08002B2CF9AE}" pid="14" name="CASESLISTTMP1">
    <vt:lpwstr>5698919;22217955;20956295;20178093;20052568;11279208;20200218;7664131;11269647;17000947;5608601;5920357;5701345</vt:lpwstr>
  </property>
  <property fmtid="{D5CDD505-2E9C-101B-9397-08002B2CF9AE}" pid="15" name="WORDNUMPAGES">
    <vt:lpwstr>10</vt:lpwstr>
  </property>
  <property fmtid="{D5CDD505-2E9C-101B-9397-08002B2CF9AE}" pid="16" name="TYPE_ABS_DATE">
    <vt:lpwstr>380020180204</vt:lpwstr>
  </property>
  <property fmtid="{D5CDD505-2E9C-101B-9397-08002B2CF9AE}" pid="17" name="ISABSTRACT">
    <vt:lpwstr>Y</vt:lpwstr>
  </property>
  <property fmtid="{D5CDD505-2E9C-101B-9397-08002B2CF9AE}" pid="18" name="LAWLISTTMP1">
    <vt:lpwstr>4216/007.a;007.c</vt:lpwstr>
  </property>
  <property fmtid="{D5CDD505-2E9C-101B-9397-08002B2CF9AE}" pid="19" name="LAWLISTTMP2">
    <vt:lpwstr>70301/040d;058</vt:lpwstr>
  </property>
</Properties>
</file>