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A2159" w:rsidRPr="00A76E93" w14:paraId="58D9EDC5" w14:textId="77777777" w:rsidTr="00DB408F">
        <w:trPr>
          <w:trHeight w:hRule="exact" w:val="418"/>
          <w:jc w:val="center"/>
        </w:trPr>
        <w:tc>
          <w:tcPr>
            <w:tcW w:w="8721" w:type="dxa"/>
            <w:gridSpan w:val="2"/>
          </w:tcPr>
          <w:p w14:paraId="53860E28" w14:textId="77777777" w:rsidR="007A2159" w:rsidRPr="00A76E93" w:rsidRDefault="007A2159" w:rsidP="00040D1E">
            <w:pPr>
              <w:pStyle w:val="a3"/>
              <w:jc w:val="center"/>
              <w:rPr>
                <w:rFonts w:ascii="Tahoma" w:hAnsi="Tahoma"/>
                <w:color w:val="000080"/>
                <w:sz w:val="32"/>
                <w:szCs w:val="32"/>
                <w:rtl/>
              </w:rPr>
            </w:pPr>
            <w:bookmarkStart w:id="0" w:name="LastJudge"/>
            <w:r w:rsidRPr="00A76E93">
              <w:rPr>
                <w:rFonts w:ascii="Tahoma" w:hAnsi="Tahoma"/>
                <w:b/>
                <w:bCs/>
                <w:color w:val="000080"/>
                <w:sz w:val="32"/>
                <w:szCs w:val="32"/>
                <w:rtl/>
              </w:rPr>
              <w:t>בית משפט השלום בתל אביב - יפו</w:t>
            </w:r>
          </w:p>
        </w:tc>
      </w:tr>
      <w:tr w:rsidR="007A2159" w:rsidRPr="00A76E93" w14:paraId="269399D6" w14:textId="77777777" w:rsidTr="00DB408F">
        <w:trPr>
          <w:trHeight w:val="337"/>
          <w:jc w:val="center"/>
        </w:trPr>
        <w:tc>
          <w:tcPr>
            <w:tcW w:w="5054" w:type="dxa"/>
          </w:tcPr>
          <w:p w14:paraId="3B838538" w14:textId="77777777" w:rsidR="007A2159" w:rsidRPr="00A76E93" w:rsidRDefault="007A2159" w:rsidP="00040D1E">
            <w:pPr>
              <w:rPr>
                <w:sz w:val="26"/>
                <w:szCs w:val="26"/>
                <w:rtl/>
              </w:rPr>
            </w:pPr>
            <w:r w:rsidRPr="00A76E93">
              <w:rPr>
                <w:sz w:val="26"/>
                <w:szCs w:val="26"/>
                <w:rtl/>
              </w:rPr>
              <w:t>ת"פ</w:t>
            </w:r>
            <w:r w:rsidRPr="00A76E93">
              <w:rPr>
                <w:rFonts w:hint="cs"/>
                <w:sz w:val="26"/>
                <w:szCs w:val="26"/>
                <w:rtl/>
              </w:rPr>
              <w:t xml:space="preserve"> </w:t>
            </w:r>
            <w:r w:rsidRPr="00A76E93">
              <w:rPr>
                <w:sz w:val="26"/>
                <w:szCs w:val="26"/>
                <w:rtl/>
              </w:rPr>
              <w:t>17610-09-15</w:t>
            </w:r>
            <w:r w:rsidRPr="00A76E93">
              <w:rPr>
                <w:rFonts w:hint="cs"/>
                <w:sz w:val="26"/>
                <w:szCs w:val="26"/>
                <w:rtl/>
              </w:rPr>
              <w:t xml:space="preserve"> </w:t>
            </w:r>
            <w:r w:rsidRPr="00A76E93">
              <w:rPr>
                <w:sz w:val="26"/>
                <w:szCs w:val="26"/>
                <w:rtl/>
              </w:rPr>
              <w:t>מדינת ישראל נ' אבו עביד</w:t>
            </w:r>
          </w:p>
        </w:tc>
        <w:tc>
          <w:tcPr>
            <w:tcW w:w="3667" w:type="dxa"/>
          </w:tcPr>
          <w:p w14:paraId="3F9A8957" w14:textId="77777777" w:rsidR="007A2159" w:rsidRPr="00A76E93" w:rsidRDefault="007A2159" w:rsidP="00040D1E">
            <w:pPr>
              <w:pStyle w:val="a3"/>
              <w:jc w:val="right"/>
              <w:rPr>
                <w:rFonts w:cs="FrankRuehl"/>
                <w:sz w:val="28"/>
                <w:szCs w:val="28"/>
                <w:rtl/>
              </w:rPr>
            </w:pPr>
          </w:p>
        </w:tc>
      </w:tr>
    </w:tbl>
    <w:p w14:paraId="0781684F" w14:textId="77777777" w:rsidR="007A2159" w:rsidRPr="00A76E93" w:rsidRDefault="007A2159" w:rsidP="007A2159">
      <w:pPr>
        <w:pStyle w:val="a3"/>
        <w:rPr>
          <w:rtl/>
        </w:rPr>
      </w:pPr>
      <w:r w:rsidRPr="00A76E93">
        <w:rPr>
          <w:rFonts w:hint="cs"/>
          <w:rtl/>
        </w:rPr>
        <w:t xml:space="preserve"> </w:t>
      </w:r>
    </w:p>
    <w:p w14:paraId="0A8B4FB5" w14:textId="77777777" w:rsidR="007A2159" w:rsidRPr="00A76E93" w:rsidRDefault="007A2159" w:rsidP="007A215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4"/>
        <w:gridCol w:w="3375"/>
      </w:tblGrid>
      <w:tr w:rsidR="007A2159" w:rsidRPr="00A76E93" w14:paraId="0386BD57" w14:textId="77777777" w:rsidTr="007A2159">
        <w:trPr>
          <w:trHeight w:val="295"/>
          <w:jc w:val="center"/>
        </w:trPr>
        <w:tc>
          <w:tcPr>
            <w:tcW w:w="8820" w:type="dxa"/>
            <w:gridSpan w:val="3"/>
            <w:tcBorders>
              <w:top w:val="nil"/>
              <w:left w:val="nil"/>
              <w:bottom w:val="nil"/>
              <w:right w:val="nil"/>
            </w:tcBorders>
            <w:shd w:val="clear" w:color="auto" w:fill="auto"/>
          </w:tcPr>
          <w:p w14:paraId="1D7D7E4A" w14:textId="77777777" w:rsidR="007A2159" w:rsidRPr="00A76E93" w:rsidRDefault="007A2159" w:rsidP="007A2159">
            <w:pPr>
              <w:jc w:val="both"/>
              <w:rPr>
                <w:rFonts w:ascii="Arial" w:hAnsi="Arial"/>
                <w:b/>
                <w:bCs/>
                <w:sz w:val="26"/>
                <w:szCs w:val="26"/>
                <w:rtl/>
              </w:rPr>
            </w:pPr>
            <w:r w:rsidRPr="00A76E93">
              <w:rPr>
                <w:rFonts w:ascii="Arial" w:hAnsi="Arial" w:hint="cs"/>
                <w:b/>
                <w:bCs/>
                <w:sz w:val="26"/>
                <w:szCs w:val="26"/>
                <w:rtl/>
              </w:rPr>
              <w:t>ל</w:t>
            </w:r>
            <w:r w:rsidRPr="00A76E93">
              <w:rPr>
                <w:rFonts w:ascii="Arial" w:hAnsi="Arial"/>
                <w:b/>
                <w:bCs/>
                <w:sz w:val="26"/>
                <w:szCs w:val="26"/>
                <w:rtl/>
              </w:rPr>
              <w:t xml:space="preserve">פני </w:t>
            </w:r>
            <w:r w:rsidRPr="00A76E93">
              <w:rPr>
                <w:rFonts w:ascii="Arial" w:hAnsi="Arial" w:hint="cs"/>
                <w:b/>
                <w:bCs/>
                <w:sz w:val="26"/>
                <w:szCs w:val="26"/>
                <w:rtl/>
              </w:rPr>
              <w:t>כבוד ה</w:t>
            </w:r>
            <w:r w:rsidRPr="00A76E93">
              <w:rPr>
                <w:rFonts w:ascii="Arial" w:hAnsi="Arial"/>
                <w:b/>
                <w:bCs/>
                <w:sz w:val="26"/>
                <w:szCs w:val="26"/>
                <w:rtl/>
              </w:rPr>
              <w:t>שופט</w:t>
            </w:r>
            <w:r w:rsidRPr="00A76E93">
              <w:rPr>
                <w:rFonts w:ascii="Arial" w:hAnsi="Arial" w:hint="cs"/>
                <w:b/>
                <w:bCs/>
                <w:sz w:val="26"/>
                <w:szCs w:val="26"/>
                <w:rtl/>
              </w:rPr>
              <w:t xml:space="preserve">  </w:t>
            </w:r>
            <w:r w:rsidRPr="00A76E93">
              <w:rPr>
                <w:rFonts w:ascii="Arial" w:hAnsi="Arial"/>
                <w:b/>
                <w:bCs/>
                <w:sz w:val="26"/>
                <w:szCs w:val="26"/>
                <w:rtl/>
              </w:rPr>
              <w:t>עידו דרויאן-גמליאל</w:t>
            </w:r>
          </w:p>
          <w:p w14:paraId="7262A4D0" w14:textId="77777777" w:rsidR="007A2159" w:rsidRPr="00A76E93" w:rsidRDefault="007A2159" w:rsidP="007A2159">
            <w:pPr>
              <w:jc w:val="both"/>
              <w:rPr>
                <w:rFonts w:ascii="Arial" w:hAnsi="Arial"/>
                <w:sz w:val="26"/>
                <w:szCs w:val="26"/>
                <w:rtl/>
              </w:rPr>
            </w:pPr>
          </w:p>
          <w:p w14:paraId="4D59A7CA" w14:textId="77777777" w:rsidR="007A2159" w:rsidRPr="00A76E93" w:rsidRDefault="007A2159" w:rsidP="007A2159">
            <w:pPr>
              <w:jc w:val="both"/>
              <w:rPr>
                <w:rFonts w:ascii="Arial" w:hAnsi="Arial"/>
                <w:sz w:val="26"/>
                <w:szCs w:val="26"/>
              </w:rPr>
            </w:pPr>
          </w:p>
        </w:tc>
      </w:tr>
      <w:tr w:rsidR="007A2159" w:rsidRPr="00A76E93" w14:paraId="64B013DD" w14:textId="77777777" w:rsidTr="007A2159">
        <w:trPr>
          <w:trHeight w:val="355"/>
          <w:jc w:val="center"/>
        </w:trPr>
        <w:tc>
          <w:tcPr>
            <w:tcW w:w="885" w:type="dxa"/>
            <w:tcBorders>
              <w:top w:val="nil"/>
              <w:left w:val="nil"/>
              <w:bottom w:val="nil"/>
              <w:right w:val="nil"/>
            </w:tcBorders>
            <w:shd w:val="clear" w:color="auto" w:fill="auto"/>
          </w:tcPr>
          <w:p w14:paraId="631A549F" w14:textId="77777777" w:rsidR="007A2159" w:rsidRPr="00A76E93" w:rsidRDefault="007A2159" w:rsidP="007A2159">
            <w:pPr>
              <w:jc w:val="both"/>
              <w:rPr>
                <w:rFonts w:ascii="Arial" w:hAnsi="Arial"/>
                <w:b/>
                <w:bCs/>
                <w:sz w:val="26"/>
                <w:szCs w:val="26"/>
              </w:rPr>
            </w:pPr>
            <w:bookmarkStart w:id="1" w:name="FirstAppellant"/>
            <w:bookmarkStart w:id="2" w:name="FirstLawyer"/>
            <w:r w:rsidRPr="00A76E93">
              <w:rPr>
                <w:rFonts w:ascii="Arial" w:hAnsi="Arial" w:hint="cs"/>
                <w:b/>
                <w:bCs/>
                <w:sz w:val="26"/>
                <w:szCs w:val="26"/>
                <w:rtl/>
              </w:rPr>
              <w:t>ה</w:t>
            </w:r>
            <w:r w:rsidRPr="00A76E93">
              <w:rPr>
                <w:rFonts w:ascii="Arial" w:hAnsi="Arial"/>
                <w:b/>
                <w:bCs/>
                <w:sz w:val="26"/>
                <w:szCs w:val="26"/>
                <w:rtl/>
              </w:rPr>
              <w:t>מאשימה</w:t>
            </w:r>
          </w:p>
        </w:tc>
        <w:tc>
          <w:tcPr>
            <w:tcW w:w="4384" w:type="dxa"/>
            <w:tcBorders>
              <w:top w:val="nil"/>
              <w:left w:val="nil"/>
              <w:bottom w:val="nil"/>
              <w:right w:val="nil"/>
            </w:tcBorders>
            <w:shd w:val="clear" w:color="auto" w:fill="auto"/>
          </w:tcPr>
          <w:p w14:paraId="042D4370" w14:textId="77777777" w:rsidR="007A2159" w:rsidRPr="00A76E93" w:rsidRDefault="007A2159" w:rsidP="00040D1E">
            <w:pPr>
              <w:rPr>
                <w:b/>
                <w:bCs/>
                <w:sz w:val="26"/>
                <w:szCs w:val="26"/>
                <w:rtl/>
              </w:rPr>
            </w:pPr>
            <w:r w:rsidRPr="00A76E93">
              <w:rPr>
                <w:rFonts w:ascii="Arial" w:hAnsi="Arial"/>
                <w:b/>
                <w:bCs/>
                <w:sz w:val="26"/>
                <w:szCs w:val="26"/>
                <w:rtl/>
              </w:rPr>
              <w:t>מדינת ישראל</w:t>
            </w:r>
          </w:p>
          <w:p w14:paraId="5780D3D6" w14:textId="77777777" w:rsidR="007A2159" w:rsidRPr="00A76E93" w:rsidRDefault="007A2159" w:rsidP="00040D1E">
            <w:pPr>
              <w:rPr>
                <w:sz w:val="26"/>
                <w:szCs w:val="26"/>
              </w:rPr>
            </w:pPr>
            <w:r w:rsidRPr="00A76E93">
              <w:rPr>
                <w:rFonts w:hint="cs"/>
                <w:sz w:val="26"/>
                <w:szCs w:val="26"/>
                <w:rtl/>
              </w:rPr>
              <w:t>ע"י ב"כ עו"ד הכהן, מיודובניק וסיימונס</w:t>
            </w:r>
          </w:p>
        </w:tc>
        <w:tc>
          <w:tcPr>
            <w:tcW w:w="3551" w:type="dxa"/>
            <w:tcBorders>
              <w:top w:val="nil"/>
              <w:left w:val="nil"/>
              <w:bottom w:val="nil"/>
              <w:right w:val="nil"/>
            </w:tcBorders>
            <w:shd w:val="clear" w:color="auto" w:fill="auto"/>
          </w:tcPr>
          <w:p w14:paraId="044BA2C5" w14:textId="77777777" w:rsidR="007A2159" w:rsidRPr="00A76E93" w:rsidRDefault="007A2159" w:rsidP="007A2159">
            <w:pPr>
              <w:jc w:val="both"/>
              <w:rPr>
                <w:rFonts w:ascii="Arial" w:hAnsi="Arial"/>
                <w:sz w:val="26"/>
                <w:szCs w:val="26"/>
              </w:rPr>
            </w:pPr>
          </w:p>
        </w:tc>
      </w:tr>
      <w:bookmarkEnd w:id="1"/>
      <w:bookmarkEnd w:id="2"/>
      <w:tr w:rsidR="007A2159" w:rsidRPr="00A76E93" w14:paraId="638688BC" w14:textId="77777777" w:rsidTr="007A2159">
        <w:trPr>
          <w:trHeight w:val="355"/>
          <w:jc w:val="center"/>
        </w:trPr>
        <w:tc>
          <w:tcPr>
            <w:tcW w:w="885" w:type="dxa"/>
            <w:tcBorders>
              <w:top w:val="nil"/>
              <w:left w:val="nil"/>
              <w:bottom w:val="nil"/>
              <w:right w:val="nil"/>
            </w:tcBorders>
            <w:shd w:val="clear" w:color="auto" w:fill="auto"/>
          </w:tcPr>
          <w:p w14:paraId="51F6FD3F" w14:textId="77777777" w:rsidR="007A2159" w:rsidRPr="00A76E93" w:rsidRDefault="007A2159" w:rsidP="007A2159">
            <w:pPr>
              <w:jc w:val="both"/>
              <w:rPr>
                <w:rFonts w:ascii="Arial" w:hAnsi="Arial"/>
                <w:sz w:val="26"/>
                <w:szCs w:val="26"/>
                <w:rtl/>
              </w:rPr>
            </w:pPr>
          </w:p>
        </w:tc>
        <w:tc>
          <w:tcPr>
            <w:tcW w:w="4384" w:type="dxa"/>
            <w:tcBorders>
              <w:top w:val="nil"/>
              <w:left w:val="nil"/>
              <w:bottom w:val="nil"/>
              <w:right w:val="nil"/>
            </w:tcBorders>
            <w:shd w:val="clear" w:color="auto" w:fill="auto"/>
          </w:tcPr>
          <w:p w14:paraId="0B5E2C50" w14:textId="77777777" w:rsidR="007A2159" w:rsidRPr="00A76E93" w:rsidRDefault="007A2159" w:rsidP="00040D1E">
            <w:pPr>
              <w:rPr>
                <w:rFonts w:ascii="Arial" w:hAnsi="Arial"/>
                <w:sz w:val="26"/>
                <w:szCs w:val="26"/>
                <w:rtl/>
              </w:rPr>
            </w:pPr>
          </w:p>
        </w:tc>
        <w:tc>
          <w:tcPr>
            <w:tcW w:w="3551" w:type="dxa"/>
            <w:tcBorders>
              <w:top w:val="nil"/>
              <w:left w:val="nil"/>
              <w:bottom w:val="nil"/>
              <w:right w:val="nil"/>
            </w:tcBorders>
            <w:shd w:val="clear" w:color="auto" w:fill="auto"/>
          </w:tcPr>
          <w:p w14:paraId="36D6A50C" w14:textId="77777777" w:rsidR="007A2159" w:rsidRPr="00A76E93" w:rsidRDefault="007A2159" w:rsidP="007A2159">
            <w:pPr>
              <w:jc w:val="right"/>
              <w:rPr>
                <w:rFonts w:ascii="Arial" w:hAnsi="Arial"/>
                <w:sz w:val="26"/>
                <w:szCs w:val="26"/>
                <w:rtl/>
              </w:rPr>
            </w:pPr>
          </w:p>
        </w:tc>
      </w:tr>
      <w:tr w:rsidR="007A2159" w:rsidRPr="00A76E93" w14:paraId="7A91095A" w14:textId="77777777" w:rsidTr="007A2159">
        <w:trPr>
          <w:trHeight w:val="373"/>
          <w:jc w:val="center"/>
        </w:trPr>
        <w:tc>
          <w:tcPr>
            <w:tcW w:w="885" w:type="dxa"/>
            <w:tcBorders>
              <w:top w:val="nil"/>
              <w:left w:val="nil"/>
              <w:bottom w:val="nil"/>
              <w:right w:val="nil"/>
            </w:tcBorders>
            <w:shd w:val="clear" w:color="auto" w:fill="auto"/>
          </w:tcPr>
          <w:p w14:paraId="3B388A29" w14:textId="77777777" w:rsidR="007A2159" w:rsidRPr="00A76E93" w:rsidRDefault="007A2159" w:rsidP="007A2159">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3191606" w14:textId="77777777" w:rsidR="007A2159" w:rsidRPr="00A76E93" w:rsidRDefault="007A2159" w:rsidP="007A2159">
            <w:pPr>
              <w:jc w:val="center"/>
              <w:rPr>
                <w:rFonts w:ascii="Arial" w:hAnsi="Arial"/>
                <w:b/>
                <w:bCs/>
                <w:sz w:val="26"/>
                <w:szCs w:val="26"/>
                <w:rtl/>
              </w:rPr>
            </w:pPr>
          </w:p>
          <w:p w14:paraId="746E9076" w14:textId="77777777" w:rsidR="007A2159" w:rsidRPr="00A76E93" w:rsidRDefault="007A2159" w:rsidP="007A2159">
            <w:pPr>
              <w:jc w:val="center"/>
              <w:rPr>
                <w:rFonts w:ascii="Arial" w:hAnsi="Arial"/>
                <w:b/>
                <w:bCs/>
                <w:sz w:val="26"/>
                <w:szCs w:val="26"/>
                <w:rtl/>
              </w:rPr>
            </w:pPr>
            <w:r w:rsidRPr="00A76E93">
              <w:rPr>
                <w:rFonts w:ascii="Arial" w:hAnsi="Arial"/>
                <w:b/>
                <w:bCs/>
                <w:sz w:val="26"/>
                <w:szCs w:val="26"/>
                <w:rtl/>
              </w:rPr>
              <w:t>נגד</w:t>
            </w:r>
          </w:p>
          <w:p w14:paraId="50A8E61F" w14:textId="77777777" w:rsidR="007A2159" w:rsidRPr="00A76E93" w:rsidRDefault="007A2159" w:rsidP="007A2159">
            <w:pPr>
              <w:jc w:val="both"/>
              <w:rPr>
                <w:rFonts w:ascii="Arial" w:hAnsi="Arial"/>
                <w:sz w:val="26"/>
                <w:szCs w:val="26"/>
              </w:rPr>
            </w:pPr>
          </w:p>
        </w:tc>
      </w:tr>
      <w:tr w:rsidR="007A2159" w:rsidRPr="00A76E93" w14:paraId="38F71CD4" w14:textId="77777777" w:rsidTr="007A2159">
        <w:trPr>
          <w:trHeight w:val="355"/>
          <w:jc w:val="center"/>
        </w:trPr>
        <w:tc>
          <w:tcPr>
            <w:tcW w:w="885" w:type="dxa"/>
            <w:tcBorders>
              <w:top w:val="nil"/>
              <w:left w:val="nil"/>
              <w:bottom w:val="nil"/>
              <w:right w:val="nil"/>
            </w:tcBorders>
            <w:shd w:val="clear" w:color="auto" w:fill="auto"/>
          </w:tcPr>
          <w:p w14:paraId="2920B696" w14:textId="77777777" w:rsidR="007A2159" w:rsidRPr="00A76E93" w:rsidRDefault="007A2159" w:rsidP="00040D1E">
            <w:pPr>
              <w:rPr>
                <w:rFonts w:ascii="Arial" w:hAnsi="Arial"/>
                <w:b/>
                <w:bCs/>
                <w:sz w:val="26"/>
                <w:szCs w:val="26"/>
                <w:rtl/>
              </w:rPr>
            </w:pPr>
            <w:r w:rsidRPr="00A76E93">
              <w:rPr>
                <w:rFonts w:ascii="Arial" w:hAnsi="Arial" w:hint="cs"/>
                <w:b/>
                <w:bCs/>
                <w:sz w:val="26"/>
                <w:szCs w:val="26"/>
                <w:rtl/>
              </w:rPr>
              <w:t>ה</w:t>
            </w:r>
            <w:r w:rsidRPr="00A76E93">
              <w:rPr>
                <w:rFonts w:ascii="Arial" w:hAnsi="Arial"/>
                <w:b/>
                <w:bCs/>
                <w:sz w:val="26"/>
                <w:szCs w:val="26"/>
                <w:rtl/>
              </w:rPr>
              <w:t>נאשם</w:t>
            </w:r>
          </w:p>
        </w:tc>
        <w:tc>
          <w:tcPr>
            <w:tcW w:w="4384" w:type="dxa"/>
            <w:tcBorders>
              <w:top w:val="nil"/>
              <w:left w:val="nil"/>
              <w:bottom w:val="nil"/>
              <w:right w:val="nil"/>
            </w:tcBorders>
            <w:shd w:val="clear" w:color="auto" w:fill="auto"/>
          </w:tcPr>
          <w:p w14:paraId="670959C1" w14:textId="77777777" w:rsidR="007A2159" w:rsidRPr="00A76E93" w:rsidRDefault="007A2159" w:rsidP="00040D1E">
            <w:pPr>
              <w:rPr>
                <w:b/>
                <w:bCs/>
                <w:sz w:val="26"/>
                <w:szCs w:val="26"/>
                <w:rtl/>
              </w:rPr>
            </w:pPr>
            <w:r w:rsidRPr="00A76E93">
              <w:rPr>
                <w:rFonts w:ascii="Arial" w:hAnsi="Arial"/>
                <w:b/>
                <w:bCs/>
                <w:sz w:val="26"/>
                <w:szCs w:val="26"/>
                <w:rtl/>
              </w:rPr>
              <w:t>יוסף אבו עביד</w:t>
            </w:r>
          </w:p>
          <w:p w14:paraId="6CC522F8" w14:textId="77777777" w:rsidR="007A2159" w:rsidRPr="00A76E93" w:rsidRDefault="007A2159" w:rsidP="00040D1E">
            <w:pPr>
              <w:rPr>
                <w:sz w:val="26"/>
                <w:szCs w:val="26"/>
                <w:rtl/>
              </w:rPr>
            </w:pPr>
            <w:r w:rsidRPr="00A76E93">
              <w:rPr>
                <w:rFonts w:hint="cs"/>
                <w:sz w:val="26"/>
                <w:szCs w:val="26"/>
                <w:rtl/>
              </w:rPr>
              <w:t>ע"י ב"כ עו"ד פריינטי</w:t>
            </w:r>
          </w:p>
        </w:tc>
        <w:tc>
          <w:tcPr>
            <w:tcW w:w="3551" w:type="dxa"/>
            <w:tcBorders>
              <w:top w:val="nil"/>
              <w:left w:val="nil"/>
              <w:bottom w:val="nil"/>
              <w:right w:val="nil"/>
            </w:tcBorders>
            <w:shd w:val="clear" w:color="auto" w:fill="auto"/>
          </w:tcPr>
          <w:p w14:paraId="61DB6679" w14:textId="77777777" w:rsidR="007A2159" w:rsidRPr="00A76E93" w:rsidRDefault="007A2159" w:rsidP="007A2159">
            <w:pPr>
              <w:jc w:val="right"/>
              <w:rPr>
                <w:rFonts w:ascii="Arial" w:hAnsi="Arial"/>
                <w:sz w:val="26"/>
                <w:szCs w:val="26"/>
              </w:rPr>
            </w:pPr>
          </w:p>
        </w:tc>
      </w:tr>
      <w:tr w:rsidR="007A2159" w:rsidRPr="00A76E93" w14:paraId="5A0CF1D7" w14:textId="77777777" w:rsidTr="007A2159">
        <w:trPr>
          <w:trHeight w:val="80"/>
          <w:jc w:val="center"/>
        </w:trPr>
        <w:tc>
          <w:tcPr>
            <w:tcW w:w="885" w:type="dxa"/>
            <w:tcBorders>
              <w:top w:val="nil"/>
              <w:left w:val="nil"/>
              <w:bottom w:val="nil"/>
              <w:right w:val="nil"/>
            </w:tcBorders>
            <w:shd w:val="clear" w:color="auto" w:fill="auto"/>
          </w:tcPr>
          <w:p w14:paraId="7B19C7EE" w14:textId="77777777" w:rsidR="007A2159" w:rsidRPr="00A76E93" w:rsidRDefault="007A2159" w:rsidP="007A2159">
            <w:pPr>
              <w:jc w:val="both"/>
              <w:rPr>
                <w:rFonts w:ascii="Arial" w:hAnsi="Arial"/>
                <w:sz w:val="26"/>
                <w:szCs w:val="26"/>
                <w:rtl/>
              </w:rPr>
            </w:pPr>
          </w:p>
        </w:tc>
        <w:tc>
          <w:tcPr>
            <w:tcW w:w="4384" w:type="dxa"/>
            <w:tcBorders>
              <w:top w:val="nil"/>
              <w:left w:val="nil"/>
              <w:bottom w:val="nil"/>
              <w:right w:val="nil"/>
            </w:tcBorders>
            <w:shd w:val="clear" w:color="auto" w:fill="auto"/>
          </w:tcPr>
          <w:p w14:paraId="2717EA47" w14:textId="77777777" w:rsidR="007A2159" w:rsidRPr="00A76E93" w:rsidRDefault="007A2159" w:rsidP="00040D1E">
            <w:pPr>
              <w:rPr>
                <w:rFonts w:ascii="Arial" w:hAnsi="Arial"/>
                <w:sz w:val="26"/>
                <w:szCs w:val="26"/>
              </w:rPr>
            </w:pPr>
          </w:p>
        </w:tc>
        <w:tc>
          <w:tcPr>
            <w:tcW w:w="3551" w:type="dxa"/>
            <w:tcBorders>
              <w:top w:val="nil"/>
              <w:left w:val="nil"/>
              <w:bottom w:val="nil"/>
              <w:right w:val="nil"/>
            </w:tcBorders>
            <w:shd w:val="clear" w:color="auto" w:fill="auto"/>
          </w:tcPr>
          <w:p w14:paraId="5B836029" w14:textId="77777777" w:rsidR="007A2159" w:rsidRPr="00A76E93" w:rsidRDefault="007A2159" w:rsidP="007A2159">
            <w:pPr>
              <w:jc w:val="right"/>
              <w:rPr>
                <w:rFonts w:ascii="Arial" w:hAnsi="Arial"/>
                <w:sz w:val="26"/>
                <w:szCs w:val="26"/>
              </w:rPr>
            </w:pPr>
          </w:p>
        </w:tc>
      </w:tr>
    </w:tbl>
    <w:p w14:paraId="3DA6A2FE" w14:textId="77777777" w:rsidR="00DB408F" w:rsidRDefault="00DB408F" w:rsidP="007A2159">
      <w:pPr>
        <w:rPr>
          <w:rtl/>
        </w:rPr>
      </w:pPr>
      <w:bookmarkStart w:id="3" w:name="LawTable"/>
      <w:bookmarkEnd w:id="3"/>
    </w:p>
    <w:p w14:paraId="3CC7B49A" w14:textId="77777777" w:rsidR="00DB408F" w:rsidRPr="00DB408F" w:rsidRDefault="00DB408F" w:rsidP="00DB408F">
      <w:pPr>
        <w:spacing w:after="120" w:line="240" w:lineRule="exact"/>
        <w:ind w:left="283" w:hanging="283"/>
        <w:jc w:val="both"/>
        <w:rPr>
          <w:rFonts w:ascii="FrankRuehl" w:hAnsi="FrankRuehl" w:cs="FrankRuehl"/>
          <w:rtl/>
        </w:rPr>
      </w:pPr>
    </w:p>
    <w:p w14:paraId="546858FA" w14:textId="77777777" w:rsidR="00DB408F" w:rsidRPr="00DB408F" w:rsidRDefault="00DB408F" w:rsidP="00DB408F">
      <w:pPr>
        <w:spacing w:after="120" w:line="240" w:lineRule="exact"/>
        <w:ind w:left="283" w:hanging="283"/>
        <w:jc w:val="both"/>
        <w:rPr>
          <w:rFonts w:ascii="FrankRuehl" w:hAnsi="FrankRuehl" w:cs="FrankRuehl"/>
          <w:rtl/>
        </w:rPr>
      </w:pPr>
      <w:r w:rsidRPr="00DB408F">
        <w:rPr>
          <w:rFonts w:ascii="FrankRuehl" w:hAnsi="FrankRuehl" w:cs="FrankRuehl"/>
          <w:rtl/>
        </w:rPr>
        <w:t xml:space="preserve">חקיקה שאוזכרה: </w:t>
      </w:r>
    </w:p>
    <w:p w14:paraId="422A5147" w14:textId="77777777" w:rsidR="00DB408F" w:rsidRPr="00DB408F" w:rsidRDefault="00DB408F" w:rsidP="00DB408F">
      <w:pPr>
        <w:spacing w:after="120" w:line="240" w:lineRule="exact"/>
        <w:ind w:left="283" w:hanging="283"/>
        <w:jc w:val="both"/>
        <w:rPr>
          <w:rFonts w:ascii="FrankRuehl" w:hAnsi="FrankRuehl" w:cs="FrankRuehl"/>
          <w:rtl/>
        </w:rPr>
      </w:pPr>
      <w:hyperlink r:id="rId7" w:history="1">
        <w:r w:rsidRPr="00DB408F">
          <w:rPr>
            <w:rFonts w:ascii="FrankRuehl" w:hAnsi="FrankRuehl" w:cs="FrankRuehl"/>
            <w:color w:val="0000FF"/>
            <w:u w:val="single"/>
            <w:rtl/>
          </w:rPr>
          <w:t>פקודת הסמים המסוכנים [נוסח חדש], תשל"ג-1973</w:t>
        </w:r>
      </w:hyperlink>
      <w:r w:rsidRPr="00DB408F">
        <w:rPr>
          <w:rFonts w:ascii="FrankRuehl" w:hAnsi="FrankRuehl" w:cs="FrankRuehl"/>
          <w:rtl/>
        </w:rPr>
        <w:t xml:space="preserve">: סע'  </w:t>
      </w:r>
      <w:hyperlink r:id="rId8" w:history="1">
        <w:r w:rsidRPr="00DB408F">
          <w:rPr>
            <w:rFonts w:ascii="FrankRuehl" w:hAnsi="FrankRuehl" w:cs="FrankRuehl"/>
            <w:color w:val="0000FF"/>
            <w:u w:val="single"/>
            <w:rtl/>
          </w:rPr>
          <w:t>7(א)</w:t>
        </w:r>
      </w:hyperlink>
      <w:r w:rsidRPr="00DB408F">
        <w:rPr>
          <w:rFonts w:ascii="FrankRuehl" w:hAnsi="FrankRuehl" w:cs="FrankRuehl"/>
          <w:rtl/>
        </w:rPr>
        <w:t xml:space="preserve">, </w:t>
      </w:r>
      <w:hyperlink r:id="rId9" w:history="1">
        <w:r w:rsidRPr="00DB408F">
          <w:rPr>
            <w:rFonts w:ascii="FrankRuehl" w:hAnsi="FrankRuehl" w:cs="FrankRuehl"/>
            <w:color w:val="0000FF"/>
            <w:u w:val="single"/>
            <w:rtl/>
          </w:rPr>
          <w:t>7(ג)</w:t>
        </w:r>
      </w:hyperlink>
    </w:p>
    <w:p w14:paraId="6C7CDE31" w14:textId="77777777" w:rsidR="00DB408F" w:rsidRPr="00DB408F" w:rsidRDefault="00DB408F" w:rsidP="00DB408F">
      <w:pPr>
        <w:spacing w:after="120" w:line="240" w:lineRule="exact"/>
        <w:ind w:left="283" w:hanging="283"/>
        <w:jc w:val="both"/>
        <w:rPr>
          <w:rFonts w:ascii="FrankRuehl" w:hAnsi="FrankRuehl" w:cs="FrankRuehl"/>
          <w:rtl/>
        </w:rPr>
      </w:pPr>
      <w:hyperlink r:id="rId10" w:history="1">
        <w:r w:rsidRPr="00DB408F">
          <w:rPr>
            <w:rFonts w:ascii="FrankRuehl" w:hAnsi="FrankRuehl" w:cs="FrankRuehl"/>
            <w:color w:val="0000FF"/>
            <w:u w:val="single"/>
            <w:rtl/>
          </w:rPr>
          <w:t>חוק העונשין, תשל"ז-1977</w:t>
        </w:r>
      </w:hyperlink>
      <w:r w:rsidRPr="00DB408F">
        <w:rPr>
          <w:rFonts w:ascii="FrankRuehl" w:hAnsi="FrankRuehl" w:cs="FrankRuehl"/>
          <w:rtl/>
        </w:rPr>
        <w:t xml:space="preserve">: סע'  </w:t>
      </w:r>
      <w:hyperlink r:id="rId11" w:history="1">
        <w:r w:rsidRPr="00DB408F">
          <w:rPr>
            <w:rFonts w:ascii="FrankRuehl" w:hAnsi="FrankRuehl" w:cs="FrankRuehl"/>
            <w:color w:val="0000FF"/>
            <w:u w:val="single"/>
            <w:rtl/>
          </w:rPr>
          <w:t>40ט(א)(6)</w:t>
        </w:r>
      </w:hyperlink>
      <w:r w:rsidRPr="00DB408F">
        <w:rPr>
          <w:rFonts w:ascii="FrankRuehl" w:hAnsi="FrankRuehl" w:cs="FrankRuehl"/>
          <w:rtl/>
        </w:rPr>
        <w:t xml:space="preserve">, </w:t>
      </w:r>
      <w:hyperlink r:id="rId12" w:history="1">
        <w:r w:rsidRPr="00DB408F">
          <w:rPr>
            <w:rFonts w:ascii="FrankRuehl" w:hAnsi="FrankRuehl" w:cs="FrankRuehl"/>
            <w:color w:val="0000FF"/>
            <w:u w:val="single"/>
            <w:rtl/>
          </w:rPr>
          <w:t>40ט(א)(7)</w:t>
        </w:r>
      </w:hyperlink>
      <w:r w:rsidRPr="00DB408F">
        <w:rPr>
          <w:rFonts w:ascii="FrankRuehl" w:hAnsi="FrankRuehl" w:cs="FrankRuehl"/>
          <w:rtl/>
        </w:rPr>
        <w:t xml:space="preserve">, </w:t>
      </w:r>
      <w:hyperlink r:id="rId13" w:history="1">
        <w:r w:rsidRPr="00DB408F">
          <w:rPr>
            <w:rFonts w:ascii="FrankRuehl" w:hAnsi="FrankRuehl" w:cs="FrankRuehl"/>
            <w:color w:val="0000FF"/>
            <w:u w:val="single"/>
            <w:rtl/>
          </w:rPr>
          <w:t>40יא(1)</w:t>
        </w:r>
      </w:hyperlink>
    </w:p>
    <w:p w14:paraId="0D64EFFF" w14:textId="77777777" w:rsidR="00DB408F" w:rsidRPr="00DB408F" w:rsidRDefault="00DB408F" w:rsidP="00DB408F">
      <w:pPr>
        <w:spacing w:after="120" w:line="240" w:lineRule="exact"/>
        <w:ind w:left="283" w:hanging="283"/>
        <w:jc w:val="both"/>
        <w:rPr>
          <w:rFonts w:ascii="FrankRuehl" w:hAnsi="FrankRuehl" w:cs="FrankRuehl"/>
          <w:rtl/>
        </w:rPr>
      </w:pPr>
    </w:p>
    <w:p w14:paraId="7457B637" w14:textId="77777777" w:rsidR="007A2159" w:rsidRPr="00A76E93" w:rsidRDefault="007A2159" w:rsidP="007A2159">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2159" w:rsidRPr="00656EF5" w14:paraId="33228241" w14:textId="77777777" w:rsidTr="007A2159">
        <w:trPr>
          <w:trHeight w:val="355"/>
          <w:jc w:val="center"/>
        </w:trPr>
        <w:tc>
          <w:tcPr>
            <w:tcW w:w="8820" w:type="dxa"/>
            <w:tcBorders>
              <w:top w:val="nil"/>
              <w:left w:val="nil"/>
              <w:bottom w:val="nil"/>
              <w:right w:val="nil"/>
            </w:tcBorders>
            <w:shd w:val="clear" w:color="auto" w:fill="auto"/>
          </w:tcPr>
          <w:p w14:paraId="63F65F1A" w14:textId="77777777" w:rsidR="00A76E93" w:rsidRPr="00A76E93" w:rsidRDefault="00A76E93" w:rsidP="00A76E93">
            <w:pPr>
              <w:jc w:val="center"/>
              <w:rPr>
                <w:rFonts w:ascii="Arial" w:hAnsi="Arial"/>
                <w:b/>
                <w:bCs/>
                <w:sz w:val="28"/>
                <w:szCs w:val="28"/>
                <w:u w:val="single"/>
                <w:rtl/>
              </w:rPr>
            </w:pPr>
            <w:bookmarkStart w:id="5" w:name="PsakDin" w:colFirst="0" w:colLast="0"/>
            <w:bookmarkEnd w:id="0"/>
            <w:r w:rsidRPr="00A76E93">
              <w:rPr>
                <w:rFonts w:ascii="Arial" w:hAnsi="Arial"/>
                <w:b/>
                <w:bCs/>
                <w:sz w:val="28"/>
                <w:szCs w:val="28"/>
                <w:u w:val="single"/>
                <w:rtl/>
              </w:rPr>
              <w:t>גזר דין</w:t>
            </w:r>
          </w:p>
          <w:p w14:paraId="7DAB63D9" w14:textId="77777777" w:rsidR="007A2159" w:rsidRPr="00A76E93" w:rsidRDefault="007A2159" w:rsidP="00A76E93">
            <w:pPr>
              <w:jc w:val="center"/>
              <w:rPr>
                <w:rFonts w:ascii="Arial" w:hAnsi="Arial"/>
                <w:bCs/>
                <w:sz w:val="28"/>
                <w:szCs w:val="28"/>
                <w:u w:val="single"/>
                <w:rtl/>
              </w:rPr>
            </w:pPr>
          </w:p>
        </w:tc>
      </w:tr>
      <w:bookmarkEnd w:id="5"/>
    </w:tbl>
    <w:p w14:paraId="4DEBCC5B" w14:textId="77777777" w:rsidR="007A2159" w:rsidRPr="00656EF5" w:rsidRDefault="007A2159" w:rsidP="007A2159">
      <w:pPr>
        <w:rPr>
          <w:rFonts w:ascii="Arial" w:hAnsi="Arial"/>
          <w:rtl/>
        </w:rPr>
      </w:pPr>
    </w:p>
    <w:p w14:paraId="6A0BA99B" w14:textId="77777777" w:rsidR="007A2159" w:rsidRPr="00656EF5" w:rsidRDefault="007A2159" w:rsidP="007A2159">
      <w:pPr>
        <w:spacing w:line="360" w:lineRule="auto"/>
        <w:jc w:val="both"/>
        <w:rPr>
          <w:rFonts w:ascii="Arial" w:hAnsi="Arial"/>
          <w:rtl/>
        </w:rPr>
      </w:pPr>
      <w:r w:rsidRPr="00656EF5">
        <w:rPr>
          <w:rFonts w:ascii="Arial" w:hAnsi="Arial" w:hint="cs"/>
          <w:b/>
          <w:bCs/>
          <w:u w:val="single"/>
          <w:rtl/>
        </w:rPr>
        <w:t>השתלשלות ההליך:</w:t>
      </w:r>
    </w:p>
    <w:p w14:paraId="5C768463" w14:textId="77777777" w:rsidR="007A2159" w:rsidRPr="00656EF5" w:rsidRDefault="007A2159" w:rsidP="007A2159">
      <w:pPr>
        <w:pStyle w:val="a9"/>
        <w:numPr>
          <w:ilvl w:val="0"/>
          <w:numId w:val="1"/>
        </w:numPr>
        <w:spacing w:line="360" w:lineRule="auto"/>
        <w:jc w:val="both"/>
      </w:pPr>
      <w:bookmarkStart w:id="6" w:name="ABSTRACT_START"/>
      <w:bookmarkEnd w:id="6"/>
      <w:r w:rsidRPr="00656EF5">
        <w:rPr>
          <w:rFonts w:hint="cs"/>
          <w:rtl/>
        </w:rPr>
        <w:t xml:space="preserve">ביום 5.2.17 הודה הנאשם והורשע בעבירה של החזקת סם מסוכן שלא לצריכה עצמית, לפי </w:t>
      </w:r>
      <w:hyperlink r:id="rId14" w:history="1">
        <w:r w:rsidR="00DB408F" w:rsidRPr="00DB408F">
          <w:rPr>
            <w:color w:val="0000FF"/>
            <w:u w:val="single"/>
            <w:rtl/>
          </w:rPr>
          <w:t>סעיף 7(א)</w:t>
        </w:r>
      </w:hyperlink>
      <w:r w:rsidRPr="00656EF5">
        <w:rPr>
          <w:rFonts w:hint="cs"/>
          <w:rtl/>
        </w:rPr>
        <w:t xml:space="preserve"> בצירוף </w:t>
      </w:r>
      <w:hyperlink r:id="rId15" w:history="1">
        <w:r w:rsidR="00DB408F" w:rsidRPr="00DB408F">
          <w:rPr>
            <w:color w:val="0000FF"/>
            <w:u w:val="single"/>
            <w:rtl/>
          </w:rPr>
          <w:t>סעיף 7(ג)</w:t>
        </w:r>
      </w:hyperlink>
      <w:r w:rsidRPr="00656EF5">
        <w:rPr>
          <w:rFonts w:hint="cs"/>
          <w:rtl/>
        </w:rPr>
        <w:t xml:space="preserve"> רישא ל</w:t>
      </w:r>
      <w:hyperlink r:id="rId16" w:history="1">
        <w:r w:rsidR="00A76E93" w:rsidRPr="00A76E93">
          <w:rPr>
            <w:color w:val="0000FF"/>
            <w:u w:val="single"/>
            <w:rtl/>
          </w:rPr>
          <w:t>פקודת הסמים המסוכנים</w:t>
        </w:r>
      </w:hyperlink>
      <w:r w:rsidRPr="00656EF5">
        <w:rPr>
          <w:rFonts w:hint="cs"/>
          <w:rtl/>
        </w:rPr>
        <w:t>.</w:t>
      </w:r>
    </w:p>
    <w:p w14:paraId="49C1A514" w14:textId="77777777" w:rsidR="007A2159" w:rsidRDefault="007A2159" w:rsidP="007A2159">
      <w:pPr>
        <w:pStyle w:val="a9"/>
        <w:numPr>
          <w:ilvl w:val="0"/>
          <w:numId w:val="1"/>
        </w:numPr>
        <w:spacing w:line="360" w:lineRule="auto"/>
        <w:jc w:val="both"/>
      </w:pPr>
      <w:bookmarkStart w:id="7" w:name="ABSTRACT_END"/>
      <w:bookmarkEnd w:id="7"/>
      <w:r w:rsidRPr="00656EF5">
        <w:rPr>
          <w:rFonts w:hint="cs"/>
          <w:rtl/>
        </w:rPr>
        <w:t>הנאשם הופנה לשירות המבחן והתקבל בעניינו תסקיר מיום 22.6.17</w:t>
      </w:r>
      <w:r>
        <w:rPr>
          <w:rFonts w:hint="cs"/>
          <w:rtl/>
        </w:rPr>
        <w:t xml:space="preserve">: השירות מצא כי לנאשם קווים אופייניים של "בגיר צעיר" </w:t>
      </w:r>
      <w:r>
        <w:rPr>
          <w:rtl/>
        </w:rPr>
        <w:t>–</w:t>
      </w:r>
      <w:r>
        <w:rPr>
          <w:rFonts w:hint="cs"/>
          <w:rtl/>
        </w:rPr>
        <w:t xml:space="preserve"> חוסר בשלות, קושי בהפעלת שיקול דעת מותאם-למצב וקושי בוויסות דחפים. אישיותו הלא-בשלה וגישתו של הנאשם לא פתחו פתח לטיפול, אך התנהלותו הכללית , גילו הצעיר ואחריותו במסגרות התעסוקה והמשפחה מצדיקים לדעת השירות ענישה קונקרטית-משקמת של צו של"צ בהיקף של 160 שעות.</w:t>
      </w:r>
    </w:p>
    <w:p w14:paraId="24E6C550" w14:textId="77777777" w:rsidR="007A2159" w:rsidRDefault="007A2159" w:rsidP="007A2159">
      <w:pPr>
        <w:pStyle w:val="a9"/>
        <w:numPr>
          <w:ilvl w:val="0"/>
          <w:numId w:val="1"/>
        </w:numPr>
        <w:spacing w:line="360" w:lineRule="auto"/>
        <w:jc w:val="both"/>
      </w:pPr>
      <w:r>
        <w:rPr>
          <w:rtl/>
        </w:rPr>
        <w:t>עוד הופנה הנאשם לממונה על עבודות שירות: תחילה לא התייצב הנאשם לראיונות אליהם זומן ואף ניתק קשר עם סניגורו המלומד, ומשהתייצב לבסוף – על</w:t>
      </w:r>
      <w:r>
        <w:rPr>
          <w:rFonts w:hint="cs"/>
          <w:rtl/>
        </w:rPr>
        <w:t>ה חשד לניסיון</w:t>
      </w:r>
      <w:r>
        <w:rPr>
          <w:rtl/>
        </w:rPr>
        <w:t xml:space="preserve"> להטיית</w:t>
      </w:r>
      <w:r>
        <w:rPr>
          <w:rFonts w:hint="cs"/>
          <w:rtl/>
        </w:rPr>
        <w:t>ה</w:t>
      </w:r>
      <w:r>
        <w:rPr>
          <w:rtl/>
        </w:rPr>
        <w:t xml:space="preserve"> של תוצאת </w:t>
      </w:r>
      <w:r>
        <w:rPr>
          <w:rFonts w:hint="cs"/>
          <w:rtl/>
        </w:rPr>
        <w:t>בדיקת שתן לאיתור שרידי סם</w:t>
      </w:r>
      <w:r>
        <w:rPr>
          <w:rtl/>
        </w:rPr>
        <w:t>.</w:t>
      </w:r>
      <w:r>
        <w:rPr>
          <w:rFonts w:hint="cs"/>
          <w:rtl/>
        </w:rPr>
        <w:t xml:space="preserve"> חשד זה לא תוּקָף דיו, ובבדיקות נוספות לא נמצאו שרידי סם. הנאשם נמצא אפוא מתאים לריצוי מאסר בעבודות שירות, לפי חוות דעת מיום 01.04.19.</w:t>
      </w:r>
    </w:p>
    <w:p w14:paraId="442C47C2" w14:textId="77777777" w:rsidR="007A2159" w:rsidRPr="00656EF5" w:rsidRDefault="007A2159" w:rsidP="007A2159">
      <w:pPr>
        <w:pStyle w:val="a9"/>
        <w:numPr>
          <w:ilvl w:val="0"/>
          <w:numId w:val="1"/>
        </w:numPr>
        <w:spacing w:line="360" w:lineRule="auto"/>
        <w:jc w:val="both"/>
      </w:pPr>
      <w:r w:rsidRPr="00656EF5">
        <w:rPr>
          <w:rFonts w:hint="cs"/>
          <w:rtl/>
        </w:rPr>
        <w:lastRenderedPageBreak/>
        <w:t>ביום 28</w:t>
      </w:r>
      <w:r>
        <w:rPr>
          <w:rFonts w:hint="cs"/>
          <w:rtl/>
        </w:rPr>
        <w:t>.11.17 נשמעו טיעוני הצדדים לעונש והיום השלימו הצדדים טיעוניהם</w:t>
      </w:r>
      <w:r w:rsidRPr="00656EF5">
        <w:rPr>
          <w:rFonts w:hint="cs"/>
          <w:rtl/>
        </w:rPr>
        <w:t>:</w:t>
      </w:r>
    </w:p>
    <w:p w14:paraId="71C9B211" w14:textId="77777777" w:rsidR="007A2159" w:rsidRPr="00656EF5" w:rsidRDefault="007A2159" w:rsidP="007A2159">
      <w:pPr>
        <w:spacing w:line="360" w:lineRule="auto"/>
        <w:ind w:left="360"/>
        <w:jc w:val="both"/>
        <w:rPr>
          <w:rtl/>
        </w:rPr>
      </w:pPr>
      <w:r w:rsidRPr="00656EF5">
        <w:rPr>
          <w:rFonts w:hint="cs"/>
          <w:rtl/>
        </w:rPr>
        <w:t>התביעה עתרה להטלת עונש של שמונה חודשי מאסר בפועל, מאסר מותנה, קנס ופסילת רישיון נהיגה;</w:t>
      </w:r>
    </w:p>
    <w:p w14:paraId="61C13926" w14:textId="77777777" w:rsidR="007A2159" w:rsidRPr="00656EF5" w:rsidRDefault="007A2159" w:rsidP="007A2159">
      <w:pPr>
        <w:spacing w:line="360" w:lineRule="auto"/>
        <w:ind w:left="360"/>
        <w:jc w:val="both"/>
        <w:rPr>
          <w:rtl/>
        </w:rPr>
      </w:pPr>
      <w:r w:rsidRPr="00656EF5">
        <w:rPr>
          <w:rFonts w:hint="cs"/>
          <w:rtl/>
        </w:rPr>
        <w:t>ההגנה עתרה לאמץ את מסקנותיו של שירות המבחן לחיוב בשל"צ (ההגנה לא עתרה לביטול ההרשעה);</w:t>
      </w:r>
    </w:p>
    <w:p w14:paraId="4CBA5420" w14:textId="77777777" w:rsidR="007A2159" w:rsidRPr="00656EF5" w:rsidRDefault="007A2159" w:rsidP="007A2159">
      <w:pPr>
        <w:spacing w:line="360" w:lineRule="auto"/>
        <w:ind w:left="360"/>
        <w:jc w:val="both"/>
        <w:rPr>
          <w:rtl/>
        </w:rPr>
      </w:pPr>
    </w:p>
    <w:p w14:paraId="233A29FE" w14:textId="77777777" w:rsidR="007A2159" w:rsidRPr="00656EF5" w:rsidRDefault="007A2159" w:rsidP="007A2159">
      <w:pPr>
        <w:spacing w:line="360" w:lineRule="auto"/>
        <w:jc w:val="both"/>
        <w:rPr>
          <w:rtl/>
        </w:rPr>
      </w:pPr>
      <w:r w:rsidRPr="00656EF5">
        <w:rPr>
          <w:rFonts w:hint="cs"/>
          <w:b/>
          <w:bCs/>
          <w:u w:val="single"/>
          <w:rtl/>
        </w:rPr>
        <w:t>מעשי הנאשם:</w:t>
      </w:r>
    </w:p>
    <w:p w14:paraId="0969AB00" w14:textId="77777777" w:rsidR="007A2159" w:rsidRPr="00656EF5" w:rsidRDefault="007A2159" w:rsidP="007A2159">
      <w:pPr>
        <w:spacing w:line="360" w:lineRule="auto"/>
        <w:jc w:val="both"/>
        <w:rPr>
          <w:rtl/>
        </w:rPr>
      </w:pPr>
      <w:r w:rsidRPr="00656EF5">
        <w:rPr>
          <w:rFonts w:hint="cs"/>
          <w:rtl/>
        </w:rPr>
        <w:t>בתאריך 13.4.15 בשעת ערב, ברחוב בתל-אביב, החזיק הנאשם 4.0168 גרם נטו קוקאין, שלא לצריכה עצמית.</w:t>
      </w:r>
    </w:p>
    <w:p w14:paraId="35D1DB8B" w14:textId="77777777" w:rsidR="007A2159" w:rsidRPr="00656EF5" w:rsidRDefault="007A2159" w:rsidP="007A2159">
      <w:pPr>
        <w:spacing w:line="360" w:lineRule="auto"/>
        <w:jc w:val="both"/>
        <w:rPr>
          <w:rtl/>
        </w:rPr>
      </w:pPr>
      <w:r w:rsidRPr="00656EF5">
        <w:rPr>
          <w:rFonts w:hint="cs"/>
          <w:b/>
          <w:bCs/>
          <w:u w:val="single"/>
          <w:rtl/>
        </w:rPr>
        <w:t xml:space="preserve">נסיבות העבירה </w:t>
      </w:r>
      <w:r w:rsidRPr="00656EF5">
        <w:rPr>
          <w:b/>
          <w:bCs/>
          <w:u w:val="single"/>
          <w:rtl/>
        </w:rPr>
        <w:t>–</w:t>
      </w:r>
      <w:r w:rsidRPr="00656EF5">
        <w:rPr>
          <w:rFonts w:hint="cs"/>
          <w:b/>
          <w:bCs/>
          <w:u w:val="single"/>
          <w:rtl/>
        </w:rPr>
        <w:t xml:space="preserve"> קביעת העונש במתחם:</w:t>
      </w:r>
    </w:p>
    <w:p w14:paraId="4EE03458" w14:textId="77777777" w:rsidR="007A2159" w:rsidRPr="00656EF5" w:rsidRDefault="007A2159" w:rsidP="007A2159">
      <w:pPr>
        <w:pStyle w:val="a9"/>
        <w:numPr>
          <w:ilvl w:val="0"/>
          <w:numId w:val="2"/>
        </w:numPr>
        <w:spacing w:line="360" w:lineRule="auto"/>
        <w:jc w:val="both"/>
      </w:pPr>
      <w:r w:rsidRPr="00656EF5">
        <w:rPr>
          <w:rFonts w:hint="cs"/>
          <w:rtl/>
        </w:rPr>
        <w:t>אין צורך עוד להכביר מילים בדבר פגיעתם הרעה של הסמים, ובוודאי כשמדובר על סם 'קשה' כקוקאין: נפגע המשתמש, נפגעת משפחתו, ונפגעת החברה כולה הנופלת קורבן לעבריינות מכל סוג ששורשה בסמים, כשרווחי הסחר בהם מממן ארגוני פשיעה וטרור.</w:t>
      </w:r>
    </w:p>
    <w:p w14:paraId="0A44ED70" w14:textId="77777777" w:rsidR="007A2159" w:rsidRPr="00656EF5" w:rsidRDefault="007A2159" w:rsidP="007A2159">
      <w:pPr>
        <w:pStyle w:val="a9"/>
        <w:numPr>
          <w:ilvl w:val="0"/>
          <w:numId w:val="2"/>
        </w:numPr>
        <w:spacing w:line="360" w:lineRule="auto"/>
        <w:jc w:val="both"/>
      </w:pPr>
      <w:r w:rsidRPr="00656EF5">
        <w:rPr>
          <w:rFonts w:hint="cs"/>
          <w:rtl/>
        </w:rPr>
        <w:t>הנאשם פגע מהותית בערכים המוגנים, בהיותו חלק נחוץ בשלשלת הפצת הסם, בכמות לא מבוטלת, ששוויה מגיעה כדי אלפי ₪; החזקת הסם היתה כמובן מתוכננת; הנזק הפוטנציאלי חמור אך בשל לכידת הסם צומצם היקף הנזק הקונקרטי; הנאשם ערפל את הסיבות למעשה, ויש להניח כי המניע היה כלכלי;</w:t>
      </w:r>
    </w:p>
    <w:p w14:paraId="11559085" w14:textId="77777777" w:rsidR="007A2159" w:rsidRPr="00656EF5" w:rsidRDefault="007A2159" w:rsidP="007A2159">
      <w:pPr>
        <w:pStyle w:val="a9"/>
        <w:numPr>
          <w:ilvl w:val="0"/>
          <w:numId w:val="2"/>
        </w:numPr>
        <w:spacing w:line="360" w:lineRule="auto"/>
        <w:jc w:val="both"/>
      </w:pPr>
      <w:r w:rsidRPr="00656EF5">
        <w:rPr>
          <w:rFonts w:hint="cs"/>
          <w:rtl/>
        </w:rPr>
        <w:t xml:space="preserve">עיון בפסיקה מעלה </w:t>
      </w:r>
      <w:r w:rsidRPr="00656EF5">
        <w:rPr>
          <w:rtl/>
        </w:rPr>
        <w:t>–</w:t>
      </w:r>
      <w:r w:rsidRPr="00656EF5">
        <w:rPr>
          <w:rFonts w:hint="cs"/>
          <w:rtl/>
        </w:rPr>
        <w:t xml:space="preserve"> כרגיל </w:t>
      </w:r>
      <w:r w:rsidRPr="00656EF5">
        <w:rPr>
          <w:rtl/>
        </w:rPr>
        <w:t>–</w:t>
      </w:r>
      <w:r w:rsidRPr="00656EF5">
        <w:rPr>
          <w:rFonts w:hint="cs"/>
          <w:rtl/>
        </w:rPr>
        <w:t xml:space="preserve"> עונשים מעונשים שונים, אך ניתן לזהות קו עיקרי ולפיו המתחם הנוהג נקבע בין שמונה לבין 18 חודשי מאסר בפועל, כעונש עיקרי, בהתאמה למדיניות הענישה המותאמת לסוג הסם ולכמותו</w:t>
      </w:r>
      <w:r>
        <w:rPr>
          <w:rFonts w:hint="cs"/>
          <w:rtl/>
        </w:rPr>
        <w:t>:</w:t>
      </w:r>
    </w:p>
    <w:p w14:paraId="1A9605F3" w14:textId="77777777" w:rsidR="007A2159" w:rsidRPr="00656EF5" w:rsidRDefault="007A2159" w:rsidP="007A2159">
      <w:pPr>
        <w:spacing w:line="360" w:lineRule="auto"/>
        <w:ind w:left="360"/>
        <w:jc w:val="both"/>
        <w:rPr>
          <w:b/>
          <w:bCs/>
          <w:rtl/>
        </w:rPr>
      </w:pPr>
      <w:r w:rsidRPr="00656EF5">
        <w:rPr>
          <w:rFonts w:hint="cs"/>
          <w:rtl/>
        </w:rPr>
        <w:t>כך נקבע ב</w:t>
      </w:r>
      <w:hyperlink r:id="rId17" w:history="1">
        <w:r w:rsidR="00A76E93" w:rsidRPr="00A76E93">
          <w:rPr>
            <w:color w:val="0000FF"/>
            <w:u w:val="single"/>
            <w:rtl/>
          </w:rPr>
          <w:t>ת"פ 10264-04-12</w:t>
        </w:r>
      </w:hyperlink>
      <w:r w:rsidRPr="00656EF5">
        <w:rPr>
          <w:rFonts w:hint="cs"/>
          <w:rtl/>
        </w:rPr>
        <w:t xml:space="preserve"> </w:t>
      </w:r>
      <w:r w:rsidRPr="00656EF5">
        <w:rPr>
          <w:rFonts w:hint="cs"/>
          <w:b/>
          <w:bCs/>
          <w:rtl/>
        </w:rPr>
        <w:t xml:space="preserve">מ.י. נ' לוי </w:t>
      </w:r>
      <w:r w:rsidRPr="00656EF5">
        <w:rPr>
          <w:rFonts w:hint="cs"/>
          <w:rtl/>
        </w:rPr>
        <w:t>(2014), שאושר ב</w:t>
      </w:r>
      <w:hyperlink r:id="rId18" w:history="1">
        <w:r w:rsidR="00A76E93" w:rsidRPr="00A76E93">
          <w:rPr>
            <w:color w:val="0000FF"/>
            <w:u w:val="single"/>
            <w:rtl/>
          </w:rPr>
          <w:t>רע"פ 747/14</w:t>
        </w:r>
      </w:hyperlink>
      <w:r w:rsidRPr="00656EF5">
        <w:rPr>
          <w:rFonts w:hint="cs"/>
          <w:rtl/>
        </w:rPr>
        <w:t xml:space="preserve"> </w:t>
      </w:r>
      <w:r w:rsidRPr="00656EF5">
        <w:rPr>
          <w:b/>
          <w:bCs/>
          <w:rtl/>
        </w:rPr>
        <w:t>לוי נ' מ</w:t>
      </w:r>
      <w:r w:rsidRPr="00656EF5">
        <w:rPr>
          <w:rFonts w:hint="cs"/>
          <w:b/>
          <w:bCs/>
          <w:rtl/>
        </w:rPr>
        <w:t>.י.</w:t>
      </w:r>
      <w:r w:rsidRPr="00656EF5">
        <w:rPr>
          <w:rFonts w:hint="cs"/>
          <w:rtl/>
        </w:rPr>
        <w:t xml:space="preserve"> (2014) בהתייחס לכמות כמעט-זהה של קוקאין והרואין, ובדומה, לעניין סוג סם וכמות, ראו </w:t>
      </w:r>
      <w:hyperlink r:id="rId19" w:history="1">
        <w:r w:rsidR="00A76E93" w:rsidRPr="00A76E93">
          <w:rPr>
            <w:color w:val="0000FF"/>
            <w:u w:val="single"/>
            <w:rtl/>
          </w:rPr>
          <w:t>רע"פ 7572/12</w:t>
        </w:r>
      </w:hyperlink>
      <w:r w:rsidRPr="00656EF5">
        <w:rPr>
          <w:rtl/>
        </w:rPr>
        <w:t xml:space="preserve"> </w:t>
      </w:r>
      <w:r w:rsidRPr="00656EF5">
        <w:rPr>
          <w:b/>
          <w:bCs/>
          <w:rtl/>
        </w:rPr>
        <w:t>הזייל נ' מ</w:t>
      </w:r>
      <w:r w:rsidRPr="00656EF5">
        <w:rPr>
          <w:rFonts w:hint="cs"/>
          <w:b/>
          <w:bCs/>
          <w:rtl/>
        </w:rPr>
        <w:t>.י.</w:t>
      </w:r>
      <w:r w:rsidRPr="00656EF5">
        <w:rPr>
          <w:rFonts w:hint="cs"/>
          <w:rtl/>
        </w:rPr>
        <w:t xml:space="preserve"> (2012), </w:t>
      </w:r>
      <w:hyperlink r:id="rId20" w:history="1">
        <w:r w:rsidR="00A76E93" w:rsidRPr="00A76E93">
          <w:rPr>
            <w:color w:val="0000FF"/>
            <w:u w:val="single"/>
            <w:rtl/>
          </w:rPr>
          <w:t>ת"פ 25474-11-15</w:t>
        </w:r>
      </w:hyperlink>
      <w:r w:rsidRPr="00656EF5">
        <w:rPr>
          <w:rtl/>
        </w:rPr>
        <w:t xml:space="preserve"> </w:t>
      </w:r>
      <w:r w:rsidRPr="00656EF5">
        <w:rPr>
          <w:b/>
          <w:bCs/>
          <w:rtl/>
        </w:rPr>
        <w:t>מ</w:t>
      </w:r>
      <w:r w:rsidRPr="00656EF5">
        <w:rPr>
          <w:rFonts w:hint="cs"/>
          <w:b/>
          <w:bCs/>
          <w:rtl/>
        </w:rPr>
        <w:t>.י.</w:t>
      </w:r>
      <w:r w:rsidRPr="00656EF5">
        <w:rPr>
          <w:b/>
          <w:bCs/>
          <w:rtl/>
        </w:rPr>
        <w:t xml:space="preserve"> נ' וזוז</w:t>
      </w:r>
      <w:r w:rsidRPr="00656EF5">
        <w:rPr>
          <w:rFonts w:hint="cs"/>
          <w:rtl/>
        </w:rPr>
        <w:t xml:space="preserve"> (2016), </w:t>
      </w:r>
      <w:hyperlink r:id="rId21" w:history="1">
        <w:r w:rsidR="00A76E93" w:rsidRPr="00A76E93">
          <w:rPr>
            <w:color w:val="0000FF"/>
            <w:u w:val="single"/>
            <w:rtl/>
          </w:rPr>
          <w:t>ת"פ 15725-02-14</w:t>
        </w:r>
      </w:hyperlink>
      <w:r w:rsidRPr="00656EF5">
        <w:rPr>
          <w:rFonts w:hint="cs"/>
          <w:rtl/>
        </w:rPr>
        <w:t xml:space="preserve"> </w:t>
      </w:r>
      <w:r w:rsidRPr="00656EF5">
        <w:rPr>
          <w:rFonts w:hint="cs"/>
          <w:b/>
          <w:bCs/>
          <w:rtl/>
        </w:rPr>
        <w:t>מ.י. נ' כהן</w:t>
      </w:r>
      <w:r w:rsidRPr="00656EF5">
        <w:rPr>
          <w:rFonts w:hint="cs"/>
          <w:rtl/>
        </w:rPr>
        <w:t xml:space="preserve"> (2015), </w:t>
      </w:r>
      <w:hyperlink r:id="rId22" w:history="1">
        <w:r w:rsidR="00A76E93" w:rsidRPr="00A76E93">
          <w:rPr>
            <w:color w:val="0000FF"/>
            <w:u w:val="single"/>
            <w:rtl/>
          </w:rPr>
          <w:t>ת"פ 22464-07-12</w:t>
        </w:r>
      </w:hyperlink>
      <w:r w:rsidRPr="00656EF5">
        <w:rPr>
          <w:rtl/>
        </w:rPr>
        <w:t xml:space="preserve"> </w:t>
      </w:r>
      <w:r w:rsidRPr="00656EF5">
        <w:rPr>
          <w:b/>
          <w:bCs/>
          <w:rtl/>
        </w:rPr>
        <w:t>מ</w:t>
      </w:r>
      <w:r w:rsidRPr="00656EF5">
        <w:rPr>
          <w:rFonts w:hint="cs"/>
          <w:b/>
          <w:bCs/>
          <w:rtl/>
        </w:rPr>
        <w:t>.י.</w:t>
      </w:r>
      <w:r w:rsidRPr="00656EF5">
        <w:rPr>
          <w:b/>
          <w:bCs/>
          <w:rtl/>
        </w:rPr>
        <w:t xml:space="preserve"> נ' חמדאן</w:t>
      </w:r>
      <w:r w:rsidRPr="00656EF5">
        <w:rPr>
          <w:rFonts w:hint="cs"/>
          <w:b/>
          <w:bCs/>
          <w:rtl/>
        </w:rPr>
        <w:t xml:space="preserve"> </w:t>
      </w:r>
      <w:r w:rsidRPr="00656EF5">
        <w:rPr>
          <w:rFonts w:hint="cs"/>
          <w:rtl/>
        </w:rPr>
        <w:t xml:space="preserve">(2014) בהתייחס לכמות דומה של קוקאין. </w:t>
      </w:r>
    </w:p>
    <w:p w14:paraId="086F07A2" w14:textId="77777777" w:rsidR="007A2159" w:rsidRPr="00547D1B" w:rsidRDefault="007A2159" w:rsidP="007A2159">
      <w:pPr>
        <w:pStyle w:val="a9"/>
        <w:numPr>
          <w:ilvl w:val="0"/>
          <w:numId w:val="2"/>
        </w:numPr>
        <w:spacing w:line="360" w:lineRule="auto"/>
        <w:jc w:val="both"/>
      </w:pPr>
      <w:r w:rsidRPr="00547D1B">
        <w:rPr>
          <w:rtl/>
        </w:rPr>
        <w:t xml:space="preserve">הנאשם </w:t>
      </w:r>
      <w:r w:rsidRPr="00547D1B">
        <w:rPr>
          <w:rFonts w:hint="cs"/>
          <w:rtl/>
        </w:rPr>
        <w:t>היה 'בגיר צעיר' בעת המעשה, באופן המצדיק הקלת-מה בקביעת המתחם</w:t>
      </w:r>
      <w:r w:rsidRPr="00547D1B">
        <w:rPr>
          <w:rtl/>
        </w:rPr>
        <w:t xml:space="preserve">: </w:t>
      </w:r>
    </w:p>
    <w:p w14:paraId="268488DA" w14:textId="77777777" w:rsidR="007A2159" w:rsidRPr="00921055" w:rsidRDefault="007A2159" w:rsidP="007A2159">
      <w:pPr>
        <w:numPr>
          <w:ilvl w:val="1"/>
          <w:numId w:val="4"/>
        </w:numPr>
        <w:spacing w:line="360" w:lineRule="auto"/>
        <w:ind w:left="720"/>
        <w:contextualSpacing/>
        <w:jc w:val="both"/>
      </w:pPr>
      <w:r w:rsidRPr="00921055">
        <w:rPr>
          <w:rtl/>
        </w:rPr>
        <w:t xml:space="preserve">בית המשפט העליון נתן בידינו כלי פרשני, שֵם לקבוצת נאשמים בה מתקיימים מאפיינים ייחודיים – "בגירים צעירים". השיוך לקבוצה זו איננו בשום פנים ואופן אוטומטי או תלוי-גיל בלבד, ואף לא מבטיח כשלעצמו הקלה בעונש, ובכל מקרה ולכל נאשם יש לבחון קיומם של מאפיינים אלו. </w:t>
      </w:r>
      <w:hyperlink r:id="rId23" w:history="1">
        <w:r w:rsidR="00A76E93" w:rsidRPr="00A76E93">
          <w:rPr>
            <w:color w:val="0000FF"/>
            <w:u w:val="single"/>
            <w:rtl/>
          </w:rPr>
          <w:t>ע"פ  2420/15</w:t>
        </w:r>
      </w:hyperlink>
      <w:r w:rsidRPr="00921055">
        <w:rPr>
          <w:rtl/>
        </w:rPr>
        <w:t xml:space="preserve"> </w:t>
      </w:r>
      <w:r w:rsidRPr="00921055">
        <w:rPr>
          <w:b/>
          <w:bCs/>
          <w:rtl/>
        </w:rPr>
        <w:t>אברהם נ' מ.י.</w:t>
      </w:r>
      <w:r w:rsidRPr="00921055">
        <w:rPr>
          <w:rtl/>
        </w:rPr>
        <w:t xml:space="preserve"> (2015) שניתן מפי הש' ג'ובראן</w:t>
      </w:r>
      <w:r w:rsidRPr="00656EF5">
        <w:rPr>
          <w:vertAlign w:val="superscript"/>
        </w:rPr>
        <w:footnoteReference w:customMarkFollows="1" w:id="1"/>
        <w:t>[1]</w:t>
      </w:r>
      <w:r w:rsidRPr="00921055">
        <w:rPr>
          <w:rtl/>
        </w:rPr>
        <w:t xml:space="preserve"> בהסכמת הש' עמית ושהם, הבהיר כך את המשמעות הנכונה של המושג, ופתר-למעשה קשיים והסתייגויות קודמים (וראו דברי הש' חיות וסולברג ב</w:t>
      </w:r>
      <w:hyperlink r:id="rId24" w:history="1">
        <w:r w:rsidR="00A76E93" w:rsidRPr="00A76E93">
          <w:rPr>
            <w:color w:val="0000FF"/>
            <w:u w:val="single"/>
            <w:rtl/>
          </w:rPr>
          <w:t>ע"פ 452/14</w:t>
        </w:r>
      </w:hyperlink>
      <w:r w:rsidRPr="00921055">
        <w:rPr>
          <w:rtl/>
        </w:rPr>
        <w:t xml:space="preserve"> </w:t>
      </w:r>
      <w:r w:rsidRPr="00921055">
        <w:rPr>
          <w:b/>
          <w:bCs/>
          <w:rtl/>
        </w:rPr>
        <w:t>דבוש נ' מ.י.</w:t>
      </w:r>
      <w:r w:rsidRPr="00921055">
        <w:rPr>
          <w:rtl/>
        </w:rPr>
        <w:t xml:space="preserve"> (2014); </w:t>
      </w:r>
      <w:r w:rsidRPr="00921055">
        <w:rPr>
          <w:rtl/>
        </w:rPr>
        <w:lastRenderedPageBreak/>
        <w:t>דברי הש' ברק-ארז ב</w:t>
      </w:r>
      <w:hyperlink r:id="rId25" w:history="1">
        <w:r w:rsidR="00A76E93" w:rsidRPr="00A76E93">
          <w:rPr>
            <w:color w:val="0000FF"/>
            <w:u w:val="single"/>
            <w:rtl/>
          </w:rPr>
          <w:t>ע"פ 7661/13</w:t>
        </w:r>
      </w:hyperlink>
      <w:r w:rsidRPr="00921055">
        <w:rPr>
          <w:rtl/>
        </w:rPr>
        <w:t xml:space="preserve"> </w:t>
      </w:r>
      <w:r w:rsidRPr="00921055">
        <w:rPr>
          <w:b/>
          <w:bCs/>
          <w:rtl/>
        </w:rPr>
        <w:t>אבו-נאסר נ' מ.י.</w:t>
      </w:r>
      <w:r w:rsidRPr="00921055">
        <w:rPr>
          <w:rtl/>
        </w:rPr>
        <w:t xml:space="preserve"> (2014); דברי הש' רובינשטיין ב</w:t>
      </w:r>
      <w:hyperlink r:id="rId26" w:history="1">
        <w:r w:rsidR="00A76E93" w:rsidRPr="00A76E93">
          <w:rPr>
            <w:color w:val="0000FF"/>
            <w:u w:val="single"/>
            <w:rtl/>
          </w:rPr>
          <w:t>ע"פ 2357/13</w:t>
        </w:r>
      </w:hyperlink>
      <w:r w:rsidRPr="00921055">
        <w:rPr>
          <w:rtl/>
        </w:rPr>
        <w:t xml:space="preserve"> </w:t>
      </w:r>
      <w:r w:rsidRPr="00921055">
        <w:rPr>
          <w:b/>
          <w:bCs/>
          <w:rtl/>
        </w:rPr>
        <w:t>רוש נ' מ.י.</w:t>
      </w:r>
      <w:r w:rsidRPr="00921055">
        <w:rPr>
          <w:rtl/>
        </w:rPr>
        <w:t xml:space="preserve"> (2013); דברי הש' עמית ב</w:t>
      </w:r>
      <w:bookmarkStart w:id="8" w:name="casename_body"/>
      <w:r w:rsidR="00A76E93" w:rsidRPr="00A76E93">
        <w:rPr>
          <w:color w:val="0000FF"/>
          <w:u w:val="single"/>
          <w:rtl/>
        </w:rPr>
        <w:fldChar w:fldCharType="begin"/>
      </w:r>
      <w:r w:rsidR="00A76E93" w:rsidRPr="00A76E93">
        <w:rPr>
          <w:color w:val="0000FF"/>
          <w:u w:val="single"/>
          <w:rtl/>
        </w:rPr>
        <w:instrText xml:space="preserve"> </w:instrText>
      </w:r>
      <w:r w:rsidR="00A76E93" w:rsidRPr="00A76E93">
        <w:rPr>
          <w:color w:val="0000FF"/>
          <w:u w:val="single"/>
        </w:rPr>
        <w:instrText xml:space="preserve">HYPERLINK </w:instrText>
      </w:r>
      <w:r w:rsidR="00A76E93" w:rsidRPr="00A76E93">
        <w:rPr>
          <w:color w:val="0000FF"/>
          <w:u w:val="single"/>
          <w:rtl/>
        </w:rPr>
        <w:instrText>"</w:instrText>
      </w:r>
      <w:r w:rsidR="00A76E93" w:rsidRPr="00A76E93">
        <w:rPr>
          <w:color w:val="0000FF"/>
          <w:u w:val="single"/>
        </w:rPr>
        <w:instrText>http://www.nevo.co.il/case/6248029"</w:instrText>
      </w:r>
      <w:r w:rsidR="00A76E93" w:rsidRPr="00A76E93">
        <w:rPr>
          <w:color w:val="0000FF"/>
          <w:u w:val="single"/>
          <w:rtl/>
        </w:rPr>
        <w:instrText xml:space="preserve"> </w:instrText>
      </w:r>
      <w:r w:rsidR="00A76E93" w:rsidRPr="00A76E93">
        <w:rPr>
          <w:color w:val="0000FF"/>
          <w:u w:val="single"/>
          <w:rtl/>
        </w:rPr>
      </w:r>
      <w:r w:rsidR="00A76E93" w:rsidRPr="00A76E93">
        <w:rPr>
          <w:color w:val="0000FF"/>
          <w:u w:val="single"/>
          <w:rtl/>
        </w:rPr>
        <w:fldChar w:fldCharType="separate"/>
      </w:r>
      <w:bookmarkEnd w:id="8"/>
      <w:r w:rsidR="00A76E93" w:rsidRPr="00A76E93">
        <w:rPr>
          <w:color w:val="0000FF"/>
          <w:u w:val="single"/>
          <w:rtl/>
        </w:rPr>
        <w:t>ע"פ 7781/12</w:t>
      </w:r>
      <w:r w:rsidR="00A76E93" w:rsidRPr="00A76E93">
        <w:rPr>
          <w:color w:val="0000FF"/>
          <w:u w:val="single"/>
          <w:rtl/>
        </w:rPr>
        <w:fldChar w:fldCharType="end"/>
      </w:r>
      <w:r w:rsidRPr="00921055">
        <w:rPr>
          <w:rtl/>
        </w:rPr>
        <w:t xml:space="preserve"> </w:t>
      </w:r>
      <w:r w:rsidRPr="00921055">
        <w:rPr>
          <w:b/>
          <w:bCs/>
          <w:rtl/>
        </w:rPr>
        <w:t>פלוני נ' מ.י.</w:t>
      </w:r>
      <w:r w:rsidRPr="00921055">
        <w:rPr>
          <w:rtl/>
        </w:rPr>
        <w:t xml:space="preserve"> (2013));</w:t>
      </w:r>
    </w:p>
    <w:p w14:paraId="4582D31C" w14:textId="77777777" w:rsidR="007A2159" w:rsidRPr="00921055" w:rsidRDefault="007A2159" w:rsidP="007A2159">
      <w:pPr>
        <w:numPr>
          <w:ilvl w:val="1"/>
          <w:numId w:val="4"/>
        </w:numPr>
        <w:spacing w:line="360" w:lineRule="auto"/>
        <w:ind w:left="720"/>
        <w:contextualSpacing/>
        <w:jc w:val="both"/>
      </w:pPr>
      <w:r w:rsidRPr="00921055">
        <w:rPr>
          <w:rtl/>
        </w:rPr>
        <w:t>כפי שנאמר בפסיקת בית המשפט העליון, גם ללא שימוש במושג מתחדש זה של "בגירים צעירים"</w:t>
      </w:r>
      <w:r w:rsidRPr="00656EF5">
        <w:rPr>
          <w:vertAlign w:val="superscript"/>
        </w:rPr>
        <w:footnoteReference w:customMarkFollows="1" w:id="2"/>
        <w:t>[2]</w:t>
      </w:r>
      <w:r w:rsidRPr="00921055">
        <w:rPr>
          <w:rtl/>
        </w:rPr>
        <w:t xml:space="preserve">, ניתן וראוי לשקול שיקולים הנעוצים בתפיסות חדשות של תהליך ההתפתחות הקוגניטיבי של עבריינים המשתייכים לקבוצת גיל זו: </w:t>
      </w:r>
    </w:p>
    <w:p w14:paraId="46E9B0B0" w14:textId="77777777" w:rsidR="007A2159" w:rsidRPr="00921055" w:rsidRDefault="007A2159" w:rsidP="007A2159">
      <w:pPr>
        <w:spacing w:line="360" w:lineRule="auto"/>
        <w:ind w:left="720"/>
        <w:jc w:val="both"/>
      </w:pPr>
      <w:r w:rsidRPr="00921055">
        <w:rPr>
          <w:rtl/>
        </w:rPr>
        <w:t xml:space="preserve">לא רק במהלך קביעת העונש בתוך המתחם שנקבע, לפי </w:t>
      </w:r>
      <w:hyperlink r:id="rId27" w:history="1">
        <w:r w:rsidR="00DB408F" w:rsidRPr="00DB408F">
          <w:rPr>
            <w:color w:val="0000FF"/>
            <w:u w:val="single"/>
            <w:rtl/>
          </w:rPr>
          <w:t>סעיף 40יא(1)</w:t>
        </w:r>
      </w:hyperlink>
      <w:r w:rsidRPr="00921055">
        <w:rPr>
          <w:rtl/>
        </w:rPr>
        <w:t xml:space="preserve"> ל</w:t>
      </w:r>
      <w:hyperlink r:id="rId28" w:history="1">
        <w:r w:rsidR="00A76E93" w:rsidRPr="00A76E93">
          <w:rPr>
            <w:color w:val="0000FF"/>
            <w:u w:val="single"/>
            <w:rtl/>
          </w:rPr>
          <w:t>חוק העונשין</w:t>
        </w:r>
      </w:hyperlink>
      <w:r w:rsidRPr="00921055">
        <w:rPr>
          <w:rtl/>
        </w:rPr>
        <w:t xml:space="preserve">, אלא גם במסגרת קביעת מתחם העונש, לפי </w:t>
      </w:r>
      <w:hyperlink r:id="rId29" w:history="1">
        <w:r w:rsidR="00DB408F" w:rsidRPr="00DB408F">
          <w:rPr>
            <w:color w:val="0000FF"/>
            <w:u w:val="single"/>
            <w:rtl/>
          </w:rPr>
          <w:t>סעיף 40ט(א)(6)</w:t>
        </w:r>
      </w:hyperlink>
      <w:r w:rsidRPr="00921055">
        <w:rPr>
          <w:rtl/>
        </w:rPr>
        <w:t xml:space="preserve"> המורה להתחשב ב"יכולתו</w:t>
      </w:r>
      <w:r w:rsidRPr="00921055">
        <w:t xml:space="preserve"> </w:t>
      </w:r>
      <w:r w:rsidRPr="00921055">
        <w:rPr>
          <w:rtl/>
        </w:rPr>
        <w:t>של</w:t>
      </w:r>
      <w:r w:rsidRPr="00921055">
        <w:t xml:space="preserve"> </w:t>
      </w:r>
      <w:r w:rsidRPr="00921055">
        <w:rPr>
          <w:rtl/>
        </w:rPr>
        <w:t>הנאשם</w:t>
      </w:r>
      <w:r w:rsidRPr="00921055">
        <w:t xml:space="preserve"> </w:t>
      </w:r>
      <w:r w:rsidRPr="00921055">
        <w:rPr>
          <w:rtl/>
        </w:rPr>
        <w:t>להבין</w:t>
      </w:r>
      <w:r w:rsidRPr="00921055">
        <w:t xml:space="preserve"> </w:t>
      </w:r>
      <w:r w:rsidRPr="00921055">
        <w:rPr>
          <w:rtl/>
        </w:rPr>
        <w:t>את</w:t>
      </w:r>
      <w:r w:rsidRPr="00921055">
        <w:t xml:space="preserve"> </w:t>
      </w:r>
      <w:r w:rsidRPr="00921055">
        <w:rPr>
          <w:rtl/>
        </w:rPr>
        <w:t>אשר</w:t>
      </w:r>
      <w:r w:rsidRPr="00921055">
        <w:t xml:space="preserve"> </w:t>
      </w:r>
      <w:r w:rsidRPr="00921055">
        <w:rPr>
          <w:rtl/>
        </w:rPr>
        <w:t>הוא</w:t>
      </w:r>
      <w:r w:rsidRPr="00921055">
        <w:t xml:space="preserve"> </w:t>
      </w:r>
      <w:r w:rsidRPr="00921055">
        <w:rPr>
          <w:rtl/>
        </w:rPr>
        <w:t>עושה, את</w:t>
      </w:r>
      <w:r w:rsidRPr="00921055">
        <w:t xml:space="preserve"> </w:t>
      </w:r>
      <w:r w:rsidRPr="00921055">
        <w:rPr>
          <w:rtl/>
        </w:rPr>
        <w:t>הפסול</w:t>
      </w:r>
      <w:r w:rsidRPr="00921055">
        <w:t xml:space="preserve"> </w:t>
      </w:r>
      <w:r w:rsidRPr="00921055">
        <w:rPr>
          <w:rtl/>
        </w:rPr>
        <w:t>שבמעשהו</w:t>
      </w:r>
      <w:r w:rsidRPr="00921055">
        <w:t xml:space="preserve"> </w:t>
      </w:r>
      <w:r w:rsidRPr="00921055">
        <w:rPr>
          <w:rtl/>
        </w:rPr>
        <w:t>או</w:t>
      </w:r>
      <w:r w:rsidRPr="00921055">
        <w:t xml:space="preserve"> </w:t>
      </w:r>
      <w:r w:rsidRPr="00921055">
        <w:rPr>
          <w:rtl/>
        </w:rPr>
        <w:t>את</w:t>
      </w:r>
      <w:r w:rsidRPr="00921055">
        <w:t xml:space="preserve"> </w:t>
      </w:r>
      <w:r w:rsidRPr="00921055">
        <w:rPr>
          <w:rtl/>
        </w:rPr>
        <w:t>משמעות</w:t>
      </w:r>
      <w:r w:rsidRPr="00921055">
        <w:t xml:space="preserve"> </w:t>
      </w:r>
      <w:r w:rsidRPr="00921055">
        <w:rPr>
          <w:rtl/>
        </w:rPr>
        <w:t>מעשהו, לרבות</w:t>
      </w:r>
      <w:r w:rsidRPr="00921055">
        <w:t xml:space="preserve"> </w:t>
      </w:r>
      <w:r w:rsidRPr="00921055">
        <w:rPr>
          <w:rtl/>
        </w:rPr>
        <w:t>בשל</w:t>
      </w:r>
      <w:r w:rsidRPr="00921055">
        <w:t xml:space="preserve"> </w:t>
      </w:r>
      <w:r w:rsidRPr="00921055">
        <w:rPr>
          <w:rtl/>
        </w:rPr>
        <w:t xml:space="preserve">גילו" – ולעתים גם לפי </w:t>
      </w:r>
      <w:hyperlink r:id="rId30" w:history="1">
        <w:r w:rsidR="00DB408F" w:rsidRPr="00DB408F">
          <w:rPr>
            <w:color w:val="0000FF"/>
            <w:u w:val="single"/>
            <w:rtl/>
          </w:rPr>
          <w:t>סעיף 40ט(א)(7)</w:t>
        </w:r>
      </w:hyperlink>
      <w:r w:rsidRPr="00921055">
        <w:rPr>
          <w:rtl/>
        </w:rPr>
        <w:t xml:space="preserve"> הדן במידת יכולתו של הנאשם להימנע ממעשה ובמידת השליטה שלו על מעשהו (עניין </w:t>
      </w:r>
      <w:r w:rsidRPr="00921055">
        <w:rPr>
          <w:b/>
          <w:bCs/>
          <w:rtl/>
        </w:rPr>
        <w:t>אברהם</w:t>
      </w:r>
      <w:r w:rsidRPr="00921055">
        <w:rPr>
          <w:rtl/>
        </w:rPr>
        <w:t xml:space="preserve">, פסקה 21; עניין </w:t>
      </w:r>
      <w:r w:rsidRPr="00921055">
        <w:rPr>
          <w:b/>
          <w:bCs/>
          <w:rtl/>
        </w:rPr>
        <w:t>דבוש</w:t>
      </w:r>
      <w:r w:rsidRPr="00921055">
        <w:rPr>
          <w:rtl/>
        </w:rPr>
        <w:t xml:space="preserve">, פסקה 4 לדברי הש' סולברג; עניין </w:t>
      </w:r>
      <w:r w:rsidRPr="00921055">
        <w:rPr>
          <w:b/>
          <w:bCs/>
          <w:rtl/>
        </w:rPr>
        <w:t>רוש</w:t>
      </w:r>
      <w:r w:rsidRPr="00921055">
        <w:rPr>
          <w:rtl/>
        </w:rPr>
        <w:t>, פסקה י"ט);</w:t>
      </w:r>
    </w:p>
    <w:p w14:paraId="0E2C2FC6" w14:textId="77777777" w:rsidR="007A2159" w:rsidRPr="00921055" w:rsidRDefault="007A2159" w:rsidP="007A2159">
      <w:pPr>
        <w:numPr>
          <w:ilvl w:val="1"/>
          <w:numId w:val="4"/>
        </w:numPr>
        <w:spacing w:line="360" w:lineRule="auto"/>
        <w:ind w:left="720"/>
        <w:contextualSpacing/>
        <w:jc w:val="both"/>
      </w:pPr>
      <w:r w:rsidRPr="00921055">
        <w:rPr>
          <w:rtl/>
        </w:rPr>
        <w:t xml:space="preserve">בבדיקה הקונקרטית והפרטנית הנדרשת יבדוק בית המשפט נתונים מרכזיים אלו: "קרבתו [של הנאשם] לגיל 18, ההשפעה האפשרית של מאסר בפועל על שיקומו ומצבו הנפשי, ובגרותו. הכול כעולה מתסקיר המבחן שיוגש בפניו בטרם גזירת העונש" (עניין </w:t>
      </w:r>
      <w:r w:rsidRPr="00921055">
        <w:rPr>
          <w:b/>
          <w:bCs/>
          <w:rtl/>
        </w:rPr>
        <w:t>פלוני</w:t>
      </w:r>
      <w:r w:rsidRPr="00921055">
        <w:rPr>
          <w:rtl/>
        </w:rPr>
        <w:t xml:space="preserve">, פסקה 58; עניין </w:t>
      </w:r>
      <w:r w:rsidRPr="00921055">
        <w:rPr>
          <w:b/>
          <w:bCs/>
          <w:rtl/>
        </w:rPr>
        <w:t>אברהם</w:t>
      </w:r>
      <w:r w:rsidRPr="00921055">
        <w:rPr>
          <w:rtl/>
        </w:rPr>
        <w:t>, פסקה 20);</w:t>
      </w:r>
    </w:p>
    <w:p w14:paraId="50317E9E" w14:textId="77777777" w:rsidR="007A2159" w:rsidRDefault="007A2159" w:rsidP="007A2159">
      <w:pPr>
        <w:numPr>
          <w:ilvl w:val="1"/>
          <w:numId w:val="4"/>
        </w:numPr>
        <w:spacing w:line="360" w:lineRule="auto"/>
        <w:ind w:left="720"/>
        <w:contextualSpacing/>
        <w:jc w:val="both"/>
      </w:pPr>
      <w:r w:rsidRPr="00921055">
        <w:rPr>
          <w:rtl/>
        </w:rPr>
        <w:t>הנאשם הוא יליד</w:t>
      </w:r>
      <w:r>
        <w:rPr>
          <w:rFonts w:hint="cs"/>
          <w:rtl/>
        </w:rPr>
        <w:t xml:space="preserve"> 27.3.95</w:t>
      </w:r>
      <w:r w:rsidRPr="00921055">
        <w:rPr>
          <w:rtl/>
        </w:rPr>
        <w:t xml:space="preserve"> ו</w:t>
      </w:r>
      <w:r w:rsidRPr="00656EF5">
        <w:rPr>
          <w:rFonts w:hint="cs"/>
          <w:rtl/>
        </w:rPr>
        <w:t>בעת ביצוע העבירה היה כבן 20</w:t>
      </w:r>
      <w:r>
        <w:rPr>
          <w:rFonts w:hint="cs"/>
          <w:rtl/>
        </w:rPr>
        <w:t>. הנאשם אינו משתמש בסמים, כפי שהראו בדיקות שערכו שירות המבחן והממונה על עבודות השירות</w:t>
      </w:r>
      <w:r w:rsidRPr="00921055">
        <w:rPr>
          <w:rtl/>
        </w:rPr>
        <w:t>;</w:t>
      </w:r>
    </w:p>
    <w:p w14:paraId="15D35C60" w14:textId="77777777" w:rsidR="007A2159" w:rsidRDefault="007A2159" w:rsidP="007A2159">
      <w:pPr>
        <w:numPr>
          <w:ilvl w:val="1"/>
          <w:numId w:val="4"/>
        </w:numPr>
        <w:spacing w:line="360" w:lineRule="auto"/>
        <w:ind w:left="720"/>
        <w:contextualSpacing/>
        <w:jc w:val="both"/>
      </w:pPr>
      <w:r>
        <w:rPr>
          <w:rFonts w:hint="cs"/>
          <w:rtl/>
        </w:rPr>
        <w:t>מוצא הנאשם ממשפחה חמה ונורמטיבית, אך קשת-יום, כך שהנאשם נאלץ להפסיק את לימודיו ולעבוד לפרנסת המשפחה. מאז ועד היום עובד הנאשם בחברה לעבודות תשתית ובניין שבבעלות אחיו. הנאשם נשוי, אב לשני פעוטות ועתיד לזכות בבן נוסף בקרוב;</w:t>
      </w:r>
    </w:p>
    <w:p w14:paraId="688B94B5" w14:textId="77777777" w:rsidR="007A2159" w:rsidRDefault="007A2159" w:rsidP="007A2159">
      <w:pPr>
        <w:numPr>
          <w:ilvl w:val="1"/>
          <w:numId w:val="4"/>
        </w:numPr>
        <w:spacing w:line="360" w:lineRule="auto"/>
        <w:ind w:left="720"/>
        <w:contextualSpacing/>
        <w:jc w:val="both"/>
      </w:pPr>
      <w:r>
        <w:rPr>
          <w:rFonts w:hint="cs"/>
          <w:rtl/>
        </w:rPr>
        <w:t>הנאשם נטול עבר פלילי. על-אף ערפול תחילי מסוים, הנאשם גילה תובנה לחומרת המעשה והביע חרטה ובושה כנות, כשגם משפחתו ממחישה לו בביטויי כעס ואכזבה את משמעות המעשה;</w:t>
      </w:r>
    </w:p>
    <w:p w14:paraId="4DD4C8AF" w14:textId="77777777" w:rsidR="007A2159" w:rsidRDefault="007A2159" w:rsidP="007A2159">
      <w:pPr>
        <w:numPr>
          <w:ilvl w:val="1"/>
          <w:numId w:val="4"/>
        </w:numPr>
        <w:spacing w:line="360" w:lineRule="auto"/>
        <w:ind w:left="720"/>
        <w:contextualSpacing/>
        <w:jc w:val="both"/>
      </w:pPr>
      <w:r>
        <w:rPr>
          <w:rFonts w:hint="cs"/>
          <w:rtl/>
        </w:rPr>
        <w:t xml:space="preserve">שירות המבחן בדק ומצא, כי לנאשם (כבן 24 כיום) כישורים, יכולות ושאיפות נורמטיביות, כשהוא מתפקד ומגלה אחריות למשפחתו ובעבודתו, על-אף גילו הצעיר. מאידך גיסא, התנהגותו של הנאשם גילתה חוסר בשלות, קושי שהפעלת שיקול דעת בהתאמה וסיטואציה, וקושי בוויסות דחפים </w:t>
      </w:r>
      <w:r>
        <w:rPr>
          <w:rtl/>
        </w:rPr>
        <w:t>–</w:t>
      </w:r>
      <w:r>
        <w:rPr>
          <w:rFonts w:hint="cs"/>
          <w:rtl/>
        </w:rPr>
        <w:t xml:space="preserve"> כל אלה הם מאפיינים מובהקים של 'בגיר צעיר';</w:t>
      </w:r>
    </w:p>
    <w:p w14:paraId="7723AEBF" w14:textId="77777777" w:rsidR="007A2159" w:rsidRDefault="007A2159" w:rsidP="007A2159">
      <w:pPr>
        <w:numPr>
          <w:ilvl w:val="1"/>
          <w:numId w:val="4"/>
        </w:numPr>
        <w:spacing w:line="360" w:lineRule="auto"/>
        <w:ind w:left="720"/>
        <w:contextualSpacing/>
        <w:jc w:val="both"/>
      </w:pPr>
      <w:r>
        <w:rPr>
          <w:rFonts w:hint="cs"/>
          <w:rtl/>
        </w:rPr>
        <w:t>השירות מדגיש שהנאשם מצוי על 'קו תפר', או 'קו פרשת מים' בין נורמטיביות ושוליות, כשחשיפתו לחברה שולית עלולה לדרדר אותו ולהרחיק אותו מתפקוד נורמטיבי ומיטיב המאפיין כיום את התנהגותו. כך, עונש של מאסר בכליאה עלול להיות הרסני לאיש צעיר זה, למשפחתו ולחברה הסובבת אותו;</w:t>
      </w:r>
    </w:p>
    <w:p w14:paraId="2EF3D909" w14:textId="77777777" w:rsidR="007A2159" w:rsidRDefault="007A2159" w:rsidP="007A2159">
      <w:pPr>
        <w:numPr>
          <w:ilvl w:val="1"/>
          <w:numId w:val="4"/>
        </w:numPr>
        <w:spacing w:line="360" w:lineRule="auto"/>
        <w:ind w:left="720"/>
        <w:contextualSpacing/>
        <w:jc w:val="both"/>
      </w:pPr>
      <w:r>
        <w:rPr>
          <w:rFonts w:hint="cs"/>
          <w:rtl/>
        </w:rPr>
        <w:t>נתונים אלו יצדיקו אפוא את קביעתו של מתחם מקל, שבאופן עקרוני יאפשר ריצוי מאסר על-דרך עבודות שירות. זאת, ולא אימוצה של המלצת שירות המבחן שאינה תואמת את חומרת המעשה;</w:t>
      </w:r>
    </w:p>
    <w:p w14:paraId="5BDA0DA7" w14:textId="77777777" w:rsidR="007A2159" w:rsidRPr="00921055" w:rsidRDefault="007A2159" w:rsidP="007A2159">
      <w:pPr>
        <w:numPr>
          <w:ilvl w:val="0"/>
          <w:numId w:val="2"/>
        </w:numPr>
        <w:spacing w:line="360" w:lineRule="auto"/>
        <w:contextualSpacing/>
        <w:jc w:val="both"/>
      </w:pPr>
      <w:r>
        <w:rPr>
          <w:rFonts w:hint="cs"/>
          <w:rtl/>
        </w:rPr>
        <w:t>אקבע אפוא את מתחם העונש ההולם בעניין דנן בין שישה חודשי מאסר, שניתן לרצותם בעבודות שירות, לבין 14 חודשי מאסר בפועל, כעונש עיקרי.</w:t>
      </w:r>
    </w:p>
    <w:p w14:paraId="574AA246" w14:textId="77777777" w:rsidR="007A2159" w:rsidRDefault="007A2159" w:rsidP="007A2159">
      <w:pPr>
        <w:spacing w:line="360" w:lineRule="auto"/>
        <w:jc w:val="both"/>
        <w:rPr>
          <w:rtl/>
        </w:rPr>
      </w:pPr>
    </w:p>
    <w:p w14:paraId="654032C4" w14:textId="77777777" w:rsidR="007A2159" w:rsidRDefault="007A2159" w:rsidP="007A2159">
      <w:pPr>
        <w:spacing w:line="360" w:lineRule="auto"/>
        <w:jc w:val="both"/>
        <w:rPr>
          <w:rtl/>
        </w:rPr>
      </w:pPr>
    </w:p>
    <w:p w14:paraId="6AE87326" w14:textId="77777777" w:rsidR="007A2159" w:rsidRPr="00656EF5" w:rsidRDefault="007A2159" w:rsidP="007A2159">
      <w:pPr>
        <w:spacing w:line="360" w:lineRule="auto"/>
        <w:jc w:val="both"/>
        <w:rPr>
          <w:b/>
          <w:bCs/>
          <w:u w:val="single"/>
          <w:rtl/>
        </w:rPr>
      </w:pPr>
      <w:r w:rsidRPr="00656EF5">
        <w:rPr>
          <w:rFonts w:hint="cs"/>
          <w:b/>
          <w:bCs/>
          <w:u w:val="single"/>
          <w:rtl/>
        </w:rPr>
        <w:t xml:space="preserve">נסיבות שאינן קשורות בעבירה </w:t>
      </w:r>
      <w:r w:rsidRPr="00656EF5">
        <w:rPr>
          <w:b/>
          <w:bCs/>
          <w:u w:val="single"/>
          <w:rtl/>
        </w:rPr>
        <w:t>–</w:t>
      </w:r>
      <w:r w:rsidRPr="00656EF5">
        <w:rPr>
          <w:rFonts w:hint="cs"/>
          <w:b/>
          <w:bCs/>
          <w:u w:val="single"/>
          <w:rtl/>
        </w:rPr>
        <w:t xml:space="preserve"> קביעת העונש במתחם:</w:t>
      </w:r>
    </w:p>
    <w:p w14:paraId="729672DC" w14:textId="77777777" w:rsidR="007A2159" w:rsidRPr="00656EF5" w:rsidRDefault="007A2159" w:rsidP="007A2159">
      <w:pPr>
        <w:pStyle w:val="a9"/>
        <w:numPr>
          <w:ilvl w:val="0"/>
          <w:numId w:val="3"/>
        </w:numPr>
        <w:spacing w:line="360" w:lineRule="auto"/>
        <w:jc w:val="both"/>
      </w:pPr>
      <w:r w:rsidRPr="00656EF5">
        <w:rPr>
          <w:rFonts w:hint="cs"/>
          <w:rtl/>
        </w:rPr>
        <w:t>לזכותו של הנאשם נסיבות כבדות משקל, המצדיקות קביעת עונשו בתחתית המתחם, כהמלצתה ההגונה של התביעה</w:t>
      </w:r>
      <w:r>
        <w:rPr>
          <w:rFonts w:hint="cs"/>
          <w:rtl/>
        </w:rPr>
        <w:t xml:space="preserve"> (הגם שבהתייחס למתחם מחמיר יותר)</w:t>
      </w:r>
      <w:r w:rsidRPr="00656EF5">
        <w:rPr>
          <w:rFonts w:hint="cs"/>
          <w:rtl/>
        </w:rPr>
        <w:t>:</w:t>
      </w:r>
    </w:p>
    <w:p w14:paraId="10C15E15" w14:textId="77777777" w:rsidR="007A2159" w:rsidRPr="00656EF5" w:rsidRDefault="007A2159" w:rsidP="007A2159">
      <w:pPr>
        <w:numPr>
          <w:ilvl w:val="0"/>
          <w:numId w:val="5"/>
        </w:numPr>
        <w:spacing w:line="360" w:lineRule="auto"/>
        <w:contextualSpacing/>
        <w:jc w:val="both"/>
      </w:pPr>
      <w:r w:rsidRPr="00656EF5">
        <w:rPr>
          <w:rFonts w:hint="cs"/>
          <w:rtl/>
        </w:rPr>
        <w:t xml:space="preserve">משפחתו הצעירה של הנאשם עתידה להינזק קשות ממאסרו, רגשית וכלכלית, ואף לנאשם עצמו </w:t>
      </w:r>
      <w:r w:rsidRPr="00656EF5">
        <w:rPr>
          <w:rtl/>
        </w:rPr>
        <w:t>–</w:t>
      </w:r>
      <w:r w:rsidRPr="00656EF5">
        <w:rPr>
          <w:rFonts w:hint="cs"/>
          <w:rtl/>
        </w:rPr>
        <w:t xml:space="preserve"> צעיר שזהו לו מאסר ראשון </w:t>
      </w:r>
      <w:r w:rsidRPr="00656EF5">
        <w:rPr>
          <w:rtl/>
        </w:rPr>
        <w:t>–</w:t>
      </w:r>
      <w:r w:rsidRPr="00656EF5">
        <w:rPr>
          <w:rFonts w:hint="cs"/>
          <w:rtl/>
        </w:rPr>
        <w:t xml:space="preserve"> יהא המאסר קשה.</w:t>
      </w:r>
    </w:p>
    <w:p w14:paraId="6542FE5A" w14:textId="77777777" w:rsidR="007A2159" w:rsidRDefault="007A2159" w:rsidP="007A2159">
      <w:pPr>
        <w:numPr>
          <w:ilvl w:val="0"/>
          <w:numId w:val="5"/>
        </w:numPr>
        <w:spacing w:line="360" w:lineRule="auto"/>
        <w:contextualSpacing/>
        <w:jc w:val="both"/>
      </w:pPr>
      <w:r w:rsidRPr="00656EF5">
        <w:rPr>
          <w:rFonts w:hint="cs"/>
          <w:rtl/>
        </w:rPr>
        <w:t>הנאשם הודה ונטל אחריות, גם אם בתחילה מעומעמת</w:t>
      </w:r>
      <w:r>
        <w:rPr>
          <w:rFonts w:hint="cs"/>
          <w:rtl/>
        </w:rPr>
        <w:t>, וחסך כך משאבי ציבור</w:t>
      </w:r>
      <w:r w:rsidRPr="00656EF5">
        <w:rPr>
          <w:rFonts w:hint="cs"/>
          <w:rtl/>
        </w:rPr>
        <w:t>;</w:t>
      </w:r>
    </w:p>
    <w:p w14:paraId="5624C1C6" w14:textId="77777777" w:rsidR="007A2159" w:rsidRPr="00656EF5" w:rsidRDefault="007A2159" w:rsidP="007A2159">
      <w:pPr>
        <w:numPr>
          <w:ilvl w:val="0"/>
          <w:numId w:val="5"/>
        </w:numPr>
        <w:spacing w:line="360" w:lineRule="auto"/>
        <w:contextualSpacing/>
        <w:jc w:val="both"/>
      </w:pPr>
      <w:r>
        <w:rPr>
          <w:rFonts w:hint="cs"/>
          <w:rtl/>
        </w:rPr>
        <w:t>כפי שנאמר לעיל, התנהגותו של הנאשם ככלל היא אחראית וחיובית;</w:t>
      </w:r>
    </w:p>
    <w:p w14:paraId="5B2AA52A" w14:textId="77777777" w:rsidR="007A2159" w:rsidRDefault="007A2159" w:rsidP="007A2159">
      <w:pPr>
        <w:numPr>
          <w:ilvl w:val="0"/>
          <w:numId w:val="5"/>
        </w:numPr>
        <w:spacing w:line="360" w:lineRule="auto"/>
        <w:contextualSpacing/>
        <w:jc w:val="both"/>
      </w:pPr>
      <w:r>
        <w:rPr>
          <w:rFonts w:hint="cs"/>
          <w:rtl/>
        </w:rPr>
        <w:t>הנאשם נעדר עבר פלילי, וגם בחלוף הזמן מעת ביצוע העבירה לא הסתבך שוב;</w:t>
      </w:r>
    </w:p>
    <w:p w14:paraId="0E0F2D1A" w14:textId="77777777" w:rsidR="007A2159" w:rsidRDefault="007A2159" w:rsidP="007A2159">
      <w:pPr>
        <w:pStyle w:val="a9"/>
        <w:numPr>
          <w:ilvl w:val="0"/>
          <w:numId w:val="3"/>
        </w:numPr>
        <w:spacing w:line="360" w:lineRule="auto"/>
        <w:jc w:val="both"/>
      </w:pPr>
      <w:r>
        <w:rPr>
          <w:rFonts w:hint="cs"/>
          <w:rtl/>
        </w:rPr>
        <w:t>עונשו העיקרי של הנאשם יעמוד לריצוי בעבודות שירות, ולצדו מאסר מותנה, קנס והתחייבות. לנוכח הצפי לשיקום וחלוף הזמן, לא אגזור פסילת רישיון נהיגה בפועל.</w:t>
      </w:r>
    </w:p>
    <w:p w14:paraId="7742070C" w14:textId="77777777" w:rsidR="007A2159" w:rsidRDefault="007A2159" w:rsidP="007A2159">
      <w:pPr>
        <w:spacing w:line="360" w:lineRule="auto"/>
        <w:jc w:val="both"/>
        <w:rPr>
          <w:rtl/>
        </w:rPr>
      </w:pPr>
    </w:p>
    <w:p w14:paraId="3B1557F0" w14:textId="77777777" w:rsidR="007A2159" w:rsidRDefault="007A2159" w:rsidP="007A2159">
      <w:pPr>
        <w:spacing w:line="360" w:lineRule="auto"/>
        <w:jc w:val="both"/>
        <w:rPr>
          <w:rtl/>
        </w:rPr>
      </w:pPr>
      <w:r>
        <w:rPr>
          <w:rFonts w:hint="cs"/>
          <w:b/>
          <w:bCs/>
          <w:u w:val="single"/>
          <w:rtl/>
        </w:rPr>
        <w:t>סוף-דבר, אני גוזר על הנאשם את העונשים הבאים:</w:t>
      </w:r>
    </w:p>
    <w:p w14:paraId="3CDB6057" w14:textId="77777777" w:rsidR="007A2159" w:rsidRDefault="007A2159" w:rsidP="007A2159">
      <w:pPr>
        <w:numPr>
          <w:ilvl w:val="0"/>
          <w:numId w:val="6"/>
        </w:numPr>
        <w:spacing w:line="360" w:lineRule="auto"/>
        <w:contextualSpacing/>
        <w:jc w:val="both"/>
        <w:rPr>
          <w:rtl/>
        </w:rPr>
      </w:pPr>
      <w:r>
        <w:rPr>
          <w:rFonts w:hint="cs"/>
          <w:rtl/>
        </w:rPr>
        <w:t>שישה חודשי מאסר, שירוצו בעבודות שירות החל מיום 19.05.19 (ולא במועד שבהמלצת הממונה) במרכז יום לקשיש ברחוב ההגנה 1 רמלה. אני מתיר לממונה על עבודות השירות לבצע בדיקות שתן לנאשם, לרבות בדיקות פתע. הנאשם מוזהר כי כל אחד מאלה יוביל להפסקת העבודות ולהמשך ריצוי העונש בכליאה: אי-ציות להוראות הממונה על עבודות השירות או הממונים במקום העבודה, גילוי שרידי סם בבדיקות, סירוב למסור שתן לבדיקה או סימן לניסיון להטות תוצאות בדיקה; תשומת-לב הנאשם להוראות ולהתראות שבחוות דעתו של הממונה;</w:t>
      </w:r>
    </w:p>
    <w:p w14:paraId="470BAE64" w14:textId="77777777" w:rsidR="007A2159" w:rsidRDefault="007A2159" w:rsidP="007A2159">
      <w:pPr>
        <w:numPr>
          <w:ilvl w:val="0"/>
          <w:numId w:val="6"/>
        </w:numPr>
        <w:spacing w:line="360" w:lineRule="auto"/>
        <w:contextualSpacing/>
        <w:jc w:val="both"/>
        <w:rPr>
          <w:rtl/>
        </w:rPr>
      </w:pPr>
      <w:r>
        <w:rPr>
          <w:rFonts w:hint="cs"/>
          <w:rtl/>
        </w:rPr>
        <w:t>שישה חודשי מאסר על תנאי למשך שנתיים מהיום, שלא יעבור עבירת סם שהיא פשע;</w:t>
      </w:r>
    </w:p>
    <w:p w14:paraId="262E026E" w14:textId="77777777" w:rsidR="007A2159" w:rsidRDefault="007A2159" w:rsidP="007A2159">
      <w:pPr>
        <w:numPr>
          <w:ilvl w:val="0"/>
          <w:numId w:val="6"/>
        </w:numPr>
        <w:spacing w:line="360" w:lineRule="auto"/>
        <w:contextualSpacing/>
        <w:jc w:val="both"/>
        <w:rPr>
          <w:rtl/>
        </w:rPr>
      </w:pPr>
      <w:r>
        <w:rPr>
          <w:rFonts w:hint="cs"/>
          <w:rtl/>
        </w:rPr>
        <w:t>קנס בסך 5,000 ₪, או חודשיים מאסר תמורתו. הקנס ישולם בחמישה תשלומים חודשיים, שווים ורצופים, שהראשון שבהם לא יאוחר מיום 1.6.18, וכשמחדל או עיכוב באחד התשלומים יעמיד מלוא הסך לפירעון מידי;</w:t>
      </w:r>
    </w:p>
    <w:p w14:paraId="4E1FF01B" w14:textId="77777777" w:rsidR="007A2159" w:rsidRDefault="007A2159" w:rsidP="007A2159">
      <w:pPr>
        <w:numPr>
          <w:ilvl w:val="0"/>
          <w:numId w:val="6"/>
        </w:numPr>
        <w:spacing w:line="360" w:lineRule="auto"/>
        <w:contextualSpacing/>
        <w:jc w:val="both"/>
        <w:rPr>
          <w:rtl/>
        </w:rPr>
      </w:pPr>
      <w:r>
        <w:rPr>
          <w:rFonts w:hint="cs"/>
          <w:rtl/>
        </w:rPr>
        <w:t>התחייבות בסך 1,000 ₪ למשך שנתיים מהיום, שלא יעבור עבירת סם מכל סוג. לא תיחתם ההתחייבות, ייאסר הנאשם למשך חודש ימים;</w:t>
      </w:r>
    </w:p>
    <w:p w14:paraId="3A4B13DA" w14:textId="77777777" w:rsidR="007A2159" w:rsidRDefault="007A2159" w:rsidP="007A2159">
      <w:pPr>
        <w:numPr>
          <w:ilvl w:val="0"/>
          <w:numId w:val="6"/>
        </w:numPr>
        <w:spacing w:line="360" w:lineRule="auto"/>
        <w:contextualSpacing/>
        <w:jc w:val="both"/>
        <w:rPr>
          <w:rtl/>
        </w:rPr>
      </w:pPr>
      <w:r>
        <w:rPr>
          <w:rFonts w:hint="cs"/>
          <w:rtl/>
        </w:rPr>
        <w:t>שישה חודשי פסילה על תנאי מלנהוג למשך שנתיים מהיום;</w:t>
      </w:r>
    </w:p>
    <w:p w14:paraId="6D455614" w14:textId="77777777" w:rsidR="007A2159" w:rsidRDefault="007A2159" w:rsidP="007A2159">
      <w:pPr>
        <w:spacing w:line="360" w:lineRule="auto"/>
        <w:ind w:left="720" w:hanging="720"/>
        <w:jc w:val="both"/>
        <w:rPr>
          <w:rtl/>
        </w:rPr>
      </w:pPr>
    </w:p>
    <w:p w14:paraId="18042CD6" w14:textId="77777777" w:rsidR="007A2159" w:rsidRPr="00AE7742" w:rsidRDefault="007A2159" w:rsidP="007A2159">
      <w:pPr>
        <w:spacing w:line="360" w:lineRule="auto"/>
        <w:ind w:left="720" w:hanging="720"/>
        <w:jc w:val="both"/>
        <w:rPr>
          <w:b/>
          <w:bCs/>
          <w:u w:val="single"/>
          <w:rtl/>
        </w:rPr>
      </w:pPr>
      <w:r>
        <w:rPr>
          <w:rFonts w:hint="cs"/>
          <w:b/>
          <w:bCs/>
          <w:u w:val="single"/>
          <w:rtl/>
        </w:rPr>
        <w:t>הוראות נלוות:</w:t>
      </w:r>
    </w:p>
    <w:p w14:paraId="7338D30C" w14:textId="77777777" w:rsidR="007A2159" w:rsidRDefault="007A2159" w:rsidP="007A2159">
      <w:pPr>
        <w:numPr>
          <w:ilvl w:val="0"/>
          <w:numId w:val="7"/>
        </w:numPr>
        <w:spacing w:line="360" w:lineRule="auto"/>
        <w:contextualSpacing/>
        <w:jc w:val="both"/>
        <w:rPr>
          <w:rtl/>
        </w:rPr>
      </w:pPr>
      <w:r>
        <w:rPr>
          <w:rFonts w:hint="cs"/>
          <w:rtl/>
        </w:rPr>
        <w:tab/>
        <w:t>עותקי גזר הדין יישלחו לממונה על עבודות השירות ולידיעת שירות המבחן;</w:t>
      </w:r>
    </w:p>
    <w:p w14:paraId="6605743C" w14:textId="77777777" w:rsidR="007A2159" w:rsidRDefault="007A2159" w:rsidP="007A2159">
      <w:pPr>
        <w:numPr>
          <w:ilvl w:val="0"/>
          <w:numId w:val="7"/>
        </w:numPr>
        <w:spacing w:line="360" w:lineRule="auto"/>
        <w:contextualSpacing/>
        <w:jc w:val="both"/>
        <w:rPr>
          <w:rtl/>
        </w:rPr>
      </w:pPr>
      <w:r>
        <w:rPr>
          <w:rFonts w:hint="cs"/>
          <w:rtl/>
        </w:rPr>
        <w:tab/>
        <w:t>הסם יושמד וכל מוצג אחר, פרט לכסף, יועבר להכרעה פרטנית של קצין משטרה;</w:t>
      </w:r>
    </w:p>
    <w:p w14:paraId="7A490BD1" w14:textId="77777777" w:rsidR="007A2159" w:rsidRPr="00A76484" w:rsidRDefault="007A2159" w:rsidP="007A2159">
      <w:pPr>
        <w:numPr>
          <w:ilvl w:val="0"/>
          <w:numId w:val="7"/>
        </w:numPr>
        <w:spacing w:line="360" w:lineRule="auto"/>
        <w:contextualSpacing/>
        <w:jc w:val="both"/>
      </w:pPr>
      <w:r>
        <w:rPr>
          <w:rtl/>
        </w:rPr>
        <w:tab/>
      </w:r>
      <w:r>
        <w:rPr>
          <w:rFonts w:hint="cs"/>
          <w:rtl/>
        </w:rPr>
        <w:t xml:space="preserve">פיקדון שהפקיד הנאשם בתיק </w:t>
      </w:r>
      <w:hyperlink r:id="rId31" w:history="1">
        <w:r w:rsidR="00A76E93" w:rsidRPr="00A76E93">
          <w:rPr>
            <w:color w:val="0000FF"/>
            <w:u w:val="single"/>
            <w:rtl/>
          </w:rPr>
          <w:t>מ"י 16874-04-15</w:t>
        </w:r>
      </w:hyperlink>
      <w:r>
        <w:rPr>
          <w:rFonts w:hint="cs"/>
          <w:rtl/>
        </w:rPr>
        <w:t xml:space="preserve"> יושב לנאשם;</w:t>
      </w:r>
    </w:p>
    <w:p w14:paraId="5F5751F3" w14:textId="77777777" w:rsidR="007A2159" w:rsidRPr="00AE7742" w:rsidRDefault="007A2159" w:rsidP="007A2159">
      <w:pPr>
        <w:spacing w:line="360" w:lineRule="auto"/>
        <w:ind w:left="720"/>
        <w:contextualSpacing/>
        <w:jc w:val="both"/>
        <w:rPr>
          <w:rtl/>
        </w:rPr>
      </w:pPr>
    </w:p>
    <w:p w14:paraId="33EFCF63" w14:textId="77777777" w:rsidR="007A2159" w:rsidRDefault="007A2159" w:rsidP="007A2159">
      <w:pPr>
        <w:spacing w:line="360" w:lineRule="auto"/>
        <w:jc w:val="both"/>
        <w:rPr>
          <w:rtl/>
        </w:rPr>
      </w:pPr>
    </w:p>
    <w:p w14:paraId="11F3E953" w14:textId="77777777" w:rsidR="007A2159" w:rsidRDefault="007A2159" w:rsidP="007A2159">
      <w:pPr>
        <w:spacing w:line="360" w:lineRule="auto"/>
        <w:jc w:val="both"/>
        <w:rPr>
          <w:rtl/>
        </w:rPr>
      </w:pPr>
      <w:r>
        <w:rPr>
          <w:rFonts w:hint="cs"/>
          <w:rtl/>
        </w:rPr>
        <w:t>זכות ערעור תוך 45 יום מהיום לבית המשפט המחוזי.</w:t>
      </w:r>
    </w:p>
    <w:p w14:paraId="554ADF41" w14:textId="77777777" w:rsidR="007A2159" w:rsidRDefault="007A2159" w:rsidP="007A2159">
      <w:pPr>
        <w:spacing w:line="360" w:lineRule="auto"/>
        <w:jc w:val="both"/>
        <w:rPr>
          <w:rtl/>
        </w:rPr>
      </w:pPr>
    </w:p>
    <w:p w14:paraId="3463B31B" w14:textId="77777777" w:rsidR="007A2159" w:rsidRPr="00A76E93" w:rsidRDefault="00A76E93" w:rsidP="007A2159">
      <w:pPr>
        <w:spacing w:line="360" w:lineRule="auto"/>
        <w:jc w:val="both"/>
        <w:rPr>
          <w:color w:val="FFFFFF"/>
          <w:sz w:val="2"/>
          <w:szCs w:val="2"/>
          <w:rtl/>
        </w:rPr>
      </w:pPr>
      <w:r w:rsidRPr="00A76E93">
        <w:rPr>
          <w:color w:val="FFFFFF"/>
          <w:sz w:val="2"/>
          <w:szCs w:val="2"/>
          <w:rtl/>
        </w:rPr>
        <w:t>5129371</w:t>
      </w:r>
    </w:p>
    <w:p w14:paraId="6FDADB43" w14:textId="77777777" w:rsidR="007A2159" w:rsidRPr="00656EF5" w:rsidRDefault="00A76E93" w:rsidP="007A2159">
      <w:pPr>
        <w:rPr>
          <w:rtl/>
        </w:rPr>
      </w:pPr>
      <w:r w:rsidRPr="00A76E93">
        <w:rPr>
          <w:rFonts w:ascii="Arial" w:hAnsi="Arial"/>
          <w:color w:val="FFFFFF"/>
          <w:sz w:val="2"/>
          <w:szCs w:val="2"/>
          <w:rtl/>
        </w:rPr>
        <w:t>54678313</w:t>
      </w:r>
      <w:r>
        <w:rPr>
          <w:rFonts w:ascii="Arial" w:hAnsi="Arial"/>
          <w:rtl/>
        </w:rPr>
        <w:t xml:space="preserve">ניתן היום,  כ"ז אדר ב' תשע"ט, 03 אפריל 2019, במעמד הצדדים. </w:t>
      </w:r>
    </w:p>
    <w:p w14:paraId="3A1A8BFB" w14:textId="77777777" w:rsidR="007A2159" w:rsidRPr="00656EF5" w:rsidRDefault="007A2159" w:rsidP="007A2159">
      <w:pPr>
        <w:jc w:val="center"/>
      </w:pPr>
      <w:r w:rsidRPr="00656EF5">
        <w:rPr>
          <w:rFonts w:hint="cs"/>
          <w:rtl/>
        </w:rPr>
        <w:t xml:space="preserve">   </w:t>
      </w:r>
      <w:r w:rsidRPr="00656EF5">
        <w:rPr>
          <w:rFonts w:hint="cs"/>
          <w:rtl/>
        </w:rPr>
        <w:tab/>
      </w:r>
      <w:r w:rsidRPr="00656EF5">
        <w:rPr>
          <w:rFonts w:hint="cs"/>
          <w:rtl/>
        </w:rPr>
        <w:tab/>
      </w:r>
      <w:r w:rsidRPr="00656EF5">
        <w:rPr>
          <w:rFonts w:hint="cs"/>
          <w:rtl/>
        </w:rPr>
        <w:tab/>
      </w:r>
      <w:r w:rsidRPr="00656EF5">
        <w:rPr>
          <w:rFonts w:hint="cs"/>
          <w:rtl/>
        </w:rPr>
        <w:tab/>
      </w:r>
      <w:r w:rsidRPr="00656EF5">
        <w:rPr>
          <w:rFonts w:hint="cs"/>
          <w:rtl/>
        </w:rPr>
        <w:tab/>
      </w:r>
      <w:r>
        <w:rPr>
          <w:rtl/>
        </w:rPr>
        <w:t xml:space="preserve">     </w:t>
      </w:r>
    </w:p>
    <w:p w14:paraId="2778F2BA" w14:textId="77777777" w:rsidR="007A2159" w:rsidRPr="00656EF5" w:rsidRDefault="007A2159" w:rsidP="007A2159">
      <w:pPr>
        <w:jc w:val="center"/>
        <w:rPr>
          <w:rFonts w:ascii="Arial" w:hAnsi="Arial"/>
          <w:rtl/>
        </w:rPr>
      </w:pPr>
    </w:p>
    <w:p w14:paraId="66049B8A" w14:textId="77777777" w:rsidR="007A2159" w:rsidRPr="00656EF5" w:rsidRDefault="007A2159" w:rsidP="007A2159">
      <w:pPr>
        <w:rPr>
          <w:rtl/>
        </w:rPr>
      </w:pPr>
    </w:p>
    <w:p w14:paraId="59CFF265" w14:textId="77777777" w:rsidR="007A2159" w:rsidRPr="00656EF5" w:rsidRDefault="007A2159" w:rsidP="007A2159">
      <w:pPr>
        <w:pStyle w:val="a3"/>
        <w:jc w:val="center"/>
        <w:rPr>
          <w:rtl/>
        </w:rPr>
      </w:pPr>
    </w:p>
    <w:p w14:paraId="1992F0CC" w14:textId="77777777" w:rsidR="00387E57" w:rsidRPr="00A76E93" w:rsidRDefault="00387E57" w:rsidP="00A76E93">
      <w:pPr>
        <w:keepNext/>
        <w:rPr>
          <w:rFonts w:ascii="David" w:hAnsi="David"/>
          <w:color w:val="000000"/>
          <w:sz w:val="22"/>
          <w:szCs w:val="22"/>
          <w:rtl/>
        </w:rPr>
      </w:pPr>
    </w:p>
    <w:p w14:paraId="352C8F5D" w14:textId="77777777" w:rsidR="00A76E93" w:rsidRPr="00A76E93" w:rsidRDefault="00A76E93" w:rsidP="00A76E93">
      <w:pPr>
        <w:keepNext/>
        <w:rPr>
          <w:rFonts w:ascii="David" w:hAnsi="David"/>
          <w:color w:val="000000"/>
          <w:sz w:val="22"/>
          <w:szCs w:val="22"/>
          <w:rtl/>
        </w:rPr>
      </w:pPr>
      <w:r w:rsidRPr="00A76E93">
        <w:rPr>
          <w:rFonts w:ascii="David" w:hAnsi="David"/>
          <w:color w:val="000000"/>
          <w:sz w:val="22"/>
          <w:szCs w:val="22"/>
          <w:rtl/>
        </w:rPr>
        <w:t>עידו דרויאן גמליאל 54678313</w:t>
      </w:r>
    </w:p>
    <w:p w14:paraId="0984A0AE" w14:textId="77777777" w:rsidR="00A76E93" w:rsidRDefault="00A76E93" w:rsidP="00A76E93">
      <w:r w:rsidRPr="00A76E93">
        <w:rPr>
          <w:color w:val="000000"/>
          <w:rtl/>
        </w:rPr>
        <w:t>נוסח מסמך זה כפוף לשינויי ניסוח ועריכה</w:t>
      </w:r>
    </w:p>
    <w:p w14:paraId="4014E809" w14:textId="77777777" w:rsidR="00A76E93" w:rsidRDefault="00A76E93" w:rsidP="00A76E93">
      <w:pPr>
        <w:rPr>
          <w:rtl/>
        </w:rPr>
      </w:pPr>
    </w:p>
    <w:p w14:paraId="7D167D47" w14:textId="77777777" w:rsidR="00A76E93" w:rsidRDefault="00A76E93" w:rsidP="00A76E93">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2D10F17" w14:textId="77777777" w:rsidR="00A76E93" w:rsidRPr="00A76E93" w:rsidRDefault="00A76E93" w:rsidP="00A76E93">
      <w:pPr>
        <w:jc w:val="center"/>
        <w:rPr>
          <w:color w:val="0000FF"/>
          <w:u w:val="single"/>
        </w:rPr>
      </w:pPr>
    </w:p>
    <w:sectPr w:rsidR="00A76E93" w:rsidRPr="00A76E93" w:rsidSect="00A76E93">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92E45" w14:textId="77777777" w:rsidR="00C268E7" w:rsidRDefault="00C268E7" w:rsidP="007A2159">
      <w:r>
        <w:separator/>
      </w:r>
    </w:p>
  </w:endnote>
  <w:endnote w:type="continuationSeparator" w:id="0">
    <w:p w14:paraId="57FBBF6D" w14:textId="77777777" w:rsidR="00C268E7" w:rsidRDefault="00C268E7" w:rsidP="007A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A012E" w14:textId="77777777" w:rsidR="00A76E93" w:rsidRDefault="00A76E93" w:rsidP="00A76E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EBE60D" w14:textId="77777777" w:rsidR="00040D1E" w:rsidRPr="00A76E93" w:rsidRDefault="00A76E93" w:rsidP="00A76E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D08A7" w14:textId="77777777" w:rsidR="00A76E93" w:rsidRDefault="00A76E93" w:rsidP="00A76E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301E">
      <w:rPr>
        <w:rFonts w:ascii="FrankRuehl" w:hAnsi="FrankRuehl" w:cs="FrankRuehl"/>
        <w:noProof/>
        <w:rtl/>
      </w:rPr>
      <w:t>1</w:t>
    </w:r>
    <w:r>
      <w:rPr>
        <w:rFonts w:ascii="FrankRuehl" w:hAnsi="FrankRuehl" w:cs="FrankRuehl"/>
        <w:rtl/>
      </w:rPr>
      <w:fldChar w:fldCharType="end"/>
    </w:r>
  </w:p>
  <w:p w14:paraId="0721B4E1" w14:textId="77777777" w:rsidR="00040D1E" w:rsidRPr="00A76E93" w:rsidRDefault="00A76E93" w:rsidP="00A76E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987A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778E5" w14:textId="77777777" w:rsidR="00C268E7" w:rsidRDefault="00C268E7" w:rsidP="007A2159">
      <w:r>
        <w:separator/>
      </w:r>
    </w:p>
  </w:footnote>
  <w:footnote w:type="continuationSeparator" w:id="0">
    <w:p w14:paraId="2D7E627E" w14:textId="77777777" w:rsidR="00C268E7" w:rsidRDefault="00C268E7" w:rsidP="007A2159">
      <w:r>
        <w:continuationSeparator/>
      </w:r>
    </w:p>
  </w:footnote>
  <w:footnote w:id="1">
    <w:p w14:paraId="4338E427" w14:textId="77777777" w:rsidR="007A2159" w:rsidRDefault="007A2159" w:rsidP="007A2159">
      <w:pPr>
        <w:pStyle w:val="aa"/>
        <w:ind w:left="720" w:hanging="720"/>
        <w:rPr>
          <w:rtl/>
        </w:rPr>
      </w:pPr>
      <w:r>
        <w:rPr>
          <w:rStyle w:val="ac"/>
        </w:rPr>
        <w:t>[1]</w:t>
      </w:r>
      <w:r>
        <w:rPr>
          <w:rFonts w:cs="David"/>
          <w:rtl/>
        </w:rPr>
        <w:tab/>
      </w:r>
      <w:r w:rsidRPr="00547D1B">
        <w:rPr>
          <w:rFonts w:cs="David"/>
          <w:sz w:val="24"/>
          <w:szCs w:val="24"/>
          <w:rtl/>
        </w:rPr>
        <w:t xml:space="preserve">ובדומה, גם </w:t>
      </w:r>
      <w:hyperlink r:id="rId1" w:history="1">
        <w:r w:rsidR="00A76E93" w:rsidRPr="00A76E93">
          <w:rPr>
            <w:rFonts w:cs="David"/>
            <w:color w:val="0000FF"/>
            <w:sz w:val="24"/>
            <w:szCs w:val="24"/>
            <w:u w:val="single"/>
            <w:rtl/>
          </w:rPr>
          <w:t>ע"פ 4641/12</w:t>
        </w:r>
      </w:hyperlink>
      <w:r w:rsidRPr="00547D1B">
        <w:rPr>
          <w:rFonts w:cs="David"/>
          <w:sz w:val="24"/>
          <w:szCs w:val="24"/>
          <w:rtl/>
        </w:rPr>
        <w:t xml:space="preserve"> </w:t>
      </w:r>
      <w:r w:rsidRPr="00547D1B">
        <w:rPr>
          <w:rFonts w:cs="David"/>
          <w:b/>
          <w:bCs/>
          <w:sz w:val="24"/>
          <w:szCs w:val="24"/>
          <w:rtl/>
        </w:rPr>
        <w:t>פלוני נ' מ.י.</w:t>
      </w:r>
      <w:r w:rsidRPr="00547D1B">
        <w:rPr>
          <w:rFonts w:cs="David"/>
          <w:sz w:val="24"/>
          <w:szCs w:val="24"/>
          <w:rtl/>
        </w:rPr>
        <w:t xml:space="preserve"> (2013), מפי הש' ג'ובראן ובהסכמת הש' פוגלמן וסולברג;</w:t>
      </w:r>
    </w:p>
  </w:footnote>
  <w:footnote w:id="2">
    <w:p w14:paraId="789593DE" w14:textId="77777777" w:rsidR="007A2159" w:rsidRDefault="007A2159" w:rsidP="007A2159">
      <w:pPr>
        <w:autoSpaceDE w:val="0"/>
        <w:autoSpaceDN w:val="0"/>
        <w:bidi w:val="0"/>
        <w:spacing w:before="100" w:after="100"/>
        <w:ind w:left="720" w:hanging="720"/>
        <w:jc w:val="both"/>
      </w:pPr>
      <w:r>
        <w:rPr>
          <w:rStyle w:val="ac"/>
        </w:rPr>
        <w:t>[2]</w:t>
      </w:r>
      <w:r>
        <w:rPr>
          <w:rtl/>
        </w:rPr>
        <w:tab/>
      </w:r>
      <w:r>
        <w:t xml:space="preserve">W. Shakespeare, </w:t>
      </w:r>
      <w:r>
        <w:rPr>
          <w:b/>
          <w:bCs/>
        </w:rPr>
        <w:t>Romeo and Juliet</w:t>
      </w:r>
      <w:r>
        <w:t>, act II scene I: "What's in a name? that which we call a rose, by any other name would smell as sweet";</w:t>
      </w:r>
    </w:p>
    <w:p w14:paraId="1D56947A" w14:textId="77777777" w:rsidR="007A2159" w:rsidRDefault="007A2159" w:rsidP="007A2159">
      <w:pPr>
        <w:autoSpaceDE w:val="0"/>
        <w:autoSpaceDN w:val="0"/>
        <w:bidi w:val="0"/>
        <w:spacing w:before="100" w:after="100"/>
        <w:ind w:left="720" w:hanging="720"/>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E0C3B" w14:textId="77777777" w:rsidR="00A76E93" w:rsidRPr="00A76E93" w:rsidRDefault="00A76E93" w:rsidP="00A76E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17610-09-15</w:t>
    </w:r>
    <w:r>
      <w:rPr>
        <w:rFonts w:ascii="David" w:hAnsi="David"/>
        <w:color w:val="000000"/>
        <w:sz w:val="22"/>
        <w:szCs w:val="22"/>
        <w:rtl/>
      </w:rPr>
      <w:tab/>
      <w:t xml:space="preserve"> מדינת ישראל נ' יוסף אבו 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5FBB0" w14:textId="77777777" w:rsidR="00A76E93" w:rsidRPr="00A76E93" w:rsidRDefault="00A76E93" w:rsidP="00A76E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17610-09-15</w:t>
    </w:r>
    <w:r>
      <w:rPr>
        <w:rFonts w:ascii="David" w:hAnsi="David"/>
        <w:color w:val="000000"/>
        <w:sz w:val="22"/>
        <w:szCs w:val="22"/>
        <w:rtl/>
      </w:rPr>
      <w:tab/>
      <w:t xml:space="preserve"> מדינת ישראל נ' יוסף אבו 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2DED"/>
    <w:multiLevelType w:val="hybridMultilevel"/>
    <w:tmpl w:val="30440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8F591E"/>
    <w:multiLevelType w:val="hybridMultilevel"/>
    <w:tmpl w:val="163C3F54"/>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0C170F56"/>
    <w:multiLevelType w:val="hybridMultilevel"/>
    <w:tmpl w:val="FB82545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6A7686"/>
    <w:multiLevelType w:val="hybridMultilevel"/>
    <w:tmpl w:val="7B18E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A8147E"/>
    <w:multiLevelType w:val="hybridMultilevel"/>
    <w:tmpl w:val="B0FA13C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91E2C"/>
    <w:multiLevelType w:val="hybridMultilevel"/>
    <w:tmpl w:val="B0FA13C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E2EBA"/>
    <w:multiLevelType w:val="hybridMultilevel"/>
    <w:tmpl w:val="B0FA13C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756177">
    <w:abstractNumId w:val="0"/>
  </w:num>
  <w:num w:numId="2" w16cid:durableId="1535147399">
    <w:abstractNumId w:val="3"/>
  </w:num>
  <w:num w:numId="3" w16cid:durableId="1721709558">
    <w:abstractNumId w:val="2"/>
  </w:num>
  <w:num w:numId="4" w16cid:durableId="495615619">
    <w:abstractNumId w:val="1"/>
  </w:num>
  <w:num w:numId="5" w16cid:durableId="1069838622">
    <w:abstractNumId w:val="6"/>
  </w:num>
  <w:num w:numId="6" w16cid:durableId="1438209228">
    <w:abstractNumId w:val="5"/>
  </w:num>
  <w:num w:numId="7" w16cid:durableId="1308361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2159"/>
    <w:rsid w:val="00040D1E"/>
    <w:rsid w:val="0013301E"/>
    <w:rsid w:val="001B5A3B"/>
    <w:rsid w:val="00387E57"/>
    <w:rsid w:val="005A7E3E"/>
    <w:rsid w:val="006F11B4"/>
    <w:rsid w:val="007A2159"/>
    <w:rsid w:val="0086268E"/>
    <w:rsid w:val="00A76E93"/>
    <w:rsid w:val="00C268E7"/>
    <w:rsid w:val="00DA2C36"/>
    <w:rsid w:val="00DB40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13917C"/>
  <w15:chartTrackingRefBased/>
  <w15:docId w15:val="{92BDEC02-9D6F-4589-8682-94175C9A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215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2159"/>
    <w:pPr>
      <w:tabs>
        <w:tab w:val="center" w:pos="4153"/>
        <w:tab w:val="right" w:pos="8306"/>
      </w:tabs>
    </w:pPr>
  </w:style>
  <w:style w:type="character" w:customStyle="1" w:styleId="a4">
    <w:name w:val="כותרת עליונה תו"/>
    <w:link w:val="a3"/>
    <w:rsid w:val="007A2159"/>
    <w:rPr>
      <w:rFonts w:ascii="Times New Roman" w:eastAsia="Times New Roman" w:hAnsi="Times New Roman" w:cs="David"/>
      <w:sz w:val="24"/>
      <w:szCs w:val="24"/>
    </w:rPr>
  </w:style>
  <w:style w:type="paragraph" w:styleId="a5">
    <w:name w:val="footer"/>
    <w:basedOn w:val="a"/>
    <w:link w:val="a6"/>
    <w:rsid w:val="007A2159"/>
    <w:pPr>
      <w:tabs>
        <w:tab w:val="center" w:pos="4153"/>
        <w:tab w:val="right" w:pos="8306"/>
      </w:tabs>
    </w:pPr>
  </w:style>
  <w:style w:type="character" w:customStyle="1" w:styleId="a6">
    <w:name w:val="כותרת תחתונה תו"/>
    <w:link w:val="a5"/>
    <w:rsid w:val="007A2159"/>
    <w:rPr>
      <w:rFonts w:ascii="Times New Roman" w:eastAsia="Times New Roman" w:hAnsi="Times New Roman" w:cs="David"/>
      <w:sz w:val="24"/>
      <w:szCs w:val="24"/>
    </w:rPr>
  </w:style>
  <w:style w:type="table" w:styleId="a7">
    <w:name w:val="Table Grid"/>
    <w:basedOn w:val="a1"/>
    <w:rsid w:val="007A215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2159"/>
  </w:style>
  <w:style w:type="paragraph" w:styleId="a9">
    <w:name w:val="List Paragraph"/>
    <w:basedOn w:val="a"/>
    <w:qFormat/>
    <w:rsid w:val="007A2159"/>
    <w:pPr>
      <w:ind w:left="720"/>
      <w:contextualSpacing/>
    </w:pPr>
  </w:style>
  <w:style w:type="paragraph" w:styleId="aa">
    <w:name w:val="footnote text"/>
    <w:basedOn w:val="a"/>
    <w:link w:val="ab"/>
    <w:rsid w:val="007A2159"/>
    <w:rPr>
      <w:rFonts w:cs="Times New Roman"/>
      <w:sz w:val="20"/>
      <w:szCs w:val="20"/>
    </w:rPr>
  </w:style>
  <w:style w:type="character" w:customStyle="1" w:styleId="ab">
    <w:name w:val="טקסט הערת שוליים תו"/>
    <w:link w:val="aa"/>
    <w:rsid w:val="007A2159"/>
    <w:rPr>
      <w:rFonts w:ascii="Times New Roman" w:eastAsia="Times New Roman" w:hAnsi="Times New Roman" w:cs="Times New Roman"/>
      <w:sz w:val="20"/>
      <w:szCs w:val="20"/>
    </w:rPr>
  </w:style>
  <w:style w:type="character" w:styleId="ac">
    <w:name w:val="footnote reference"/>
    <w:rsid w:val="007A2159"/>
    <w:rPr>
      <w:rFonts w:cs="Times New Roman"/>
      <w:vertAlign w:val="superscript"/>
    </w:rPr>
  </w:style>
  <w:style w:type="character" w:styleId="Hyperlink">
    <w:name w:val="Hyperlink"/>
    <w:rsid w:val="00A76E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1" TargetMode="External"/><Relationship Id="rId18" Type="http://schemas.openxmlformats.org/officeDocument/2006/relationships/hyperlink" Target="http://www.nevo.co.il/case/11279208" TargetMode="External"/><Relationship Id="rId26" Type="http://schemas.openxmlformats.org/officeDocument/2006/relationships/hyperlink" Target="http://www.nevo.co.il/case/6862360" TargetMode="External"/><Relationship Id="rId21" Type="http://schemas.openxmlformats.org/officeDocument/2006/relationships/hyperlink" Target="http://www.nevo.co.il/case/11304198"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i.a.7" TargetMode="External"/><Relationship Id="rId17" Type="http://schemas.openxmlformats.org/officeDocument/2006/relationships/hyperlink" Target="http://www.nevo.co.il/case/4316440" TargetMode="External"/><Relationship Id="rId25" Type="http://schemas.openxmlformats.org/officeDocument/2006/relationships/hyperlink" Target="http://www.nevo.co.il/case/1045912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721424" TargetMode="External"/><Relationship Id="rId29" Type="http://schemas.openxmlformats.org/officeDocument/2006/relationships/hyperlink" Target="http://www.nevo.co.il/law/70301/40i.a.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a.6" TargetMode="External"/><Relationship Id="rId24" Type="http://schemas.openxmlformats.org/officeDocument/2006/relationships/hyperlink" Target="http://www.nevo.co.il/case/1120643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157961"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601732" TargetMode="External"/><Relationship Id="rId31" Type="http://schemas.openxmlformats.org/officeDocument/2006/relationships/hyperlink" Target="http://www.nevo.co.il/case/2018497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3846305" TargetMode="External"/><Relationship Id="rId27" Type="http://schemas.openxmlformats.org/officeDocument/2006/relationships/hyperlink" Target="http://www.nevo.co.il/law/70301/40ja.1" TargetMode="External"/><Relationship Id="rId30" Type="http://schemas.openxmlformats.org/officeDocument/2006/relationships/hyperlink" Target="http://www.nevo.co.il/law/70301/40i.a.7"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624578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1510</Words>
  <Characters>7552</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9044</CharactersWithSpaces>
  <SharedDoc>false</SharedDoc>
  <HLinks>
    <vt:vector size="168" baseType="variant">
      <vt:variant>
        <vt:i4>393283</vt:i4>
      </vt:variant>
      <vt:variant>
        <vt:i4>78</vt:i4>
      </vt:variant>
      <vt:variant>
        <vt:i4>0</vt:i4>
      </vt:variant>
      <vt:variant>
        <vt:i4>5</vt:i4>
      </vt:variant>
      <vt:variant>
        <vt:lpwstr>http://www.nevo.co.il/advertisements/nevo-100.doc</vt:lpwstr>
      </vt:variant>
      <vt:variant>
        <vt:lpwstr/>
      </vt:variant>
      <vt:variant>
        <vt:i4>3145845</vt:i4>
      </vt:variant>
      <vt:variant>
        <vt:i4>75</vt:i4>
      </vt:variant>
      <vt:variant>
        <vt:i4>0</vt:i4>
      </vt:variant>
      <vt:variant>
        <vt:i4>5</vt:i4>
      </vt:variant>
      <vt:variant>
        <vt:lpwstr>http://www.nevo.co.il/case/20184971</vt:lpwstr>
      </vt:variant>
      <vt:variant>
        <vt:lpwstr/>
      </vt:variant>
      <vt:variant>
        <vt:i4>6619241</vt:i4>
      </vt:variant>
      <vt:variant>
        <vt:i4>72</vt:i4>
      </vt:variant>
      <vt:variant>
        <vt:i4>0</vt:i4>
      </vt:variant>
      <vt:variant>
        <vt:i4>5</vt:i4>
      </vt:variant>
      <vt:variant>
        <vt:lpwstr>http://www.nevo.co.il/law/70301/40i.a.7</vt:lpwstr>
      </vt:variant>
      <vt:variant>
        <vt:lpwstr/>
      </vt:variant>
      <vt:variant>
        <vt:i4>6619241</vt:i4>
      </vt:variant>
      <vt:variant>
        <vt:i4>69</vt:i4>
      </vt:variant>
      <vt:variant>
        <vt:i4>0</vt:i4>
      </vt:variant>
      <vt:variant>
        <vt:i4>5</vt:i4>
      </vt:variant>
      <vt:variant>
        <vt:lpwstr>http://www.nevo.co.il/law/70301/40i.a.6</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3473445</vt:i4>
      </vt:variant>
      <vt:variant>
        <vt:i4>63</vt:i4>
      </vt:variant>
      <vt:variant>
        <vt:i4>0</vt:i4>
      </vt:variant>
      <vt:variant>
        <vt:i4>5</vt:i4>
      </vt:variant>
      <vt:variant>
        <vt:lpwstr>http://www.nevo.co.il/law/70301/40ja.1</vt:lpwstr>
      </vt:variant>
      <vt:variant>
        <vt:lpwstr/>
      </vt:variant>
      <vt:variant>
        <vt:i4>3866748</vt:i4>
      </vt:variant>
      <vt:variant>
        <vt:i4>60</vt:i4>
      </vt:variant>
      <vt:variant>
        <vt:i4>0</vt:i4>
      </vt:variant>
      <vt:variant>
        <vt:i4>5</vt:i4>
      </vt:variant>
      <vt:variant>
        <vt:lpwstr>http://www.nevo.co.il/case/6248029</vt:lpwstr>
      </vt:variant>
      <vt:variant>
        <vt:lpwstr/>
      </vt:variant>
      <vt:variant>
        <vt:i4>3342456</vt:i4>
      </vt:variant>
      <vt:variant>
        <vt:i4>57</vt:i4>
      </vt:variant>
      <vt:variant>
        <vt:i4>0</vt:i4>
      </vt:variant>
      <vt:variant>
        <vt:i4>5</vt:i4>
      </vt:variant>
      <vt:variant>
        <vt:lpwstr>http://www.nevo.co.il/case/6862360</vt:lpwstr>
      </vt:variant>
      <vt:variant>
        <vt:lpwstr/>
      </vt:variant>
      <vt:variant>
        <vt:i4>4063344</vt:i4>
      </vt:variant>
      <vt:variant>
        <vt:i4>54</vt:i4>
      </vt:variant>
      <vt:variant>
        <vt:i4>0</vt:i4>
      </vt:variant>
      <vt:variant>
        <vt:i4>5</vt:i4>
      </vt:variant>
      <vt:variant>
        <vt:lpwstr>http://www.nevo.co.il/case/10459124</vt:lpwstr>
      </vt:variant>
      <vt:variant>
        <vt:lpwstr/>
      </vt:variant>
      <vt:variant>
        <vt:i4>3539057</vt:i4>
      </vt:variant>
      <vt:variant>
        <vt:i4>51</vt:i4>
      </vt:variant>
      <vt:variant>
        <vt:i4>0</vt:i4>
      </vt:variant>
      <vt:variant>
        <vt:i4>5</vt:i4>
      </vt:variant>
      <vt:variant>
        <vt:lpwstr>http://www.nevo.co.il/case/11206432</vt:lpwstr>
      </vt:variant>
      <vt:variant>
        <vt:lpwstr/>
      </vt:variant>
      <vt:variant>
        <vt:i4>3276920</vt:i4>
      </vt:variant>
      <vt:variant>
        <vt:i4>48</vt:i4>
      </vt:variant>
      <vt:variant>
        <vt:i4>0</vt:i4>
      </vt:variant>
      <vt:variant>
        <vt:i4>5</vt:i4>
      </vt:variant>
      <vt:variant>
        <vt:lpwstr>http://www.nevo.co.il/case/20157961</vt:lpwstr>
      </vt:variant>
      <vt:variant>
        <vt:lpwstr/>
      </vt:variant>
      <vt:variant>
        <vt:i4>3211386</vt:i4>
      </vt:variant>
      <vt:variant>
        <vt:i4>45</vt:i4>
      </vt:variant>
      <vt:variant>
        <vt:i4>0</vt:i4>
      </vt:variant>
      <vt:variant>
        <vt:i4>5</vt:i4>
      </vt:variant>
      <vt:variant>
        <vt:lpwstr>http://www.nevo.co.il/case/3846305</vt:lpwstr>
      </vt:variant>
      <vt:variant>
        <vt:lpwstr/>
      </vt:variant>
      <vt:variant>
        <vt:i4>4128884</vt:i4>
      </vt:variant>
      <vt:variant>
        <vt:i4>42</vt:i4>
      </vt:variant>
      <vt:variant>
        <vt:i4>0</vt:i4>
      </vt:variant>
      <vt:variant>
        <vt:i4>5</vt:i4>
      </vt:variant>
      <vt:variant>
        <vt:lpwstr>http://www.nevo.co.il/case/11304198</vt:lpwstr>
      </vt:variant>
      <vt:variant>
        <vt:lpwstr/>
      </vt:variant>
      <vt:variant>
        <vt:i4>3539058</vt:i4>
      </vt:variant>
      <vt:variant>
        <vt:i4>39</vt:i4>
      </vt:variant>
      <vt:variant>
        <vt:i4>0</vt:i4>
      </vt:variant>
      <vt:variant>
        <vt:i4>5</vt:i4>
      </vt:variant>
      <vt:variant>
        <vt:lpwstr>http://www.nevo.co.il/case/20721424</vt:lpwstr>
      </vt:variant>
      <vt:variant>
        <vt:lpwstr/>
      </vt:variant>
      <vt:variant>
        <vt:i4>3145840</vt:i4>
      </vt:variant>
      <vt:variant>
        <vt:i4>36</vt:i4>
      </vt:variant>
      <vt:variant>
        <vt:i4>0</vt:i4>
      </vt:variant>
      <vt:variant>
        <vt:i4>5</vt:i4>
      </vt:variant>
      <vt:variant>
        <vt:lpwstr>http://www.nevo.co.il/case/5601732</vt:lpwstr>
      </vt:variant>
      <vt:variant>
        <vt:lpwstr/>
      </vt:variant>
      <vt:variant>
        <vt:i4>3801200</vt:i4>
      </vt:variant>
      <vt:variant>
        <vt:i4>33</vt:i4>
      </vt:variant>
      <vt:variant>
        <vt:i4>0</vt:i4>
      </vt:variant>
      <vt:variant>
        <vt:i4>5</vt:i4>
      </vt:variant>
      <vt:variant>
        <vt:lpwstr>http://www.nevo.co.il/case/11279208</vt:lpwstr>
      </vt:variant>
      <vt:variant>
        <vt:lpwstr/>
      </vt:variant>
      <vt:variant>
        <vt:i4>3211381</vt:i4>
      </vt:variant>
      <vt:variant>
        <vt:i4>30</vt:i4>
      </vt:variant>
      <vt:variant>
        <vt:i4>0</vt:i4>
      </vt:variant>
      <vt:variant>
        <vt:i4>5</vt:i4>
      </vt:variant>
      <vt:variant>
        <vt:lpwstr>http://www.nevo.co.il/case/4316440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3473445</vt:i4>
      </vt:variant>
      <vt:variant>
        <vt:i4>18</vt:i4>
      </vt:variant>
      <vt:variant>
        <vt:i4>0</vt:i4>
      </vt:variant>
      <vt:variant>
        <vt:i4>5</vt:i4>
      </vt:variant>
      <vt:variant>
        <vt:lpwstr>http://www.nevo.co.il/law/70301/40ja.1</vt:lpwstr>
      </vt:variant>
      <vt:variant>
        <vt:lpwstr/>
      </vt:variant>
      <vt:variant>
        <vt:i4>6619241</vt:i4>
      </vt:variant>
      <vt:variant>
        <vt:i4>15</vt:i4>
      </vt:variant>
      <vt:variant>
        <vt:i4>0</vt:i4>
      </vt:variant>
      <vt:variant>
        <vt:i4>5</vt:i4>
      </vt:variant>
      <vt:variant>
        <vt:lpwstr>http://www.nevo.co.il/law/70301/40i.a.7</vt:lpwstr>
      </vt:variant>
      <vt:variant>
        <vt:lpwstr/>
      </vt:variant>
      <vt:variant>
        <vt:i4>6619241</vt:i4>
      </vt:variant>
      <vt:variant>
        <vt:i4>12</vt:i4>
      </vt:variant>
      <vt:variant>
        <vt:i4>0</vt:i4>
      </vt:variant>
      <vt:variant>
        <vt:i4>5</vt:i4>
      </vt:variant>
      <vt:variant>
        <vt:lpwstr>http://www.nevo.co.il/law/70301/40i.a.6</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3604603</vt:i4>
      </vt:variant>
      <vt:variant>
        <vt:i4>0</vt:i4>
      </vt:variant>
      <vt:variant>
        <vt:i4>0</vt:i4>
      </vt:variant>
      <vt:variant>
        <vt:i4>5</vt:i4>
      </vt:variant>
      <vt:variant>
        <vt:lpwstr>http://www.nevo.co.il/case/6245782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17610</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יוסף אבו עביד</vt:lpwstr>
  </property>
  <property fmtid="{D5CDD505-2E9C-101B-9397-08002B2CF9AE}" pid="10" name="LAWYER">
    <vt:lpwstr>הכהן, מיודובניק וסיימונס;פריינטי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20190403</vt:lpwstr>
  </property>
  <property fmtid="{D5CDD505-2E9C-101B-9397-08002B2CF9AE}" pid="14" name="TYPE_N_DATE">
    <vt:lpwstr>38020190403</vt:lpwstr>
  </property>
  <property fmtid="{D5CDD505-2E9C-101B-9397-08002B2CF9AE}" pid="15" name="CASESLISTTMP1">
    <vt:lpwstr>4316440;11279208;5601732;20721424;11304198;3846305;20157961;11206432;10459124;6862360;6248029;20184971;6245782</vt:lpwstr>
  </property>
  <property fmtid="{D5CDD505-2E9C-101B-9397-08002B2CF9AE}" pid="16" name="WORDNUMPAGES">
    <vt:lpwstr>5</vt:lpwstr>
  </property>
  <property fmtid="{D5CDD505-2E9C-101B-9397-08002B2CF9AE}" pid="17" name="TYPE_ABS_DATE">
    <vt:lpwstr>380020190403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4216/007.a:2;007.c:2</vt:lpwstr>
  </property>
  <property fmtid="{D5CDD505-2E9C-101B-9397-08002B2CF9AE}" pid="37" name="LAWLISTTMP2">
    <vt:lpwstr>70301/40ja.1:2;040i.a.6:2;040i.a.7:2</vt:lpwstr>
  </property>
</Properties>
</file>