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C91746" w:rsidRPr="00E901D7" w14:paraId="64EDC48A" w14:textId="77777777">
        <w:trPr>
          <w:trHeight w:hRule="exact" w:val="418"/>
          <w:jc w:val="center"/>
        </w:trPr>
        <w:tc>
          <w:tcPr>
            <w:tcW w:w="8720" w:type="dxa"/>
            <w:gridSpan w:val="3"/>
          </w:tcPr>
          <w:p w14:paraId="5ED322E0" w14:textId="77777777" w:rsidR="00C91746" w:rsidRPr="00E901D7" w:rsidRDefault="00E901D7">
            <w:pPr>
              <w:pStyle w:val="a4"/>
              <w:tabs>
                <w:tab w:val="clear" w:pos="8306"/>
              </w:tabs>
              <w:jc w:val="center"/>
              <w:rPr>
                <w:rFonts w:ascii="Tahoma" w:hAnsi="Tahoma" w:cs="Tahoma"/>
                <w:b/>
                <w:bCs/>
                <w:color w:val="000080"/>
                <w:sz w:val="20"/>
                <w:szCs w:val="20"/>
                <w:rtl/>
              </w:rPr>
            </w:pPr>
            <w:bookmarkStart w:id="0" w:name="LastJudge"/>
            <w:r w:rsidRPr="00E901D7">
              <w:rPr>
                <w:rFonts w:ascii="Tahoma" w:hAnsi="Tahoma" w:cs="Tahoma"/>
                <w:b/>
                <w:bCs/>
                <w:color w:val="000080"/>
                <w:sz w:val="20"/>
                <w:szCs w:val="20"/>
                <w:rtl/>
              </w:rPr>
              <w:t>בית משפט השלום בעכו</w:t>
            </w:r>
          </w:p>
        </w:tc>
      </w:tr>
      <w:tr w:rsidR="00C91746" w:rsidRPr="00E901D7" w14:paraId="611C72A2" w14:textId="77777777">
        <w:trPr>
          <w:trHeight w:val="337"/>
          <w:jc w:val="center"/>
        </w:trPr>
        <w:tc>
          <w:tcPr>
            <w:tcW w:w="6396" w:type="dxa"/>
          </w:tcPr>
          <w:p w14:paraId="1099C1D2" w14:textId="77777777" w:rsidR="00C91746" w:rsidRPr="00E901D7" w:rsidRDefault="00E901D7">
            <w:pPr>
              <w:rPr>
                <w:b/>
                <w:bCs/>
                <w:sz w:val="26"/>
                <w:szCs w:val="26"/>
                <w:rtl/>
              </w:rPr>
            </w:pPr>
            <w:r w:rsidRPr="00E901D7">
              <w:rPr>
                <w:b/>
                <w:bCs/>
                <w:sz w:val="26"/>
                <w:szCs w:val="26"/>
                <w:rtl/>
              </w:rPr>
              <w:t>ת"פ</w:t>
            </w:r>
            <w:r w:rsidRPr="00E901D7">
              <w:rPr>
                <w:rFonts w:hint="cs"/>
                <w:b/>
                <w:bCs/>
                <w:sz w:val="26"/>
                <w:szCs w:val="26"/>
                <w:rtl/>
              </w:rPr>
              <w:t xml:space="preserve"> </w:t>
            </w:r>
            <w:r w:rsidRPr="00E901D7">
              <w:rPr>
                <w:b/>
                <w:bCs/>
                <w:sz w:val="26"/>
                <w:szCs w:val="26"/>
                <w:rtl/>
              </w:rPr>
              <w:t>1878-09-15</w:t>
            </w:r>
            <w:r w:rsidRPr="00E901D7">
              <w:rPr>
                <w:rFonts w:hint="cs"/>
                <w:b/>
                <w:bCs/>
                <w:sz w:val="26"/>
                <w:szCs w:val="26"/>
                <w:rtl/>
              </w:rPr>
              <w:t xml:space="preserve"> </w:t>
            </w:r>
            <w:r w:rsidRPr="00E901D7">
              <w:rPr>
                <w:b/>
                <w:bCs/>
                <w:sz w:val="26"/>
                <w:szCs w:val="26"/>
                <w:rtl/>
              </w:rPr>
              <w:t>מדינת ישראל נ' זידאן(עציר)</w:t>
            </w:r>
          </w:p>
          <w:p w14:paraId="75AD470A" w14:textId="77777777" w:rsidR="00C91746" w:rsidRPr="00E901D7" w:rsidRDefault="00C91746">
            <w:pPr>
              <w:rPr>
                <w:b/>
                <w:bCs/>
                <w:sz w:val="26"/>
                <w:szCs w:val="26"/>
                <w:rtl/>
              </w:rPr>
            </w:pPr>
          </w:p>
        </w:tc>
        <w:tc>
          <w:tcPr>
            <w:tcW w:w="236" w:type="dxa"/>
          </w:tcPr>
          <w:p w14:paraId="138B3BDA" w14:textId="77777777" w:rsidR="00C91746" w:rsidRPr="00E901D7" w:rsidRDefault="00C91746">
            <w:pPr>
              <w:pStyle w:val="a4"/>
              <w:jc w:val="right"/>
              <w:rPr>
                <w:b/>
                <w:bCs/>
                <w:sz w:val="26"/>
                <w:szCs w:val="26"/>
                <w:rtl/>
              </w:rPr>
            </w:pPr>
          </w:p>
        </w:tc>
        <w:tc>
          <w:tcPr>
            <w:tcW w:w="2088" w:type="dxa"/>
          </w:tcPr>
          <w:p w14:paraId="5F83DF5A" w14:textId="77777777" w:rsidR="00C91746" w:rsidRPr="00E901D7" w:rsidRDefault="00E901D7">
            <w:pPr>
              <w:pStyle w:val="a4"/>
              <w:tabs>
                <w:tab w:val="clear" w:pos="4153"/>
              </w:tabs>
              <w:jc w:val="right"/>
              <w:rPr>
                <w:b/>
                <w:bCs/>
                <w:sz w:val="26"/>
                <w:szCs w:val="26"/>
                <w:rtl/>
              </w:rPr>
            </w:pPr>
            <w:r w:rsidRPr="00E901D7">
              <w:rPr>
                <w:b/>
                <w:bCs/>
                <w:sz w:val="26"/>
                <w:szCs w:val="26"/>
                <w:rtl/>
              </w:rPr>
              <w:t>08 יוני 2016</w:t>
            </w:r>
          </w:p>
        </w:tc>
      </w:tr>
    </w:tbl>
    <w:p w14:paraId="1B66A31F" w14:textId="77777777" w:rsidR="00C91746" w:rsidRPr="00E901D7" w:rsidRDefault="00C91746">
      <w:pPr>
        <w:pStyle w:val="a4"/>
        <w:jc w:val="center"/>
        <w:rPr>
          <w:rFonts w:ascii="Tahoma" w:hAnsi="Tahoma" w:cs="Tahoma"/>
          <w:b/>
          <w:bCs/>
          <w:color w:val="000080"/>
          <w:sz w:val="20"/>
          <w:szCs w:val="20"/>
          <w:rtl/>
        </w:rPr>
      </w:pPr>
    </w:p>
    <w:p w14:paraId="4B8C8FD0" w14:textId="77777777" w:rsidR="00C91746" w:rsidRPr="00E901D7" w:rsidRDefault="00C91746">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C91746" w:rsidRPr="00E901D7" w14:paraId="784B027E" w14:textId="77777777">
        <w:trPr>
          <w:trHeight w:val="337"/>
          <w:jc w:val="center"/>
        </w:trPr>
        <w:tc>
          <w:tcPr>
            <w:tcW w:w="1592" w:type="dxa"/>
          </w:tcPr>
          <w:p w14:paraId="6A75F733" w14:textId="77777777" w:rsidR="00C91746" w:rsidRPr="00E901D7" w:rsidRDefault="00E901D7">
            <w:pPr>
              <w:pStyle w:val="a4"/>
              <w:bidi w:val="0"/>
              <w:spacing w:line="360" w:lineRule="auto"/>
              <w:jc w:val="both"/>
              <w:rPr>
                <w:rFonts w:ascii="Times New Roman" w:hAnsi="Times New Roman"/>
              </w:rPr>
            </w:pPr>
            <w:r w:rsidRPr="00E901D7">
              <w:rPr>
                <w:rFonts w:ascii="Times New Roman" w:hAnsi="Times New Roman"/>
              </w:rPr>
              <w:t xml:space="preserve">  </w:t>
            </w:r>
          </w:p>
        </w:tc>
        <w:tc>
          <w:tcPr>
            <w:tcW w:w="7128" w:type="dxa"/>
          </w:tcPr>
          <w:p w14:paraId="4A995B29" w14:textId="77777777" w:rsidR="00C91746" w:rsidRPr="00E901D7" w:rsidRDefault="00E901D7">
            <w:pPr>
              <w:pStyle w:val="a4"/>
              <w:jc w:val="right"/>
              <w:rPr>
                <w:b/>
                <w:bCs/>
                <w:sz w:val="26"/>
                <w:szCs w:val="26"/>
                <w:rtl/>
              </w:rPr>
            </w:pPr>
            <w:r w:rsidRPr="00E901D7">
              <w:rPr>
                <w:rFonts w:hint="cs"/>
                <w:rtl/>
              </w:rPr>
              <w:t xml:space="preserve"> 1887-09-15</w:t>
            </w:r>
          </w:p>
        </w:tc>
      </w:tr>
    </w:tbl>
    <w:p w14:paraId="70AB8A5D" w14:textId="77777777" w:rsidR="00C91746" w:rsidRPr="00E901D7" w:rsidRDefault="00C91746">
      <w:pPr>
        <w:suppressLineNumbers/>
        <w:rPr>
          <w:rFonts w:ascii="Arial" w:hAnsi="Arial"/>
          <w:rtl/>
        </w:rPr>
      </w:pPr>
    </w:p>
    <w:p w14:paraId="7FE815E1" w14:textId="77777777" w:rsidR="00C91746" w:rsidRPr="00E901D7" w:rsidRDefault="00C91746">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C91746" w:rsidRPr="00E901D7" w14:paraId="5B65D7C7" w14:textId="77777777">
        <w:trPr>
          <w:gridAfter w:val="1"/>
          <w:wAfter w:w="56" w:type="dxa"/>
        </w:trPr>
        <w:tc>
          <w:tcPr>
            <w:tcW w:w="8718" w:type="dxa"/>
            <w:gridSpan w:val="2"/>
            <w:shd w:val="clear" w:color="auto" w:fill="auto"/>
          </w:tcPr>
          <w:p w14:paraId="059C61F0" w14:textId="77777777" w:rsidR="00C91746" w:rsidRPr="00E901D7" w:rsidRDefault="00E901D7">
            <w:pPr>
              <w:rPr>
                <w:rFonts w:ascii="Times New Roman" w:eastAsia="Times New Roman" w:hAnsi="Times New Roman"/>
                <w:b/>
                <w:bCs/>
                <w:sz w:val="26"/>
                <w:szCs w:val="26"/>
                <w:rtl/>
              </w:rPr>
            </w:pPr>
            <w:r w:rsidRPr="00E901D7">
              <w:rPr>
                <w:rFonts w:ascii="Times New Roman" w:eastAsia="Times New Roman" w:hAnsi="Times New Roman" w:hint="cs"/>
                <w:b/>
                <w:bCs/>
                <w:sz w:val="26"/>
                <w:szCs w:val="26"/>
                <w:rtl/>
              </w:rPr>
              <w:t>לפני כבוד ה</w:t>
            </w:r>
            <w:r w:rsidRPr="00E901D7">
              <w:rPr>
                <w:rFonts w:ascii="Times New Roman" w:eastAsia="Times New Roman" w:hAnsi="Times New Roman" w:hint="cs"/>
                <w:rtl/>
              </w:rPr>
              <w:t>שופטת שושנה פיינסוד-כהן</w:t>
            </w:r>
            <w:r w:rsidRPr="00E901D7">
              <w:rPr>
                <w:rStyle w:val="TimesNewRomanTimesNewRoman"/>
                <w:rFonts w:eastAsia="Times New Roman"/>
                <w:rtl/>
              </w:rPr>
              <w:t xml:space="preserve"> </w:t>
            </w:r>
          </w:p>
        </w:tc>
      </w:tr>
      <w:tr w:rsidR="00C91746" w:rsidRPr="00E901D7" w14:paraId="4E6FF761" w14:textId="77777777">
        <w:trPr>
          <w:cantSplit/>
          <w:trHeight w:val="724"/>
        </w:trPr>
        <w:tc>
          <w:tcPr>
            <w:tcW w:w="2880" w:type="dxa"/>
            <w:shd w:val="clear" w:color="auto" w:fill="auto"/>
          </w:tcPr>
          <w:p w14:paraId="6D13D1D8" w14:textId="77777777" w:rsidR="00C91746" w:rsidRPr="00E901D7" w:rsidRDefault="00C91746">
            <w:pPr>
              <w:ind w:left="26"/>
              <w:rPr>
                <w:rFonts w:ascii="Times New Roman" w:eastAsia="Times New Roman" w:hAnsi="Times New Roman"/>
                <w:b/>
                <w:bCs/>
                <w:sz w:val="26"/>
                <w:szCs w:val="26"/>
                <w:rtl/>
              </w:rPr>
            </w:pPr>
            <w:bookmarkStart w:id="1" w:name="FirstAppellant"/>
          </w:p>
          <w:p w14:paraId="2C664288" w14:textId="77777777" w:rsidR="00C91746" w:rsidRPr="00E901D7" w:rsidRDefault="00E901D7">
            <w:pPr>
              <w:ind w:left="26"/>
              <w:rPr>
                <w:rFonts w:ascii="Times New Roman" w:eastAsia="Times New Roman" w:hAnsi="Times New Roman"/>
                <w:b/>
                <w:bCs/>
                <w:sz w:val="26"/>
                <w:szCs w:val="26"/>
                <w:rtl/>
              </w:rPr>
            </w:pPr>
            <w:r w:rsidRPr="00E901D7">
              <w:rPr>
                <w:rFonts w:ascii="Times New Roman" w:eastAsia="Times New Roman" w:hAnsi="Times New Roman" w:hint="cs"/>
                <w:b/>
                <w:bCs/>
                <w:sz w:val="26"/>
                <w:szCs w:val="26"/>
                <w:rtl/>
              </w:rPr>
              <w:t>המאשימה</w:t>
            </w:r>
          </w:p>
        </w:tc>
        <w:tc>
          <w:tcPr>
            <w:tcW w:w="5922" w:type="dxa"/>
            <w:gridSpan w:val="2"/>
            <w:shd w:val="clear" w:color="auto" w:fill="auto"/>
          </w:tcPr>
          <w:p w14:paraId="6A132702" w14:textId="77777777" w:rsidR="00C91746" w:rsidRPr="00E901D7" w:rsidRDefault="00C91746">
            <w:pPr>
              <w:rPr>
                <w:rFonts w:ascii="Times New Roman" w:eastAsia="Times New Roman" w:hAnsi="Times New Roman" w:cs="Times New Roman"/>
                <w:rtl/>
              </w:rPr>
            </w:pPr>
          </w:p>
          <w:p w14:paraId="7BCC5C21" w14:textId="77777777" w:rsidR="00C91746" w:rsidRPr="00E901D7" w:rsidRDefault="00E901D7">
            <w:pPr>
              <w:rPr>
                <w:rFonts w:ascii="Times New Roman" w:eastAsia="Times New Roman" w:hAnsi="Times New Roman"/>
                <w:b/>
                <w:bCs/>
                <w:sz w:val="26"/>
                <w:szCs w:val="26"/>
                <w:rtl/>
              </w:rPr>
            </w:pPr>
            <w:r w:rsidRPr="00E901D7">
              <w:rPr>
                <w:rFonts w:ascii="Times New Roman" w:eastAsia="Times New Roman" w:hAnsi="Times New Roman" w:cs="Times New Roman" w:hint="cs"/>
                <w:rtl/>
              </w:rPr>
              <w:t xml:space="preserve"> </w:t>
            </w:r>
            <w:r w:rsidRPr="00E901D7">
              <w:rPr>
                <w:rFonts w:ascii="Times New Roman" w:eastAsia="Times New Roman" w:hAnsi="Times New Roman" w:hint="cs"/>
                <w:rtl/>
              </w:rPr>
              <w:t>מדינת ישראל</w:t>
            </w:r>
          </w:p>
          <w:p w14:paraId="69F7471C" w14:textId="77777777" w:rsidR="00C91746" w:rsidRPr="00E901D7" w:rsidRDefault="00C91746">
            <w:pPr>
              <w:rPr>
                <w:rFonts w:ascii="Times New Roman" w:eastAsia="Times New Roman" w:hAnsi="Times New Roman"/>
                <w:b/>
                <w:bCs/>
                <w:sz w:val="26"/>
                <w:szCs w:val="26"/>
                <w:rtl/>
              </w:rPr>
            </w:pPr>
          </w:p>
        </w:tc>
      </w:tr>
      <w:bookmarkEnd w:id="1"/>
      <w:tr w:rsidR="00C91746" w:rsidRPr="00E901D7" w14:paraId="02707C8F" w14:textId="77777777">
        <w:tc>
          <w:tcPr>
            <w:tcW w:w="8802" w:type="dxa"/>
            <w:gridSpan w:val="3"/>
            <w:shd w:val="clear" w:color="auto" w:fill="auto"/>
            <w:vAlign w:val="center"/>
          </w:tcPr>
          <w:p w14:paraId="387227E5" w14:textId="77777777" w:rsidR="00C91746" w:rsidRPr="00E901D7" w:rsidRDefault="00C91746">
            <w:pPr>
              <w:jc w:val="center"/>
              <w:rPr>
                <w:rFonts w:ascii="Arial" w:eastAsia="Times New Roman" w:hAnsi="Arial"/>
                <w:b/>
                <w:bCs/>
                <w:sz w:val="26"/>
                <w:szCs w:val="26"/>
                <w:rtl/>
              </w:rPr>
            </w:pPr>
          </w:p>
          <w:p w14:paraId="0E714600" w14:textId="77777777" w:rsidR="00C91746" w:rsidRPr="00E901D7" w:rsidRDefault="00E901D7">
            <w:pPr>
              <w:jc w:val="center"/>
              <w:rPr>
                <w:rFonts w:ascii="Arial" w:eastAsia="Times New Roman" w:hAnsi="Arial"/>
                <w:b/>
                <w:bCs/>
                <w:sz w:val="26"/>
                <w:szCs w:val="26"/>
                <w:rtl/>
              </w:rPr>
            </w:pPr>
            <w:r w:rsidRPr="00E901D7">
              <w:rPr>
                <w:rFonts w:ascii="Arial" w:eastAsia="Times New Roman" w:hAnsi="Arial"/>
                <w:b/>
                <w:bCs/>
                <w:sz w:val="26"/>
                <w:szCs w:val="26"/>
                <w:rtl/>
              </w:rPr>
              <w:t>נגד</w:t>
            </w:r>
          </w:p>
          <w:p w14:paraId="2A971E41" w14:textId="77777777" w:rsidR="00C91746" w:rsidRPr="00E901D7" w:rsidRDefault="00C91746">
            <w:pPr>
              <w:rPr>
                <w:rFonts w:ascii="Arial" w:eastAsia="Times New Roman" w:hAnsi="Arial"/>
                <w:b/>
                <w:bCs/>
                <w:sz w:val="26"/>
                <w:szCs w:val="26"/>
              </w:rPr>
            </w:pPr>
          </w:p>
        </w:tc>
      </w:tr>
      <w:tr w:rsidR="00C91746" w:rsidRPr="00E901D7" w14:paraId="5D0CC658" w14:textId="77777777">
        <w:tc>
          <w:tcPr>
            <w:tcW w:w="2880" w:type="dxa"/>
            <w:shd w:val="clear" w:color="auto" w:fill="auto"/>
          </w:tcPr>
          <w:p w14:paraId="30671E5E" w14:textId="77777777" w:rsidR="00C91746" w:rsidRPr="00E901D7" w:rsidRDefault="00E901D7">
            <w:pPr>
              <w:ind w:left="26"/>
              <w:rPr>
                <w:rFonts w:ascii="Times New Roman" w:eastAsia="Times New Roman" w:hAnsi="Times New Roman"/>
                <w:b/>
                <w:bCs/>
                <w:sz w:val="26"/>
                <w:szCs w:val="26"/>
                <w:rtl/>
              </w:rPr>
            </w:pPr>
            <w:r w:rsidRPr="00E901D7">
              <w:rPr>
                <w:rFonts w:ascii="Times New Roman" w:eastAsia="Times New Roman" w:hAnsi="Times New Roman" w:hint="cs"/>
                <w:b/>
                <w:bCs/>
                <w:sz w:val="26"/>
                <w:szCs w:val="26"/>
                <w:rtl/>
              </w:rPr>
              <w:t>הנאשם</w:t>
            </w:r>
          </w:p>
        </w:tc>
        <w:tc>
          <w:tcPr>
            <w:tcW w:w="5922" w:type="dxa"/>
            <w:gridSpan w:val="2"/>
            <w:shd w:val="clear" w:color="auto" w:fill="auto"/>
          </w:tcPr>
          <w:p w14:paraId="7F04BA43" w14:textId="77777777" w:rsidR="00C91746" w:rsidRPr="00E901D7" w:rsidRDefault="00E901D7">
            <w:pPr>
              <w:rPr>
                <w:rFonts w:ascii="Times New Roman" w:eastAsia="Times New Roman" w:hAnsi="Times New Roman"/>
                <w:b/>
                <w:bCs/>
                <w:sz w:val="26"/>
                <w:szCs w:val="26"/>
                <w:rtl/>
              </w:rPr>
            </w:pPr>
            <w:r w:rsidRPr="00E901D7">
              <w:rPr>
                <w:rFonts w:ascii="Times New Roman" w:eastAsia="Times New Roman" w:hAnsi="Times New Roman" w:cs="Times New Roman" w:hint="cs"/>
                <w:rtl/>
              </w:rPr>
              <w:t xml:space="preserve"> </w:t>
            </w:r>
            <w:r w:rsidRPr="00E901D7">
              <w:rPr>
                <w:rFonts w:ascii="Times New Roman" w:eastAsia="Times New Roman" w:hAnsi="Times New Roman" w:hint="cs"/>
                <w:rtl/>
              </w:rPr>
              <w:t xml:space="preserve">עבד אלראוף זידאן </w:t>
            </w:r>
          </w:p>
          <w:p w14:paraId="736AA36F" w14:textId="77777777" w:rsidR="00C91746" w:rsidRPr="00E901D7" w:rsidRDefault="00C91746">
            <w:pPr>
              <w:rPr>
                <w:rFonts w:ascii="Times New Roman" w:eastAsia="Times New Roman" w:hAnsi="Times New Roman"/>
                <w:b/>
                <w:bCs/>
                <w:sz w:val="26"/>
                <w:szCs w:val="26"/>
                <w:rtl/>
              </w:rPr>
            </w:pPr>
          </w:p>
        </w:tc>
      </w:tr>
    </w:tbl>
    <w:p w14:paraId="4E2202E6" w14:textId="77777777" w:rsidR="00C91746" w:rsidRPr="00E901D7" w:rsidRDefault="00C91746">
      <w:pPr>
        <w:spacing w:line="360" w:lineRule="auto"/>
        <w:jc w:val="both"/>
        <w:rPr>
          <w:rtl/>
        </w:rPr>
      </w:pPr>
    </w:p>
    <w:p w14:paraId="09D5FEBC" w14:textId="77777777" w:rsidR="00C91746" w:rsidRPr="00E901D7" w:rsidRDefault="00E901D7">
      <w:pPr>
        <w:spacing w:line="360" w:lineRule="auto"/>
        <w:jc w:val="both"/>
        <w:rPr>
          <w:sz w:val="6"/>
          <w:szCs w:val="6"/>
          <w:rtl/>
        </w:rPr>
      </w:pPr>
      <w:r w:rsidRPr="00E901D7">
        <w:rPr>
          <w:sz w:val="6"/>
          <w:szCs w:val="6"/>
          <w:rtl/>
        </w:rPr>
        <w:t>&lt;#2#&gt;</w:t>
      </w:r>
    </w:p>
    <w:p w14:paraId="719A2937" w14:textId="77777777" w:rsidR="00C91746" w:rsidRPr="00E901D7" w:rsidRDefault="00E901D7">
      <w:pPr>
        <w:pStyle w:val="12"/>
        <w:rPr>
          <w:u w:val="none"/>
          <w:rtl/>
        </w:rPr>
      </w:pPr>
      <w:r w:rsidRPr="00E901D7">
        <w:rPr>
          <w:rFonts w:hint="cs"/>
          <w:u w:val="none"/>
          <w:rtl/>
        </w:rPr>
        <w:t>נוכחים:</w:t>
      </w:r>
    </w:p>
    <w:p w14:paraId="422C28A7" w14:textId="77777777" w:rsidR="00C91746" w:rsidRPr="00E901D7" w:rsidRDefault="00C91746">
      <w:pPr>
        <w:pStyle w:val="12"/>
        <w:rPr>
          <w:b w:val="0"/>
          <w:bCs w:val="0"/>
          <w:u w:val="none"/>
          <w:rtl/>
        </w:rPr>
      </w:pPr>
    </w:p>
    <w:p w14:paraId="33206A4E" w14:textId="77777777" w:rsidR="00C91746" w:rsidRPr="00E901D7" w:rsidRDefault="00E901D7">
      <w:pPr>
        <w:pStyle w:val="12"/>
        <w:rPr>
          <w:b w:val="0"/>
          <w:bCs w:val="0"/>
          <w:u w:val="none"/>
          <w:rtl/>
        </w:rPr>
      </w:pPr>
      <w:bookmarkStart w:id="2" w:name="FirstLawyer"/>
      <w:r w:rsidRPr="00E901D7">
        <w:rPr>
          <w:rFonts w:hint="cs"/>
          <w:b w:val="0"/>
          <w:bCs w:val="0"/>
          <w:u w:val="none"/>
          <w:rtl/>
        </w:rPr>
        <w:t>ב"כ</w:t>
      </w:r>
      <w:bookmarkEnd w:id="2"/>
      <w:r w:rsidRPr="00E901D7">
        <w:rPr>
          <w:rFonts w:hint="cs"/>
          <w:b w:val="0"/>
          <w:bCs w:val="0"/>
          <w:u w:val="none"/>
          <w:rtl/>
        </w:rPr>
        <w:t xml:space="preserve"> המאשימה </w:t>
      </w:r>
      <w:r w:rsidRPr="00E901D7">
        <w:rPr>
          <w:b w:val="0"/>
          <w:bCs w:val="0"/>
          <w:u w:val="none"/>
          <w:rtl/>
        </w:rPr>
        <w:t>–</w:t>
      </w:r>
      <w:r w:rsidRPr="00E901D7">
        <w:rPr>
          <w:rFonts w:hint="cs"/>
          <w:b w:val="0"/>
          <w:bCs w:val="0"/>
          <w:u w:val="none"/>
          <w:rtl/>
        </w:rPr>
        <w:t>עו"ד אתי קליין</w:t>
      </w:r>
    </w:p>
    <w:p w14:paraId="7D9B11CB" w14:textId="77777777" w:rsidR="00C91746" w:rsidRPr="00E901D7" w:rsidRDefault="00E901D7">
      <w:pPr>
        <w:pStyle w:val="12"/>
        <w:rPr>
          <w:b w:val="0"/>
          <w:bCs w:val="0"/>
          <w:u w:val="none"/>
          <w:rtl/>
        </w:rPr>
      </w:pPr>
      <w:r w:rsidRPr="00E901D7">
        <w:rPr>
          <w:rFonts w:hint="cs"/>
          <w:b w:val="0"/>
          <w:bCs w:val="0"/>
          <w:u w:val="none"/>
          <w:rtl/>
        </w:rPr>
        <w:t xml:space="preserve">הנאשם </w:t>
      </w:r>
      <w:r w:rsidRPr="00E901D7">
        <w:rPr>
          <w:b w:val="0"/>
          <w:bCs w:val="0"/>
          <w:u w:val="none"/>
          <w:rtl/>
        </w:rPr>
        <w:t>–</w:t>
      </w:r>
      <w:r w:rsidRPr="00E901D7">
        <w:rPr>
          <w:rFonts w:hint="cs"/>
          <w:b w:val="0"/>
          <w:bCs w:val="0"/>
          <w:u w:val="none"/>
          <w:rtl/>
        </w:rPr>
        <w:t>נוכח</w:t>
      </w:r>
    </w:p>
    <w:p w14:paraId="41068252" w14:textId="77777777" w:rsidR="00C91746" w:rsidRPr="00E901D7" w:rsidRDefault="00E901D7">
      <w:pPr>
        <w:pStyle w:val="12"/>
        <w:rPr>
          <w:b w:val="0"/>
          <w:bCs w:val="0"/>
          <w:u w:val="none"/>
          <w:rtl/>
        </w:rPr>
      </w:pPr>
      <w:r w:rsidRPr="00E901D7">
        <w:rPr>
          <w:rFonts w:hint="cs"/>
          <w:b w:val="0"/>
          <w:bCs w:val="0"/>
          <w:u w:val="none"/>
          <w:rtl/>
        </w:rPr>
        <w:t xml:space="preserve">הסניגור </w:t>
      </w:r>
      <w:r w:rsidRPr="00E901D7">
        <w:rPr>
          <w:b w:val="0"/>
          <w:bCs w:val="0"/>
          <w:u w:val="none"/>
          <w:rtl/>
        </w:rPr>
        <w:t>–</w:t>
      </w:r>
      <w:r w:rsidRPr="00E901D7">
        <w:rPr>
          <w:rFonts w:hint="cs"/>
          <w:b w:val="0"/>
          <w:bCs w:val="0"/>
          <w:u w:val="none"/>
          <w:rtl/>
        </w:rPr>
        <w:t>עו"ד איברהים כנעאנה</w:t>
      </w:r>
    </w:p>
    <w:p w14:paraId="31C25B15" w14:textId="77777777" w:rsidR="00C91746" w:rsidRPr="00E901D7" w:rsidRDefault="00E901D7">
      <w:pPr>
        <w:pStyle w:val="a7"/>
        <w:spacing w:line="360" w:lineRule="auto"/>
        <w:jc w:val="center"/>
        <w:rPr>
          <w:rFonts w:ascii="Arial" w:eastAsia="David" w:hAnsi="Arial"/>
          <w:b/>
          <w:bCs w:val="0"/>
          <w:snapToGrid/>
          <w:color w:val="FF0000"/>
          <w:sz w:val="28"/>
          <w:rtl/>
          <w:lang w:eastAsia="en-US"/>
        </w:rPr>
      </w:pPr>
      <w:r w:rsidRPr="00E901D7">
        <w:rPr>
          <w:rFonts w:ascii="Arial" w:eastAsia="David" w:hAnsi="Arial"/>
          <w:b/>
          <w:bCs w:val="0"/>
          <w:snapToGrid/>
          <w:color w:val="FF0000"/>
          <w:sz w:val="28"/>
          <w:rtl/>
          <w:lang w:eastAsia="en-US"/>
        </w:rPr>
        <w:t>במסמך זה הושמטו פרוטוקולים</w:t>
      </w:r>
    </w:p>
    <w:p w14:paraId="082CFF90" w14:textId="77777777" w:rsidR="00E901D7" w:rsidRPr="00E901D7" w:rsidRDefault="00E901D7">
      <w:pPr>
        <w:pStyle w:val="a7"/>
        <w:spacing w:line="360" w:lineRule="auto"/>
        <w:jc w:val="center"/>
        <w:rPr>
          <w:rFonts w:ascii="Arial" w:eastAsia="David" w:hAnsi="Arial"/>
          <w:b/>
          <w:snapToGrid/>
          <w:sz w:val="28"/>
          <w:szCs w:val="28"/>
          <w:rtl/>
          <w:lang w:eastAsia="en-US"/>
        </w:rPr>
      </w:pPr>
    </w:p>
    <w:p w14:paraId="4154DD00" w14:textId="77777777" w:rsidR="00E901D7" w:rsidRPr="00E901D7" w:rsidRDefault="00E901D7" w:rsidP="00E901D7">
      <w:pPr>
        <w:pStyle w:val="a7"/>
        <w:spacing w:line="360" w:lineRule="auto"/>
        <w:jc w:val="center"/>
        <w:rPr>
          <w:rFonts w:ascii="Arial" w:eastAsia="David" w:hAnsi="Arial"/>
          <w:b/>
          <w:snapToGrid/>
          <w:sz w:val="28"/>
          <w:szCs w:val="28"/>
          <w:u w:val="single"/>
          <w:rtl/>
          <w:lang w:eastAsia="en-US"/>
        </w:rPr>
      </w:pPr>
      <w:bookmarkStart w:id="3" w:name="PsakDin"/>
      <w:bookmarkEnd w:id="0"/>
      <w:r w:rsidRPr="00E901D7">
        <w:rPr>
          <w:rFonts w:ascii="Arial" w:eastAsia="David" w:hAnsi="Arial"/>
          <w:b/>
          <w:snapToGrid/>
          <w:sz w:val="28"/>
          <w:szCs w:val="28"/>
          <w:u w:val="single"/>
          <w:rtl/>
          <w:lang w:eastAsia="en-US"/>
        </w:rPr>
        <w:t>גזר דין</w:t>
      </w:r>
    </w:p>
    <w:bookmarkEnd w:id="3"/>
    <w:p w14:paraId="6FAF30D9" w14:textId="77777777" w:rsidR="00C91746" w:rsidRDefault="00C91746">
      <w:pPr>
        <w:pStyle w:val="a7"/>
        <w:spacing w:line="360" w:lineRule="auto"/>
        <w:jc w:val="both"/>
        <w:rPr>
          <w:b/>
          <w:bCs w:val="0"/>
          <w:rtl/>
        </w:rPr>
      </w:pPr>
    </w:p>
    <w:p w14:paraId="2EF1EB98" w14:textId="77777777" w:rsidR="00C91746" w:rsidRDefault="00E901D7">
      <w:pPr>
        <w:pStyle w:val="a7"/>
        <w:spacing w:line="360" w:lineRule="auto"/>
        <w:ind w:left="720" w:hanging="720"/>
        <w:jc w:val="both"/>
        <w:rPr>
          <w:b/>
          <w:bCs w:val="0"/>
          <w:rtl/>
        </w:rPr>
      </w:pPr>
      <w:r>
        <w:rPr>
          <w:rFonts w:hint="cs"/>
          <w:b/>
          <w:bCs w:val="0"/>
          <w:rtl/>
        </w:rPr>
        <w:t>1.</w:t>
      </w:r>
      <w:r>
        <w:rPr>
          <w:b/>
          <w:bCs w:val="0"/>
          <w:rtl/>
        </w:rPr>
        <w:tab/>
      </w:r>
      <w:bookmarkStart w:id="4" w:name="ABSTRACT_START"/>
      <w:bookmarkEnd w:id="4"/>
      <w:r>
        <w:rPr>
          <w:rFonts w:hint="cs"/>
          <w:b/>
          <w:bCs w:val="0"/>
          <w:rtl/>
        </w:rPr>
        <w:t xml:space="preserve">הנאשם הורשע על פי הודאתו בכתב אישום מתוקן המייחס לו 3 אישומים של סחר בסמים מסוג קוקאין ואישום אחד של אחזקת הירואין בכמות שאינה ידועה. </w:t>
      </w:r>
      <w:bookmarkStart w:id="5" w:name="ABSTRACT_END"/>
      <w:bookmarkEnd w:id="5"/>
      <w:r>
        <w:rPr>
          <w:rFonts w:hint="cs"/>
          <w:b/>
          <w:bCs w:val="0"/>
          <w:rtl/>
        </w:rPr>
        <w:t xml:space="preserve">יצוין כי מדובר בכמויות הנעות בין 0.27 גר' ל- 0.49 גר'. </w:t>
      </w:r>
    </w:p>
    <w:p w14:paraId="11E7FC51" w14:textId="77777777" w:rsidR="00C91746" w:rsidRDefault="00C91746">
      <w:pPr>
        <w:pStyle w:val="a7"/>
        <w:spacing w:line="360" w:lineRule="auto"/>
        <w:ind w:left="720" w:hanging="720"/>
        <w:jc w:val="both"/>
        <w:rPr>
          <w:b/>
          <w:bCs w:val="0"/>
          <w:rtl/>
        </w:rPr>
      </w:pPr>
    </w:p>
    <w:p w14:paraId="0BC75797" w14:textId="77777777" w:rsidR="00C91746" w:rsidRDefault="00E901D7">
      <w:pPr>
        <w:pStyle w:val="a7"/>
        <w:spacing w:line="360" w:lineRule="auto"/>
        <w:ind w:left="720" w:hanging="720"/>
        <w:jc w:val="both"/>
        <w:rPr>
          <w:b/>
          <w:bCs w:val="0"/>
          <w:rtl/>
        </w:rPr>
      </w:pPr>
      <w:r>
        <w:rPr>
          <w:rFonts w:hint="cs"/>
          <w:b/>
          <w:bCs w:val="0"/>
          <w:rtl/>
        </w:rPr>
        <w:t>2.</w:t>
      </w:r>
      <w:r>
        <w:rPr>
          <w:b/>
          <w:bCs w:val="0"/>
          <w:rtl/>
        </w:rPr>
        <w:tab/>
      </w:r>
      <w:r>
        <w:rPr>
          <w:rFonts w:hint="cs"/>
          <w:b/>
          <w:bCs w:val="0"/>
          <w:rtl/>
        </w:rPr>
        <w:t xml:space="preserve">בתיק זה החלה שמיעת עדי המאשימה. לא נשמעו כל העדים. אזרחים על אף שזומנו לא הופיעו והצדדים הגיעו להסדר על פיו, תוקן כתב האישום. הנאשם הודה והורשע והמאשימה הודיעה כי "במסגרת הטיעון לעונש תגביל עצמה התביעה לטיעון מקסימלי ומאסר בפועל עד 18 חודשים בגין תיק זה בלבד וכן תעתור להפעלת מאסר המותנה התלוי ועומד כנגדו בן 4 חודשים. המאשימה תוכל לעתור לריצוי במצטבר ". כמו כן, קיימים הסדרים שונים בין הצדדים באשר למרכיבי ענישה נוספים והמאשימה חופשיה לטעון למרכיבי ענישה לגביהם לא הגיעו לידי הבנות. </w:t>
      </w:r>
    </w:p>
    <w:p w14:paraId="7977FD1D" w14:textId="77777777" w:rsidR="00C91746" w:rsidRDefault="00C91746">
      <w:pPr>
        <w:pStyle w:val="a7"/>
        <w:spacing w:line="360" w:lineRule="auto"/>
        <w:ind w:left="720" w:hanging="720"/>
        <w:jc w:val="both"/>
        <w:rPr>
          <w:b/>
          <w:bCs w:val="0"/>
          <w:rtl/>
        </w:rPr>
      </w:pPr>
    </w:p>
    <w:p w14:paraId="0B3649C2" w14:textId="77777777" w:rsidR="00C91746" w:rsidRDefault="00E901D7">
      <w:pPr>
        <w:pStyle w:val="a7"/>
        <w:spacing w:line="360" w:lineRule="auto"/>
        <w:ind w:left="720" w:hanging="720"/>
        <w:jc w:val="both"/>
        <w:rPr>
          <w:b/>
          <w:bCs w:val="0"/>
          <w:rtl/>
        </w:rPr>
      </w:pPr>
      <w:r>
        <w:rPr>
          <w:rFonts w:hint="cs"/>
          <w:b/>
          <w:bCs w:val="0"/>
          <w:rtl/>
        </w:rPr>
        <w:t>3.</w:t>
      </w:r>
      <w:r>
        <w:rPr>
          <w:rFonts w:hint="cs"/>
          <w:b/>
          <w:bCs w:val="0"/>
          <w:rtl/>
        </w:rPr>
        <w:tab/>
        <w:t xml:space="preserve">אינני מסכימה עם פירוש ושל הסניגור להסכמה עם המאשימה. המאשימה הגבילה עצמה שלא תטען כי העונש הראוי עולה על  18 חודשי מאסר. לא הגבילה את עצמה שלא לטעון שהעונש הראוי הוא 18 חודשי מאסר ובוודאי לא הגבילה את עצמה להסכים כי פחות מכך </w:t>
      </w:r>
      <w:r>
        <w:rPr>
          <w:rFonts w:hint="cs"/>
          <w:b/>
          <w:bCs w:val="0"/>
          <w:rtl/>
        </w:rPr>
        <w:lastRenderedPageBreak/>
        <w:t xml:space="preserve">הוא עונש ראוי. ההסכמה השאירה יד חופשיה למאשימה לטעון לכל עונש ראוי שאינו עולה על 18 חודשי מאסר בצירוף הפעלת המאסר המותנה. </w:t>
      </w:r>
    </w:p>
    <w:p w14:paraId="3CB853A5" w14:textId="77777777" w:rsidR="00C91746" w:rsidRDefault="00C91746">
      <w:pPr>
        <w:pStyle w:val="a7"/>
        <w:spacing w:line="360" w:lineRule="auto"/>
        <w:ind w:left="720" w:hanging="720"/>
        <w:jc w:val="both"/>
        <w:rPr>
          <w:b/>
          <w:bCs w:val="0"/>
          <w:rtl/>
        </w:rPr>
      </w:pPr>
    </w:p>
    <w:p w14:paraId="066DB551" w14:textId="77777777" w:rsidR="00C91746" w:rsidRDefault="00E901D7">
      <w:pPr>
        <w:pStyle w:val="a7"/>
        <w:spacing w:line="360" w:lineRule="auto"/>
        <w:ind w:left="720" w:hanging="720"/>
        <w:jc w:val="both"/>
        <w:rPr>
          <w:b/>
          <w:bCs w:val="0"/>
          <w:rtl/>
        </w:rPr>
      </w:pPr>
      <w:r>
        <w:rPr>
          <w:rFonts w:hint="cs"/>
          <w:b/>
          <w:bCs w:val="0"/>
          <w:rtl/>
        </w:rPr>
        <w:t>4.</w:t>
      </w:r>
      <w:r>
        <w:rPr>
          <w:rFonts w:hint="cs"/>
          <w:b/>
          <w:bCs w:val="0"/>
          <w:rtl/>
        </w:rPr>
        <w:tab/>
        <w:t xml:space="preserve">הנאשם הורשע כאמור על פי הודאתו בשלושה מקרי עבירות סחר בסמים. הפסיקה חזרה והדגישה חומרתן של עבירות סחר בסמים. השולח ידו בעבירה זו, שותף להפצת נגע הסם וכן מפיק הוא רווח לטובת הנאה מכישלונם של אחרים לצרוך את הסם. </w:t>
      </w:r>
    </w:p>
    <w:p w14:paraId="39D185C5" w14:textId="77777777" w:rsidR="00C91746" w:rsidRDefault="00C91746">
      <w:pPr>
        <w:pStyle w:val="a7"/>
        <w:spacing w:line="360" w:lineRule="auto"/>
        <w:ind w:left="720" w:hanging="720"/>
        <w:jc w:val="both"/>
        <w:rPr>
          <w:b/>
          <w:bCs w:val="0"/>
          <w:rtl/>
        </w:rPr>
      </w:pPr>
    </w:p>
    <w:p w14:paraId="3605A9E3" w14:textId="77777777" w:rsidR="00C91746" w:rsidRDefault="00E901D7">
      <w:pPr>
        <w:pStyle w:val="a7"/>
        <w:spacing w:line="360" w:lineRule="auto"/>
        <w:ind w:left="720" w:hanging="720"/>
        <w:jc w:val="both"/>
        <w:rPr>
          <w:b/>
          <w:bCs w:val="0"/>
          <w:rtl/>
        </w:rPr>
      </w:pPr>
      <w:r>
        <w:rPr>
          <w:rFonts w:hint="cs"/>
          <w:b/>
          <w:bCs w:val="0"/>
          <w:rtl/>
        </w:rPr>
        <w:t>5.</w:t>
      </w:r>
      <w:r>
        <w:rPr>
          <w:rFonts w:hint="cs"/>
          <w:b/>
          <w:bCs w:val="0"/>
          <w:rtl/>
        </w:rPr>
        <w:tab/>
        <w:t xml:space="preserve">משקבעו הצדדים את הרף העליון למתחם הענישה, אעיר כי הרף התחתון ממתחם הענישה במקרה דוגמת זה, הינו 5 חודשי מאסר. בבוא ביהמ"ש לתחום את המתחם יש לשים לב גם לטיבו של הסם. שני פסקי הדין אליהם הפנה הסניגור, מדובר בסחר בחשיש. במקרה שבפניי, מדובר בסם הנחשב כקשה הרבה יותר, קוקאין. ניתן לראות זאת גם בתמורה לה זכה הנאשם. </w:t>
      </w:r>
    </w:p>
    <w:p w14:paraId="125342B5" w14:textId="77777777" w:rsidR="00C91746" w:rsidRDefault="00C91746">
      <w:pPr>
        <w:pStyle w:val="a7"/>
        <w:spacing w:line="360" w:lineRule="auto"/>
        <w:ind w:left="720" w:hanging="720"/>
        <w:jc w:val="both"/>
        <w:rPr>
          <w:b/>
          <w:bCs w:val="0"/>
          <w:rtl/>
        </w:rPr>
      </w:pPr>
    </w:p>
    <w:p w14:paraId="1F32DA0B" w14:textId="77777777" w:rsidR="00C91746" w:rsidRDefault="00E901D7">
      <w:pPr>
        <w:pStyle w:val="a7"/>
        <w:spacing w:line="360" w:lineRule="auto"/>
        <w:ind w:left="720" w:hanging="720"/>
        <w:jc w:val="both"/>
        <w:rPr>
          <w:b/>
          <w:bCs w:val="0"/>
          <w:rtl/>
        </w:rPr>
      </w:pPr>
      <w:r>
        <w:rPr>
          <w:rFonts w:hint="cs"/>
          <w:b/>
          <w:bCs w:val="0"/>
          <w:rtl/>
        </w:rPr>
        <w:t>6.</w:t>
      </w:r>
      <w:r>
        <w:rPr>
          <w:rFonts w:hint="cs"/>
          <w:b/>
          <w:bCs w:val="0"/>
          <w:rtl/>
        </w:rPr>
        <w:tab/>
        <w:t xml:space="preserve">הנאשם טוען כי נקי הוא מסם וכי ביקש להבדק על ידי שירות המבחן ושירות המבחן לא בדק שאלת ניקיונו. משכך, חזקה היא בהנחת עבודה לצורך הדיון שבפניי, כי הנאשם נקי מצריכת סמים. יוער, כי יש לכך השלכה לעניין גזירת העונש אך היא מוגבלת, שכן כנגד הנאשם 3 אישומי סחר בסם והנזק נגרם מהם אינו תלוי בשאלה האם הנאשם צרך את הסם בעצמו. </w:t>
      </w:r>
    </w:p>
    <w:p w14:paraId="7CE3ABFD" w14:textId="77777777" w:rsidR="00C91746" w:rsidRDefault="00C91746">
      <w:pPr>
        <w:pStyle w:val="a7"/>
        <w:spacing w:line="360" w:lineRule="auto"/>
        <w:ind w:left="720" w:hanging="720"/>
        <w:jc w:val="both"/>
        <w:rPr>
          <w:b/>
          <w:bCs w:val="0"/>
          <w:rtl/>
        </w:rPr>
      </w:pPr>
    </w:p>
    <w:p w14:paraId="4549FA80" w14:textId="77777777" w:rsidR="00C91746" w:rsidRDefault="00E901D7">
      <w:pPr>
        <w:pStyle w:val="a7"/>
        <w:spacing w:line="360" w:lineRule="auto"/>
        <w:ind w:left="720" w:hanging="720"/>
        <w:jc w:val="both"/>
        <w:rPr>
          <w:b/>
          <w:bCs w:val="0"/>
          <w:rtl/>
        </w:rPr>
      </w:pPr>
      <w:r>
        <w:rPr>
          <w:rFonts w:hint="cs"/>
          <w:b/>
          <w:bCs w:val="0"/>
          <w:rtl/>
        </w:rPr>
        <w:t>7.</w:t>
      </w:r>
      <w:r>
        <w:rPr>
          <w:rFonts w:hint="cs"/>
          <w:b/>
          <w:bCs w:val="0"/>
          <w:rtl/>
        </w:rPr>
        <w:tab/>
        <w:t xml:space="preserve">הנאשם הופנה לתסקיר שירות המבחן. אינני מוצאת לנכון להתייחס אליו. תסקיר שירות המבחן יכול לשמש רק לצרכי הקלה בעונש ולא על מנת להחמירו. </w:t>
      </w:r>
    </w:p>
    <w:p w14:paraId="421BE86D" w14:textId="77777777" w:rsidR="00C91746" w:rsidRDefault="00C91746">
      <w:pPr>
        <w:pStyle w:val="a7"/>
        <w:spacing w:line="360" w:lineRule="auto"/>
        <w:ind w:left="720" w:hanging="720"/>
        <w:jc w:val="both"/>
        <w:rPr>
          <w:b/>
          <w:bCs w:val="0"/>
          <w:rtl/>
        </w:rPr>
      </w:pPr>
    </w:p>
    <w:p w14:paraId="43B074F7" w14:textId="77777777" w:rsidR="00C91746" w:rsidRDefault="00E901D7">
      <w:pPr>
        <w:pStyle w:val="a7"/>
        <w:spacing w:line="360" w:lineRule="auto"/>
        <w:ind w:left="720" w:hanging="720"/>
        <w:jc w:val="both"/>
        <w:rPr>
          <w:b/>
          <w:bCs w:val="0"/>
          <w:rtl/>
        </w:rPr>
      </w:pPr>
      <w:r>
        <w:rPr>
          <w:rFonts w:hint="cs"/>
          <w:b/>
          <w:bCs w:val="0"/>
          <w:rtl/>
        </w:rPr>
        <w:t>8.</w:t>
      </w:r>
      <w:r>
        <w:rPr>
          <w:rFonts w:hint="cs"/>
          <w:b/>
          <w:bCs w:val="0"/>
          <w:rtl/>
        </w:rPr>
        <w:tab/>
        <w:t xml:space="preserve">לנאשם עבר פלילי מכביד בעבירות סמים. עיון בת/1, גיליון הרשעותיו מלמד כי הורשע מס' פעמים בהחזקת סמים ולפני עשר שנים הורשע גם בסחר בסם ונגזרו עליו 14 חודשי מאסר בפועל. כמו כן, קדמו לכך עבירות גם מתחומי פשיעה שונים. </w:t>
      </w:r>
    </w:p>
    <w:p w14:paraId="6383F9A0" w14:textId="77777777" w:rsidR="00C91746" w:rsidRDefault="00C91746">
      <w:pPr>
        <w:pStyle w:val="a7"/>
        <w:spacing w:line="360" w:lineRule="auto"/>
        <w:ind w:left="720" w:hanging="720"/>
        <w:jc w:val="both"/>
        <w:rPr>
          <w:b/>
          <w:bCs w:val="0"/>
          <w:rtl/>
        </w:rPr>
      </w:pPr>
    </w:p>
    <w:p w14:paraId="590C5D6B" w14:textId="77777777" w:rsidR="00C91746" w:rsidRDefault="00E901D7">
      <w:pPr>
        <w:pStyle w:val="a7"/>
        <w:spacing w:line="360" w:lineRule="auto"/>
        <w:ind w:left="720" w:hanging="720"/>
        <w:jc w:val="both"/>
        <w:rPr>
          <w:b/>
          <w:bCs w:val="0"/>
          <w:rtl/>
        </w:rPr>
      </w:pPr>
      <w:r>
        <w:rPr>
          <w:rFonts w:hint="cs"/>
          <w:b/>
          <w:bCs w:val="0"/>
          <w:rtl/>
        </w:rPr>
        <w:t>9.</w:t>
      </w:r>
      <w:r>
        <w:rPr>
          <w:rFonts w:hint="cs"/>
          <w:b/>
          <w:bCs w:val="0"/>
          <w:rtl/>
        </w:rPr>
        <w:tab/>
        <w:t xml:space="preserve">העבירות אותן ביצע הנאשם נפרסות על תקופה של כחודשיים וחצי. כנגד הנאשם עומד ותלוי מאסר מותנה ב ן 4 חודשים אשר נגזר עליו בגז"ד מיום 24.12.14 (ת/2). שם בחר ביהמ"ש להקל בעונשו תוך שהוא מנמק את השיקום שעבר הנאשם. יצוין כי גם כעת הנאשם טוען לשיקומו. אולם, אז, מעט למעלה מחצי שנה לאחר מתן אותו גז"ד הכולל מאסר מותנה ומבוסס על שיקומו של הנאשם, ביצע הנאשם את העבירה הראשונה בסדרת העבירות המונחות בפניי כעת. </w:t>
      </w:r>
    </w:p>
    <w:p w14:paraId="4A68BA19" w14:textId="77777777" w:rsidR="00C91746" w:rsidRDefault="00C91746">
      <w:pPr>
        <w:pStyle w:val="a7"/>
        <w:spacing w:line="360" w:lineRule="auto"/>
        <w:ind w:left="720" w:hanging="720"/>
        <w:jc w:val="both"/>
        <w:rPr>
          <w:b/>
          <w:bCs w:val="0"/>
          <w:rtl/>
        </w:rPr>
      </w:pPr>
    </w:p>
    <w:p w14:paraId="2EB81DF6" w14:textId="77777777" w:rsidR="00C91746" w:rsidRDefault="00E901D7">
      <w:pPr>
        <w:pStyle w:val="a7"/>
        <w:spacing w:line="360" w:lineRule="auto"/>
        <w:ind w:left="720" w:hanging="720"/>
        <w:jc w:val="both"/>
        <w:rPr>
          <w:b/>
          <w:bCs w:val="0"/>
          <w:rtl/>
        </w:rPr>
      </w:pPr>
      <w:r>
        <w:rPr>
          <w:rFonts w:hint="cs"/>
          <w:b/>
          <w:bCs w:val="0"/>
          <w:rtl/>
        </w:rPr>
        <w:t>10.</w:t>
      </w:r>
      <w:r>
        <w:rPr>
          <w:rFonts w:hint="cs"/>
          <w:b/>
          <w:bCs w:val="0"/>
          <w:rtl/>
        </w:rPr>
        <w:tab/>
        <w:t xml:space="preserve">עיינתי בפסיקה שהציג הסניגור. כפי שציינתי, בשני המקרים מדובר בסחר בחשיש. אין זה המקרה שבפניי. במקרה אחד הנאשם היה ללא הרשעות קודמות ובשני, היו לחובתו הרשעות קודמות אך לא בעבירות סמים. באחד, היה תסקיר חיובי. בשני, נוסף ל </w:t>
      </w:r>
      <w:r>
        <w:rPr>
          <w:b/>
          <w:bCs w:val="0"/>
          <w:rtl/>
        </w:rPr>
        <w:t>–</w:t>
      </w:r>
      <w:r>
        <w:rPr>
          <w:rFonts w:hint="cs"/>
          <w:b/>
          <w:bCs w:val="0"/>
          <w:rtl/>
        </w:rPr>
        <w:t xml:space="preserve"> 6 חודשי </w:t>
      </w:r>
      <w:r>
        <w:rPr>
          <w:rFonts w:hint="cs"/>
          <w:b/>
          <w:bCs w:val="0"/>
          <w:rtl/>
        </w:rPr>
        <w:lastRenderedPageBreak/>
        <w:t xml:space="preserve">עבודות השירות, התווסף מעצר של חודשיים. כך שאינני מוצאת כי אותם פסקי דין יכולים להוות פסקי דין בעלי נסיבות דומות לאלה שבפניי. </w:t>
      </w:r>
    </w:p>
    <w:p w14:paraId="686227C7" w14:textId="77777777" w:rsidR="00C91746" w:rsidRDefault="00C91746">
      <w:pPr>
        <w:pStyle w:val="a7"/>
        <w:spacing w:line="360" w:lineRule="auto"/>
        <w:ind w:left="720" w:hanging="720"/>
        <w:jc w:val="both"/>
        <w:rPr>
          <w:b/>
          <w:bCs w:val="0"/>
          <w:rtl/>
        </w:rPr>
      </w:pPr>
    </w:p>
    <w:p w14:paraId="189CED17" w14:textId="77777777" w:rsidR="00C91746" w:rsidRDefault="00E901D7">
      <w:pPr>
        <w:pStyle w:val="a7"/>
        <w:spacing w:line="360" w:lineRule="auto"/>
        <w:ind w:left="720" w:hanging="720"/>
        <w:jc w:val="both"/>
        <w:rPr>
          <w:b/>
          <w:bCs w:val="0"/>
          <w:rtl/>
        </w:rPr>
      </w:pPr>
      <w:r>
        <w:rPr>
          <w:rFonts w:hint="cs"/>
          <w:b/>
          <w:bCs w:val="0"/>
          <w:rtl/>
        </w:rPr>
        <w:t>11.</w:t>
      </w:r>
      <w:r>
        <w:rPr>
          <w:rFonts w:hint="cs"/>
          <w:b/>
          <w:bCs w:val="0"/>
          <w:rtl/>
        </w:rPr>
        <w:tab/>
        <w:t xml:space="preserve">הנאשם מצוי לטעמי באמצע מתחם הענישה. לחובתו הרשעותיו הקודמות כאשר יש לציין כי האחרונות לא היו בסחר אלא בשימוש עצמי. עניין זה מורידו אל אמצע המתחם. </w:t>
      </w:r>
    </w:p>
    <w:p w14:paraId="57403F21" w14:textId="77777777" w:rsidR="00C91746" w:rsidRDefault="00C91746">
      <w:pPr>
        <w:pStyle w:val="a7"/>
        <w:spacing w:line="360" w:lineRule="auto"/>
        <w:ind w:left="720" w:hanging="720"/>
        <w:jc w:val="both"/>
        <w:rPr>
          <w:b/>
          <w:bCs w:val="0"/>
          <w:rtl/>
        </w:rPr>
      </w:pPr>
    </w:p>
    <w:p w14:paraId="56C2C288" w14:textId="77777777" w:rsidR="00C91746" w:rsidRDefault="00E901D7">
      <w:pPr>
        <w:pStyle w:val="a7"/>
        <w:spacing w:line="360" w:lineRule="auto"/>
        <w:ind w:left="720" w:hanging="720"/>
        <w:jc w:val="both"/>
        <w:rPr>
          <w:b/>
          <w:bCs w:val="0"/>
          <w:rtl/>
        </w:rPr>
      </w:pPr>
      <w:r>
        <w:rPr>
          <w:rFonts w:hint="cs"/>
          <w:b/>
          <w:bCs w:val="0"/>
          <w:rtl/>
        </w:rPr>
        <w:t>12.</w:t>
      </w:r>
      <w:r>
        <w:rPr>
          <w:rFonts w:hint="cs"/>
          <w:b/>
          <w:bCs w:val="0"/>
          <w:rtl/>
        </w:rPr>
        <w:tab/>
        <w:t xml:space="preserve">כנגד הנאשם מאסר מותנה בן 4 חודשים. מחד, יש להפעילו במצטבר. אלו הוראות הדין וגם אין להתעלם מכך כי הושת על הנאשם באותו הליך מאסר על תנאי בלבד ללא מאסר בפועל בהסתמך על שיקומו אשר כאמור כשל. מנגד, עיקר כתב האישום שבפניי, הינו הסחר ועבירת השימוש בגינה מופעל המאסר המותנה, הינה מרכיב אך לא ליבו של המאסר הארוך שיש להשית עליו. </w:t>
      </w:r>
    </w:p>
    <w:p w14:paraId="08ADCAAE" w14:textId="77777777" w:rsidR="00C91746" w:rsidRDefault="00C91746">
      <w:pPr>
        <w:pStyle w:val="a7"/>
        <w:spacing w:line="360" w:lineRule="auto"/>
        <w:ind w:left="720" w:hanging="720"/>
        <w:jc w:val="both"/>
        <w:rPr>
          <w:b/>
          <w:bCs w:val="0"/>
          <w:rtl/>
        </w:rPr>
      </w:pPr>
    </w:p>
    <w:p w14:paraId="0E451E93" w14:textId="77777777" w:rsidR="00C91746" w:rsidRDefault="00E901D7">
      <w:pPr>
        <w:pStyle w:val="a7"/>
        <w:spacing w:line="360" w:lineRule="auto"/>
        <w:ind w:left="720" w:hanging="720"/>
        <w:jc w:val="both"/>
        <w:rPr>
          <w:b/>
          <w:bCs w:val="0"/>
          <w:rtl/>
        </w:rPr>
      </w:pPr>
      <w:r>
        <w:rPr>
          <w:rFonts w:hint="cs"/>
          <w:b/>
          <w:bCs w:val="0"/>
          <w:rtl/>
        </w:rPr>
        <w:t>13.</w:t>
      </w:r>
      <w:r>
        <w:rPr>
          <w:rFonts w:hint="cs"/>
          <w:b/>
          <w:bCs w:val="0"/>
          <w:rtl/>
        </w:rPr>
        <w:tab/>
        <w:t>לאור האמור לעיל, הנני גוזרת על הנאשם את העונשים הבאים:</w:t>
      </w:r>
    </w:p>
    <w:p w14:paraId="0CB2AB12" w14:textId="77777777" w:rsidR="00C91746" w:rsidRDefault="00C91746">
      <w:pPr>
        <w:pStyle w:val="a7"/>
        <w:rPr>
          <w:b/>
          <w:bCs w:val="0"/>
          <w:rtl/>
        </w:rPr>
      </w:pPr>
    </w:p>
    <w:p w14:paraId="3D5997D3" w14:textId="77777777" w:rsidR="00C91746" w:rsidRDefault="00C91746">
      <w:pPr>
        <w:pStyle w:val="a7"/>
        <w:rPr>
          <w:b/>
          <w:bCs w:val="0"/>
          <w:rtl/>
        </w:rPr>
      </w:pPr>
    </w:p>
    <w:p w14:paraId="31223BAA" w14:textId="77777777" w:rsidR="00C91746" w:rsidRDefault="00E901D7">
      <w:pPr>
        <w:pStyle w:val="a7"/>
        <w:ind w:firstLine="720"/>
        <w:rPr>
          <w:b/>
          <w:bCs w:val="0"/>
          <w:rtl/>
        </w:rPr>
      </w:pPr>
      <w:r>
        <w:rPr>
          <w:rFonts w:hint="cs"/>
          <w:b/>
          <w:bCs w:val="0"/>
          <w:rtl/>
        </w:rPr>
        <w:t>א.</w:t>
      </w:r>
      <w:r>
        <w:rPr>
          <w:rFonts w:hint="cs"/>
          <w:b/>
          <w:bCs w:val="0"/>
          <w:rtl/>
        </w:rPr>
        <w:tab/>
      </w:r>
      <w:r>
        <w:rPr>
          <w:rFonts w:hint="eastAsia"/>
          <w:b/>
          <w:bCs w:val="0"/>
          <w:rtl/>
        </w:rPr>
        <w:t>מאסר</w:t>
      </w:r>
      <w:r>
        <w:rPr>
          <w:rFonts w:hint="cs"/>
          <w:b/>
          <w:bCs w:val="0"/>
          <w:rtl/>
        </w:rPr>
        <w:t xml:space="preserve"> בפועל </w:t>
      </w:r>
      <w:r>
        <w:rPr>
          <w:rFonts w:hint="eastAsia"/>
          <w:b/>
          <w:bCs w:val="0"/>
          <w:rtl/>
        </w:rPr>
        <w:t>לתקופה</w:t>
      </w:r>
      <w:r>
        <w:rPr>
          <w:b/>
          <w:bCs w:val="0"/>
          <w:rtl/>
        </w:rPr>
        <w:t xml:space="preserve"> של </w:t>
      </w:r>
      <w:r>
        <w:rPr>
          <w:rFonts w:hint="cs"/>
          <w:b/>
          <w:bCs w:val="0"/>
          <w:rtl/>
        </w:rPr>
        <w:t xml:space="preserve">12 חודשים. </w:t>
      </w:r>
    </w:p>
    <w:p w14:paraId="0957C393" w14:textId="77777777" w:rsidR="00C91746" w:rsidRDefault="00C91746">
      <w:pPr>
        <w:pStyle w:val="a7"/>
        <w:spacing w:line="360" w:lineRule="auto"/>
        <w:ind w:firstLine="720"/>
        <w:rPr>
          <w:b/>
          <w:bCs w:val="0"/>
          <w:rtl/>
        </w:rPr>
      </w:pPr>
    </w:p>
    <w:p w14:paraId="06F69794" w14:textId="77777777" w:rsidR="00C91746" w:rsidRDefault="00E901D7">
      <w:pPr>
        <w:pStyle w:val="a7"/>
        <w:spacing w:line="360" w:lineRule="auto"/>
        <w:ind w:left="1440" w:hanging="720"/>
        <w:rPr>
          <w:b/>
          <w:bCs w:val="0"/>
          <w:rtl/>
        </w:rPr>
      </w:pPr>
      <w:r>
        <w:rPr>
          <w:rFonts w:hint="cs"/>
          <w:b/>
          <w:bCs w:val="0"/>
          <w:rtl/>
        </w:rPr>
        <w:t>ב.</w:t>
      </w:r>
      <w:r>
        <w:rPr>
          <w:rFonts w:hint="cs"/>
          <w:b/>
          <w:bCs w:val="0"/>
          <w:rtl/>
        </w:rPr>
        <w:tab/>
        <w:t>הנני מורה על הארכת המאסר המותנה אשר הושת על הנאשם ב</w:t>
      </w:r>
      <w:hyperlink r:id="rId6" w:history="1">
        <w:r w:rsidRPr="00E901D7">
          <w:rPr>
            <w:rStyle w:val="Hyperlink"/>
            <w:rFonts w:hint="eastAsia"/>
            <w:b/>
            <w:bCs w:val="0"/>
            <w:rtl/>
          </w:rPr>
          <w:t>ת</w:t>
        </w:r>
        <w:r w:rsidRPr="00E901D7">
          <w:rPr>
            <w:rStyle w:val="Hyperlink"/>
            <w:b/>
            <w:bCs w:val="0"/>
            <w:rtl/>
          </w:rPr>
          <w:t>.פ. 25448-10-13</w:t>
        </w:r>
      </w:hyperlink>
      <w:r>
        <w:rPr>
          <w:rFonts w:hint="cs"/>
          <w:b/>
          <w:bCs w:val="0"/>
          <w:rtl/>
        </w:rPr>
        <w:t xml:space="preserve"> בן 4 חודשים.</w:t>
      </w:r>
    </w:p>
    <w:p w14:paraId="3D21AC95" w14:textId="77777777" w:rsidR="00C91746" w:rsidRDefault="00C91746">
      <w:pPr>
        <w:pStyle w:val="a7"/>
        <w:spacing w:line="360" w:lineRule="auto"/>
        <w:ind w:left="1440" w:hanging="720"/>
        <w:rPr>
          <w:b/>
          <w:bCs w:val="0"/>
          <w:rtl/>
        </w:rPr>
      </w:pPr>
    </w:p>
    <w:p w14:paraId="4FE6A339" w14:textId="77777777" w:rsidR="00C91746" w:rsidRDefault="00E901D7">
      <w:pPr>
        <w:pStyle w:val="a7"/>
        <w:spacing w:line="360" w:lineRule="auto"/>
        <w:ind w:left="1440" w:hanging="720"/>
        <w:rPr>
          <w:b/>
          <w:bCs w:val="0"/>
          <w:rtl/>
        </w:rPr>
      </w:pPr>
      <w:r>
        <w:rPr>
          <w:rFonts w:hint="cs"/>
          <w:b/>
          <w:bCs w:val="0"/>
          <w:rtl/>
        </w:rPr>
        <w:t>ג.</w:t>
      </w:r>
      <w:r>
        <w:rPr>
          <w:rFonts w:hint="cs"/>
          <w:b/>
          <w:bCs w:val="0"/>
          <w:rtl/>
        </w:rPr>
        <w:tab/>
        <w:t xml:space="preserve">המאסרים המנויים בסעיפים א ו </w:t>
      </w:r>
      <w:r>
        <w:rPr>
          <w:b/>
          <w:bCs w:val="0"/>
          <w:rtl/>
        </w:rPr>
        <w:t>–</w:t>
      </w:r>
      <w:r>
        <w:rPr>
          <w:rFonts w:hint="cs"/>
          <w:b/>
          <w:bCs w:val="0"/>
          <w:rtl/>
        </w:rPr>
        <w:t xml:space="preserve"> ב לעיל ירוצו כך שחודשיים מהם ירוצו בחופף וחודשיים במצטבר. </w:t>
      </w:r>
      <w:r>
        <w:rPr>
          <w:rFonts w:hint="cs"/>
          <w:rtl/>
        </w:rPr>
        <w:t xml:space="preserve">סה"כ </w:t>
      </w:r>
      <w:r>
        <w:rPr>
          <w:rFonts w:hint="cs"/>
          <w:b/>
          <w:bCs w:val="0"/>
          <w:rtl/>
        </w:rPr>
        <w:t>14 חודשי מאסר החל מיום מעצרו, 24.8.15.</w:t>
      </w:r>
    </w:p>
    <w:p w14:paraId="5E10AC67" w14:textId="77777777" w:rsidR="00C91746" w:rsidRDefault="00C91746">
      <w:pPr>
        <w:pStyle w:val="a7"/>
        <w:rPr>
          <w:b/>
          <w:bCs w:val="0"/>
          <w:rtl/>
        </w:rPr>
      </w:pPr>
    </w:p>
    <w:p w14:paraId="40B2DE6F" w14:textId="77777777" w:rsidR="00C91746" w:rsidRDefault="00C91746">
      <w:pPr>
        <w:pStyle w:val="a7"/>
        <w:spacing w:line="360" w:lineRule="auto"/>
        <w:rPr>
          <w:b/>
          <w:bCs w:val="0"/>
          <w:rtl/>
        </w:rPr>
      </w:pPr>
    </w:p>
    <w:p w14:paraId="290C1B32" w14:textId="77777777" w:rsidR="00C91746" w:rsidRDefault="00E901D7">
      <w:pPr>
        <w:pStyle w:val="a7"/>
        <w:spacing w:line="360" w:lineRule="auto"/>
        <w:ind w:left="1440" w:hanging="720"/>
        <w:jc w:val="both"/>
        <w:rPr>
          <w:b/>
          <w:bCs w:val="0"/>
          <w:rtl/>
        </w:rPr>
      </w:pPr>
      <w:r>
        <w:rPr>
          <w:rFonts w:hint="cs"/>
          <w:b/>
          <w:bCs w:val="0"/>
          <w:rtl/>
        </w:rPr>
        <w:t>ד.</w:t>
      </w:r>
      <w:r>
        <w:rPr>
          <w:rFonts w:hint="cs"/>
          <w:b/>
          <w:bCs w:val="0"/>
          <w:rtl/>
        </w:rPr>
        <w:tab/>
      </w:r>
      <w:r>
        <w:rPr>
          <w:rFonts w:hint="eastAsia"/>
          <w:b/>
          <w:bCs w:val="0"/>
          <w:rtl/>
        </w:rPr>
        <w:t>מאסר</w:t>
      </w:r>
      <w:r>
        <w:rPr>
          <w:b/>
          <w:bCs w:val="0"/>
          <w:rtl/>
        </w:rPr>
        <w:t xml:space="preserve"> על תנאי לתקופה של </w:t>
      </w:r>
      <w:r>
        <w:rPr>
          <w:rFonts w:hint="cs"/>
          <w:b/>
          <w:bCs w:val="0"/>
          <w:rtl/>
        </w:rPr>
        <w:t>6</w:t>
      </w:r>
      <w:r>
        <w:rPr>
          <w:b/>
          <w:bCs w:val="0"/>
          <w:rtl/>
        </w:rPr>
        <w:t xml:space="preserve"> </w:t>
      </w:r>
      <w:r>
        <w:rPr>
          <w:rFonts w:hint="eastAsia"/>
          <w:b/>
          <w:bCs w:val="0"/>
          <w:rtl/>
        </w:rPr>
        <w:t>חודשים</w:t>
      </w:r>
      <w:r>
        <w:rPr>
          <w:b/>
          <w:bCs w:val="0"/>
          <w:rtl/>
        </w:rPr>
        <w:t xml:space="preserve"> למשך  </w:t>
      </w:r>
      <w:r>
        <w:rPr>
          <w:rFonts w:hint="cs"/>
          <w:b/>
          <w:bCs w:val="0"/>
          <w:rtl/>
        </w:rPr>
        <w:t>3</w:t>
      </w:r>
      <w:r>
        <w:rPr>
          <w:b/>
          <w:bCs w:val="0"/>
          <w:rtl/>
        </w:rPr>
        <w:t xml:space="preserve">  </w:t>
      </w:r>
      <w:r>
        <w:rPr>
          <w:rFonts w:hint="eastAsia"/>
          <w:b/>
          <w:bCs w:val="0"/>
          <w:rtl/>
        </w:rPr>
        <w:t>שנים</w:t>
      </w:r>
      <w:r>
        <w:rPr>
          <w:b/>
          <w:bCs w:val="0"/>
          <w:rtl/>
        </w:rPr>
        <w:t xml:space="preserve"> </w:t>
      </w:r>
      <w:r>
        <w:rPr>
          <w:rFonts w:hint="eastAsia"/>
          <w:b/>
          <w:bCs w:val="0"/>
          <w:rtl/>
        </w:rPr>
        <w:t>מהיום</w:t>
      </w:r>
      <w:r>
        <w:rPr>
          <w:b/>
          <w:bCs w:val="0"/>
          <w:rtl/>
        </w:rPr>
        <w:t xml:space="preserve"> והתנאי הוא כי הנאשם לא יעבור בתקופה זאת </w:t>
      </w:r>
      <w:r>
        <w:rPr>
          <w:rFonts w:hint="cs"/>
          <w:b/>
          <w:bCs w:val="0"/>
          <w:rtl/>
        </w:rPr>
        <w:t>עבירה על פקודת הסמים מסוג עוון</w:t>
      </w:r>
      <w:r>
        <w:rPr>
          <w:b/>
          <w:bCs w:val="0"/>
          <w:rtl/>
        </w:rPr>
        <w:t xml:space="preserve"> ויורשע עליה בדין. </w:t>
      </w:r>
    </w:p>
    <w:p w14:paraId="507C22F5" w14:textId="77777777" w:rsidR="00C91746" w:rsidRDefault="00C91746">
      <w:pPr>
        <w:pStyle w:val="a7"/>
        <w:rPr>
          <w:b/>
          <w:bCs w:val="0"/>
          <w:rtl/>
        </w:rPr>
      </w:pPr>
    </w:p>
    <w:p w14:paraId="4555EA05" w14:textId="77777777" w:rsidR="00C91746" w:rsidRDefault="00C91746">
      <w:pPr>
        <w:pStyle w:val="a7"/>
        <w:rPr>
          <w:b/>
          <w:bCs w:val="0"/>
          <w:rtl/>
        </w:rPr>
      </w:pPr>
    </w:p>
    <w:p w14:paraId="0BFF9391" w14:textId="77777777" w:rsidR="00C91746" w:rsidRDefault="00E901D7">
      <w:pPr>
        <w:pStyle w:val="a7"/>
        <w:spacing w:line="360" w:lineRule="auto"/>
        <w:ind w:left="1440" w:hanging="720"/>
        <w:jc w:val="both"/>
        <w:rPr>
          <w:b/>
          <w:bCs w:val="0"/>
          <w:rtl/>
        </w:rPr>
      </w:pPr>
      <w:r>
        <w:rPr>
          <w:rFonts w:hint="cs"/>
          <w:b/>
          <w:bCs w:val="0"/>
          <w:rtl/>
        </w:rPr>
        <w:t>ה.</w:t>
      </w:r>
      <w:r>
        <w:rPr>
          <w:rFonts w:hint="cs"/>
          <w:b/>
          <w:bCs w:val="0"/>
          <w:rtl/>
        </w:rPr>
        <w:tab/>
      </w:r>
      <w:r>
        <w:rPr>
          <w:rFonts w:hint="eastAsia"/>
          <w:b/>
          <w:bCs w:val="0"/>
          <w:rtl/>
        </w:rPr>
        <w:t>מאסר</w:t>
      </w:r>
      <w:r>
        <w:rPr>
          <w:b/>
          <w:bCs w:val="0"/>
          <w:rtl/>
        </w:rPr>
        <w:t xml:space="preserve"> על תנאי לתקופה של </w:t>
      </w:r>
      <w:r>
        <w:rPr>
          <w:rFonts w:hint="cs"/>
          <w:b/>
          <w:bCs w:val="0"/>
          <w:rtl/>
        </w:rPr>
        <w:t>8</w:t>
      </w:r>
      <w:r>
        <w:rPr>
          <w:b/>
          <w:bCs w:val="0"/>
          <w:rtl/>
        </w:rPr>
        <w:t xml:space="preserve"> </w:t>
      </w:r>
      <w:r>
        <w:rPr>
          <w:rFonts w:hint="eastAsia"/>
          <w:b/>
          <w:bCs w:val="0"/>
          <w:rtl/>
        </w:rPr>
        <w:t>חודשים</w:t>
      </w:r>
      <w:r>
        <w:rPr>
          <w:b/>
          <w:bCs w:val="0"/>
          <w:rtl/>
        </w:rPr>
        <w:t xml:space="preserve"> למשך  </w:t>
      </w:r>
      <w:r>
        <w:rPr>
          <w:rFonts w:hint="cs"/>
          <w:b/>
          <w:bCs w:val="0"/>
          <w:rtl/>
        </w:rPr>
        <w:t>3</w:t>
      </w:r>
      <w:r>
        <w:rPr>
          <w:b/>
          <w:bCs w:val="0"/>
          <w:rtl/>
        </w:rPr>
        <w:t xml:space="preserve">  </w:t>
      </w:r>
      <w:r>
        <w:rPr>
          <w:rFonts w:hint="eastAsia"/>
          <w:b/>
          <w:bCs w:val="0"/>
          <w:rtl/>
        </w:rPr>
        <w:t>שנים</w:t>
      </w:r>
      <w:r>
        <w:rPr>
          <w:b/>
          <w:bCs w:val="0"/>
          <w:rtl/>
        </w:rPr>
        <w:t xml:space="preserve"> </w:t>
      </w:r>
      <w:r>
        <w:rPr>
          <w:rFonts w:hint="eastAsia"/>
          <w:b/>
          <w:bCs w:val="0"/>
          <w:rtl/>
        </w:rPr>
        <w:t>מהיום</w:t>
      </w:r>
      <w:r>
        <w:rPr>
          <w:b/>
          <w:bCs w:val="0"/>
          <w:rtl/>
        </w:rPr>
        <w:t xml:space="preserve"> והתנאי הוא כי הנאשם לא יעבור בתקופה זאת </w:t>
      </w:r>
      <w:r>
        <w:rPr>
          <w:rFonts w:hint="cs"/>
          <w:b/>
          <w:bCs w:val="0"/>
          <w:rtl/>
        </w:rPr>
        <w:t>עבירה על פקודת הסמים מסוג פשע למעט סחר בסמים</w:t>
      </w:r>
      <w:r>
        <w:rPr>
          <w:b/>
          <w:bCs w:val="0"/>
          <w:rtl/>
        </w:rPr>
        <w:t xml:space="preserve"> ויורשע עליה בדין. </w:t>
      </w:r>
    </w:p>
    <w:p w14:paraId="66CCDBAB" w14:textId="77777777" w:rsidR="00C91746" w:rsidRDefault="00C91746">
      <w:pPr>
        <w:pStyle w:val="a7"/>
        <w:rPr>
          <w:b/>
          <w:bCs w:val="0"/>
          <w:rtl/>
        </w:rPr>
      </w:pPr>
    </w:p>
    <w:p w14:paraId="5C141F96" w14:textId="77777777" w:rsidR="00C91746" w:rsidRDefault="00E901D7">
      <w:pPr>
        <w:pStyle w:val="a7"/>
        <w:spacing w:line="360" w:lineRule="auto"/>
        <w:ind w:left="1440" w:hanging="720"/>
        <w:jc w:val="both"/>
        <w:rPr>
          <w:b/>
          <w:bCs w:val="0"/>
          <w:rtl/>
        </w:rPr>
      </w:pPr>
      <w:r>
        <w:rPr>
          <w:rFonts w:hint="cs"/>
          <w:b/>
          <w:bCs w:val="0"/>
          <w:rtl/>
        </w:rPr>
        <w:t>ו.</w:t>
      </w:r>
      <w:r>
        <w:rPr>
          <w:rFonts w:hint="cs"/>
          <w:b/>
          <w:bCs w:val="0"/>
          <w:rtl/>
        </w:rPr>
        <w:tab/>
      </w:r>
      <w:r>
        <w:rPr>
          <w:rFonts w:hint="eastAsia"/>
          <w:b/>
          <w:bCs w:val="0"/>
          <w:rtl/>
        </w:rPr>
        <w:t>מאסר</w:t>
      </w:r>
      <w:r>
        <w:rPr>
          <w:b/>
          <w:bCs w:val="0"/>
          <w:rtl/>
        </w:rPr>
        <w:t xml:space="preserve"> על תנאי לתקופה של</w:t>
      </w:r>
      <w:r>
        <w:rPr>
          <w:rFonts w:hint="cs"/>
          <w:b/>
          <w:bCs w:val="0"/>
          <w:rtl/>
        </w:rPr>
        <w:t xml:space="preserve"> 10 </w:t>
      </w:r>
      <w:r>
        <w:rPr>
          <w:b/>
          <w:bCs w:val="0"/>
          <w:rtl/>
        </w:rPr>
        <w:t xml:space="preserve"> </w:t>
      </w:r>
      <w:r>
        <w:rPr>
          <w:rFonts w:hint="eastAsia"/>
          <w:b/>
          <w:bCs w:val="0"/>
          <w:rtl/>
        </w:rPr>
        <w:t>חודשים</w:t>
      </w:r>
      <w:r>
        <w:rPr>
          <w:b/>
          <w:bCs w:val="0"/>
          <w:rtl/>
        </w:rPr>
        <w:t xml:space="preserve"> למשך  </w:t>
      </w:r>
      <w:r>
        <w:rPr>
          <w:rFonts w:hint="cs"/>
          <w:b/>
          <w:bCs w:val="0"/>
          <w:rtl/>
        </w:rPr>
        <w:t>3</w:t>
      </w:r>
      <w:r>
        <w:rPr>
          <w:b/>
          <w:bCs w:val="0"/>
          <w:rtl/>
        </w:rPr>
        <w:t xml:space="preserve">  </w:t>
      </w:r>
      <w:r>
        <w:rPr>
          <w:rFonts w:hint="eastAsia"/>
          <w:b/>
          <w:bCs w:val="0"/>
          <w:rtl/>
        </w:rPr>
        <w:t>שנים</w:t>
      </w:r>
      <w:r>
        <w:rPr>
          <w:b/>
          <w:bCs w:val="0"/>
          <w:rtl/>
        </w:rPr>
        <w:t xml:space="preserve"> </w:t>
      </w:r>
      <w:r>
        <w:rPr>
          <w:rFonts w:hint="eastAsia"/>
          <w:b/>
          <w:bCs w:val="0"/>
          <w:rtl/>
        </w:rPr>
        <w:t>מהיום</w:t>
      </w:r>
      <w:r>
        <w:rPr>
          <w:b/>
          <w:bCs w:val="0"/>
          <w:rtl/>
        </w:rPr>
        <w:t xml:space="preserve"> והתנאי הוא כי הנאשם לא יעבור בתקופה זאת </w:t>
      </w:r>
      <w:r>
        <w:rPr>
          <w:rFonts w:hint="cs"/>
          <w:b/>
          <w:bCs w:val="0"/>
          <w:rtl/>
        </w:rPr>
        <w:t xml:space="preserve">עבירת סחר בסמים </w:t>
      </w:r>
      <w:r>
        <w:rPr>
          <w:b/>
          <w:bCs w:val="0"/>
          <w:rtl/>
        </w:rPr>
        <w:t xml:space="preserve">ויורשע עליה בדין. </w:t>
      </w:r>
    </w:p>
    <w:p w14:paraId="0B0CAFFC" w14:textId="77777777" w:rsidR="00C91746" w:rsidRDefault="00C91746">
      <w:pPr>
        <w:pStyle w:val="a7"/>
        <w:rPr>
          <w:b/>
          <w:bCs w:val="0"/>
          <w:rtl/>
        </w:rPr>
      </w:pPr>
    </w:p>
    <w:p w14:paraId="00C81F02" w14:textId="77777777" w:rsidR="00C91746" w:rsidRDefault="00C91746">
      <w:pPr>
        <w:pStyle w:val="a7"/>
        <w:rPr>
          <w:b/>
          <w:bCs w:val="0"/>
          <w:rtl/>
        </w:rPr>
      </w:pPr>
    </w:p>
    <w:p w14:paraId="185A35A5" w14:textId="77777777" w:rsidR="00C91746" w:rsidRDefault="00E901D7">
      <w:pPr>
        <w:pStyle w:val="a7"/>
        <w:ind w:firstLine="720"/>
        <w:rPr>
          <w:b/>
          <w:bCs w:val="0"/>
          <w:rtl/>
        </w:rPr>
      </w:pPr>
      <w:r>
        <w:rPr>
          <w:rFonts w:hint="cs"/>
          <w:b/>
          <w:bCs w:val="0"/>
          <w:rtl/>
        </w:rPr>
        <w:t>ז.</w:t>
      </w:r>
      <w:r>
        <w:rPr>
          <w:rFonts w:hint="cs"/>
          <w:b/>
          <w:bCs w:val="0"/>
          <w:rtl/>
        </w:rPr>
        <w:tab/>
        <w:t xml:space="preserve">סך של 1,170 ₪ אשר נתפס, יחולט. כמו כן, הטלפון אשר נתפס יחולט. </w:t>
      </w:r>
    </w:p>
    <w:p w14:paraId="57C8AAF8" w14:textId="77777777" w:rsidR="00C91746" w:rsidRDefault="00C91746">
      <w:pPr>
        <w:pStyle w:val="a7"/>
        <w:ind w:firstLine="720"/>
        <w:rPr>
          <w:b/>
          <w:bCs w:val="0"/>
          <w:rtl/>
        </w:rPr>
      </w:pPr>
    </w:p>
    <w:p w14:paraId="4853E1FE" w14:textId="77777777" w:rsidR="00C91746" w:rsidRDefault="00C91746">
      <w:pPr>
        <w:pStyle w:val="a7"/>
        <w:ind w:firstLine="720"/>
        <w:rPr>
          <w:b/>
          <w:bCs w:val="0"/>
          <w:rtl/>
        </w:rPr>
      </w:pPr>
    </w:p>
    <w:p w14:paraId="5511B306" w14:textId="77777777" w:rsidR="00C91746" w:rsidRDefault="00E901D7">
      <w:pPr>
        <w:pStyle w:val="a7"/>
        <w:spacing w:line="360" w:lineRule="auto"/>
        <w:ind w:left="1440" w:hanging="720"/>
        <w:rPr>
          <w:b/>
          <w:bCs w:val="0"/>
          <w:rtl/>
        </w:rPr>
      </w:pPr>
      <w:r>
        <w:rPr>
          <w:rFonts w:hint="cs"/>
          <w:b/>
          <w:bCs w:val="0"/>
          <w:rtl/>
        </w:rPr>
        <w:t>ח.</w:t>
      </w:r>
      <w:r>
        <w:rPr>
          <w:rFonts w:hint="cs"/>
          <w:b/>
          <w:bCs w:val="0"/>
          <w:rtl/>
        </w:rPr>
        <w:tab/>
        <w:t xml:space="preserve">סכום נוסף של 84,950 ₪ אשר נתפס יושבו לנאשם באמצעות בא כוחו בכפוף לקיומו של כל עיקול או זכות אחרת של צד ג'. </w:t>
      </w:r>
    </w:p>
    <w:p w14:paraId="230DE0A5" w14:textId="77777777" w:rsidR="00C91746" w:rsidRDefault="00C91746">
      <w:pPr>
        <w:pStyle w:val="a7"/>
        <w:spacing w:line="360" w:lineRule="auto"/>
        <w:rPr>
          <w:b/>
          <w:bCs w:val="0"/>
          <w:rtl/>
        </w:rPr>
      </w:pPr>
    </w:p>
    <w:p w14:paraId="666FF042" w14:textId="77777777" w:rsidR="00C91746" w:rsidRDefault="00C91746">
      <w:pPr>
        <w:pStyle w:val="a7"/>
        <w:rPr>
          <w:b/>
          <w:bCs w:val="0"/>
          <w:rtl/>
        </w:rPr>
      </w:pPr>
    </w:p>
    <w:p w14:paraId="6F60F767" w14:textId="77777777" w:rsidR="00C91746" w:rsidRDefault="00C91746">
      <w:pPr>
        <w:pStyle w:val="a7"/>
        <w:rPr>
          <w:b/>
          <w:bCs w:val="0"/>
          <w:rtl/>
        </w:rPr>
      </w:pPr>
    </w:p>
    <w:p w14:paraId="76002C0A" w14:textId="77777777" w:rsidR="00C91746" w:rsidRDefault="00E901D7">
      <w:pPr>
        <w:overflowPunct w:val="0"/>
        <w:autoSpaceDE w:val="0"/>
        <w:autoSpaceDN w:val="0"/>
        <w:adjustRightInd w:val="0"/>
        <w:spacing w:line="360" w:lineRule="auto"/>
        <w:ind w:left="1440" w:hanging="720"/>
        <w:jc w:val="both"/>
        <w:rPr>
          <w:rtl/>
        </w:rPr>
      </w:pPr>
      <w:r>
        <w:rPr>
          <w:rFonts w:hint="cs"/>
          <w:b/>
          <w:bCs/>
          <w:rtl/>
        </w:rPr>
        <w:t>ט.</w:t>
      </w:r>
      <w:r>
        <w:rPr>
          <w:rtl/>
        </w:rPr>
        <w:tab/>
        <w:t>הנני פוסל</w:t>
      </w:r>
      <w:r>
        <w:rPr>
          <w:rFonts w:hint="cs"/>
          <w:rtl/>
        </w:rPr>
        <w:t>ת</w:t>
      </w:r>
      <w:r>
        <w:rPr>
          <w:rtl/>
        </w:rPr>
        <w:t xml:space="preserve"> את הנאשם מלקבל או מלהחזיק רשיון נהיגה לתקופה של  </w:t>
      </w:r>
      <w:r>
        <w:rPr>
          <w:rFonts w:hint="cs"/>
          <w:rtl/>
        </w:rPr>
        <w:t>24</w:t>
      </w:r>
      <w:r>
        <w:rPr>
          <w:rtl/>
        </w:rPr>
        <w:t xml:space="preserve"> חודשים</w:t>
      </w:r>
      <w:r>
        <w:rPr>
          <w:rFonts w:hint="cs"/>
          <w:rtl/>
        </w:rPr>
        <w:t xml:space="preserve"> מיום שחרורו. </w:t>
      </w:r>
    </w:p>
    <w:p w14:paraId="7FA6851F" w14:textId="77777777" w:rsidR="00C91746" w:rsidRDefault="00E901D7">
      <w:pPr>
        <w:overflowPunct w:val="0"/>
        <w:autoSpaceDE w:val="0"/>
        <w:autoSpaceDN w:val="0"/>
        <w:adjustRightInd w:val="0"/>
        <w:spacing w:line="360" w:lineRule="auto"/>
        <w:ind w:left="1440" w:hanging="720"/>
        <w:jc w:val="both"/>
        <w:rPr>
          <w:rtl/>
        </w:rPr>
      </w:pPr>
      <w:r>
        <w:rPr>
          <w:b/>
          <w:bCs/>
          <w:rtl/>
        </w:rPr>
        <w:tab/>
      </w:r>
      <w:r>
        <w:rPr>
          <w:rFonts w:hint="cs"/>
          <w:b/>
          <w:bCs/>
          <w:rtl/>
        </w:rPr>
        <w:t>רשמתי בפניי דברי הסניגור כי אין לנאשם רישיון נהיגה ועל כן פטור הוא מהפקדתו.</w:t>
      </w:r>
      <w:r>
        <w:rPr>
          <w:rFonts w:hint="cs"/>
          <w:rtl/>
        </w:rPr>
        <w:t xml:space="preserve"> </w:t>
      </w:r>
    </w:p>
    <w:p w14:paraId="324E0274" w14:textId="77777777" w:rsidR="00C91746" w:rsidRDefault="00C91746">
      <w:pPr>
        <w:overflowPunct w:val="0"/>
        <w:autoSpaceDE w:val="0"/>
        <w:autoSpaceDN w:val="0"/>
        <w:adjustRightInd w:val="0"/>
        <w:spacing w:line="360" w:lineRule="auto"/>
        <w:ind w:left="1440" w:hanging="720"/>
        <w:jc w:val="both"/>
        <w:rPr>
          <w:rtl/>
        </w:rPr>
      </w:pPr>
    </w:p>
    <w:p w14:paraId="75C0F048" w14:textId="77777777" w:rsidR="00C91746" w:rsidRDefault="00E901D7">
      <w:pPr>
        <w:overflowPunct w:val="0"/>
        <w:autoSpaceDE w:val="0"/>
        <w:autoSpaceDN w:val="0"/>
        <w:adjustRightInd w:val="0"/>
        <w:spacing w:line="360" w:lineRule="auto"/>
        <w:ind w:left="1440" w:hanging="720"/>
        <w:jc w:val="both"/>
        <w:rPr>
          <w:rtl/>
        </w:rPr>
      </w:pPr>
      <w:r>
        <w:rPr>
          <w:rFonts w:hint="cs"/>
          <w:rtl/>
        </w:rPr>
        <w:t xml:space="preserve">צו להשמדת המוצגים </w:t>
      </w:r>
      <w:r>
        <w:rPr>
          <w:rtl/>
        </w:rPr>
        <w:t>–</w:t>
      </w:r>
      <w:r>
        <w:rPr>
          <w:rFonts w:hint="cs"/>
          <w:rtl/>
        </w:rPr>
        <w:t xml:space="preserve">סמים. </w:t>
      </w:r>
    </w:p>
    <w:p w14:paraId="05CEF9B0" w14:textId="77777777" w:rsidR="00C91746" w:rsidRDefault="00E901D7">
      <w:pPr>
        <w:pStyle w:val="a7"/>
        <w:rPr>
          <w:rtl/>
        </w:rPr>
      </w:pPr>
      <w:r>
        <w:rPr>
          <w:rFonts w:hint="eastAsia"/>
          <w:b/>
          <w:bCs w:val="0"/>
          <w:rtl/>
        </w:rPr>
        <w:t>זכות</w:t>
      </w:r>
      <w:r>
        <w:rPr>
          <w:b/>
          <w:bCs w:val="0"/>
          <w:rtl/>
        </w:rPr>
        <w:t xml:space="preserve"> </w:t>
      </w:r>
      <w:r>
        <w:rPr>
          <w:rFonts w:hint="eastAsia"/>
          <w:b/>
          <w:bCs w:val="0"/>
          <w:rtl/>
        </w:rPr>
        <w:t>ערעור</w:t>
      </w:r>
      <w:r>
        <w:rPr>
          <w:b/>
          <w:bCs w:val="0"/>
          <w:rtl/>
        </w:rPr>
        <w:t xml:space="preserve"> תוך 45 יום. </w:t>
      </w:r>
    </w:p>
    <w:p w14:paraId="704D8E68" w14:textId="77777777" w:rsidR="00C91746" w:rsidRDefault="00C91746">
      <w:pPr>
        <w:pStyle w:val="a7"/>
        <w:rPr>
          <w:rtl/>
        </w:rPr>
      </w:pPr>
    </w:p>
    <w:p w14:paraId="6A5D11D5" w14:textId="77777777" w:rsidR="00C91746" w:rsidRDefault="00E901D7">
      <w:pPr>
        <w:pStyle w:val="a7"/>
        <w:rPr>
          <w:sz w:val="6"/>
          <w:szCs w:val="6"/>
          <w:rtl/>
        </w:rPr>
      </w:pPr>
      <w:r>
        <w:rPr>
          <w:sz w:val="6"/>
          <w:szCs w:val="6"/>
          <w:rtl/>
        </w:rPr>
        <w:t>&lt;#4#&gt;</w:t>
      </w:r>
    </w:p>
    <w:p w14:paraId="0F820182" w14:textId="77777777" w:rsidR="00C91746" w:rsidRDefault="00C91746">
      <w:pPr>
        <w:jc w:val="right"/>
        <w:rPr>
          <w:rtl/>
        </w:rPr>
      </w:pPr>
    </w:p>
    <w:p w14:paraId="098085A3" w14:textId="77777777" w:rsidR="00C91746" w:rsidRDefault="00E901D7">
      <w:pPr>
        <w:jc w:val="center"/>
        <w:rPr>
          <w:rtl/>
        </w:rPr>
      </w:pPr>
      <w:r w:rsidRPr="00E901D7">
        <w:rPr>
          <w:b/>
          <w:bCs/>
          <w:color w:val="FFFFFF"/>
          <w:sz w:val="2"/>
          <w:szCs w:val="2"/>
          <w:rtl/>
        </w:rPr>
        <w:t>5129371</w:t>
      </w:r>
      <w:r>
        <w:rPr>
          <w:b/>
          <w:bCs/>
          <w:rtl/>
        </w:rPr>
        <w:t xml:space="preserve">ניתנה והודעה היום ב' סיוון תשע"ו, 08/06/2016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91746" w14:paraId="7D0B35B0" w14:textId="77777777">
        <w:trPr>
          <w:trHeight w:val="316"/>
          <w:jc w:val="right"/>
        </w:trPr>
        <w:tc>
          <w:tcPr>
            <w:tcW w:w="3936" w:type="dxa"/>
            <w:shd w:val="clear" w:color="auto" w:fill="auto"/>
          </w:tcPr>
          <w:p w14:paraId="2293748A" w14:textId="77777777" w:rsidR="00C91746" w:rsidRPr="00E901D7" w:rsidRDefault="00E901D7">
            <w:pPr>
              <w:jc w:val="center"/>
              <w:rPr>
                <w:rFonts w:ascii="Times New Roman" w:eastAsia="Times New Roman" w:hAnsi="Times New Roman" w:cs="Times New Roman"/>
                <w:color w:val="FFFFFF"/>
                <w:sz w:val="2"/>
                <w:szCs w:val="2"/>
              </w:rPr>
            </w:pPr>
            <w:r w:rsidRPr="00E901D7">
              <w:rPr>
                <w:rFonts w:ascii="Times New Roman" w:eastAsia="Times New Roman" w:hAnsi="Times New Roman" w:cs="Times New Roman"/>
                <w:color w:val="FFFFFF"/>
                <w:sz w:val="2"/>
                <w:szCs w:val="2"/>
                <w:rtl/>
              </w:rPr>
              <w:t>54678313</w:t>
            </w:r>
          </w:p>
          <w:p w14:paraId="0DEAA010" w14:textId="77777777" w:rsidR="00C91746" w:rsidRDefault="00C91746">
            <w:pPr>
              <w:jc w:val="center"/>
              <w:rPr>
                <w:rFonts w:ascii="Times New Roman" w:eastAsia="Times New Roman" w:hAnsi="Times New Roman" w:cs="Times New Roman"/>
                <w:rtl/>
              </w:rPr>
            </w:pPr>
          </w:p>
        </w:tc>
      </w:tr>
      <w:tr w:rsidR="00C91746" w14:paraId="4FF24F5F" w14:textId="77777777">
        <w:trPr>
          <w:trHeight w:val="361"/>
          <w:jc w:val="right"/>
        </w:trPr>
        <w:tc>
          <w:tcPr>
            <w:tcW w:w="3936" w:type="dxa"/>
            <w:shd w:val="clear" w:color="auto" w:fill="auto"/>
          </w:tcPr>
          <w:p w14:paraId="3217A3C3" w14:textId="77777777" w:rsidR="00C91746" w:rsidRDefault="00E901D7">
            <w:pPr>
              <w:jc w:val="center"/>
              <w:rPr>
                <w:rFonts w:ascii="Times New Roman" w:eastAsia="Times New Roman" w:hAnsi="Times New Roman"/>
                <w:b/>
                <w:bCs/>
                <w:rtl/>
              </w:rPr>
            </w:pPr>
            <w:r>
              <w:rPr>
                <w:rFonts w:ascii="Times New Roman" w:eastAsia="Times New Roman" w:hAnsi="Times New Roman" w:hint="cs"/>
                <w:b/>
                <w:bCs/>
                <w:rtl/>
              </w:rPr>
              <w:t>שושנה פיינסוד-כהן</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1DDBE00E" w14:textId="77777777" w:rsidR="00C91746" w:rsidRDefault="00C91746">
      <w:pPr>
        <w:jc w:val="right"/>
        <w:rPr>
          <w:rtl/>
        </w:rPr>
      </w:pPr>
    </w:p>
    <w:p w14:paraId="172F4C2F" w14:textId="77777777" w:rsidR="00C91746" w:rsidRDefault="00C91746">
      <w:pPr>
        <w:jc w:val="both"/>
        <w:rPr>
          <w:rtl/>
        </w:rPr>
      </w:pPr>
    </w:p>
    <w:p w14:paraId="0C8A6B6A" w14:textId="77777777" w:rsidR="00C91746" w:rsidRDefault="00C91746">
      <w:pPr>
        <w:pStyle w:val="a7"/>
        <w:jc w:val="center"/>
        <w:rPr>
          <w:rFonts w:ascii="David" w:hAnsi="David"/>
          <w:bCs w:val="0"/>
          <w:sz w:val="24"/>
          <w:rtl/>
        </w:rPr>
      </w:pPr>
    </w:p>
    <w:p w14:paraId="354767CC" w14:textId="77777777" w:rsidR="00C91746" w:rsidRDefault="00E901D7">
      <w:pPr>
        <w:pStyle w:val="a7"/>
        <w:jc w:val="both"/>
        <w:rPr>
          <w:rFonts w:ascii="David" w:hAnsi="David"/>
          <w:bCs w:val="0"/>
          <w:sz w:val="24"/>
          <w:rtl/>
        </w:rPr>
      </w:pPr>
      <w:r>
        <w:rPr>
          <w:rFonts w:ascii="David" w:hAnsi="David"/>
          <w:bCs w:val="0"/>
          <w:sz w:val="24"/>
          <w:rtl/>
        </w:rPr>
        <w:t xml:space="preserve"> </w:t>
      </w:r>
    </w:p>
    <w:p w14:paraId="0F65CFFC" w14:textId="77777777" w:rsidR="00C91746" w:rsidRDefault="00F96875">
      <w:pPr>
        <w:spacing w:line="360" w:lineRule="auto"/>
        <w:jc w:val="both"/>
        <w:rPr>
          <w:rtl/>
        </w:rPr>
      </w:pPr>
      <w:r w:rsidRPr="00F96875">
        <w:rPr>
          <w:color w:val="FFFFFF"/>
          <w:sz w:val="2"/>
          <w:szCs w:val="2"/>
          <w:rtl/>
        </w:rPr>
        <w:t>5129371</w:t>
      </w:r>
      <w:r w:rsidR="00E901D7">
        <w:rPr>
          <w:rFonts w:hint="cs"/>
          <w:rtl/>
        </w:rPr>
        <w:t>קלדניות: גלית/סימה</w:t>
      </w:r>
    </w:p>
    <w:p w14:paraId="4FE8A5FA" w14:textId="77777777" w:rsidR="00E901D7" w:rsidRPr="00F96875" w:rsidRDefault="00F96875" w:rsidP="00E901D7">
      <w:pPr>
        <w:keepNext/>
        <w:rPr>
          <w:color w:val="FFFFFF"/>
          <w:sz w:val="2"/>
          <w:szCs w:val="2"/>
          <w:rtl/>
        </w:rPr>
      </w:pPr>
      <w:r w:rsidRPr="00F96875">
        <w:rPr>
          <w:color w:val="FFFFFF"/>
          <w:sz w:val="2"/>
          <w:szCs w:val="2"/>
          <w:rtl/>
        </w:rPr>
        <w:t>54678313</w:t>
      </w:r>
    </w:p>
    <w:p w14:paraId="2B3440D6" w14:textId="77777777" w:rsidR="00E901D7" w:rsidRPr="00E901D7" w:rsidRDefault="00E901D7" w:rsidP="00E901D7">
      <w:pPr>
        <w:keepNext/>
        <w:rPr>
          <w:color w:val="000000"/>
          <w:sz w:val="22"/>
          <w:szCs w:val="22"/>
          <w:rtl/>
        </w:rPr>
      </w:pPr>
      <w:r w:rsidRPr="00E901D7">
        <w:rPr>
          <w:color w:val="000000"/>
          <w:sz w:val="22"/>
          <w:szCs w:val="22"/>
          <w:rtl/>
        </w:rPr>
        <w:t>שושנה פיינסוד כהן 54678313</w:t>
      </w:r>
    </w:p>
    <w:p w14:paraId="0EA8237E" w14:textId="77777777" w:rsidR="00E901D7" w:rsidRDefault="00E901D7" w:rsidP="00E901D7">
      <w:pPr>
        <w:rPr>
          <w:color w:val="000000"/>
          <w:rtl/>
        </w:rPr>
      </w:pPr>
      <w:r w:rsidRPr="00E901D7">
        <w:rPr>
          <w:color w:val="000000"/>
          <w:rtl/>
        </w:rPr>
        <w:t>נוסח מסמך זה כפוף לשינויי ניסוח ועריכה</w:t>
      </w:r>
    </w:p>
    <w:p w14:paraId="636652C4" w14:textId="77777777" w:rsidR="00E901D7" w:rsidRDefault="00E96203" w:rsidP="00E901D7">
      <w:pPr>
        <w:rPr>
          <w:rtl/>
        </w:rPr>
      </w:pPr>
      <w:r>
        <w:rPr>
          <w:rFonts w:hint="cs"/>
          <w:rtl/>
        </w:rPr>
        <w:t xml:space="preserve">                </w:t>
      </w:r>
    </w:p>
    <w:p w14:paraId="678219AB" w14:textId="77777777" w:rsidR="00E901D7" w:rsidRDefault="00E901D7" w:rsidP="00E901D7">
      <w:pPr>
        <w:jc w:val="center"/>
        <w:rPr>
          <w:color w:val="0000FF"/>
          <w:u w:val="single"/>
          <w:rtl/>
        </w:rPr>
      </w:pPr>
      <w:hyperlink r:id="rId7" w:history="1">
        <w:r>
          <w:rPr>
            <w:rStyle w:val="Hyperlink"/>
            <w:rtl/>
          </w:rPr>
          <w:t>בעניין עריכה ושינויים במסמכי פסיקה, חקיקה ועוד באתר נבו – הקש כאן</w:t>
        </w:r>
      </w:hyperlink>
    </w:p>
    <w:p w14:paraId="051FA79E" w14:textId="77777777" w:rsidR="00F96875" w:rsidRPr="00F96875" w:rsidRDefault="00F96875" w:rsidP="00F96875">
      <w:pPr>
        <w:keepNext/>
        <w:rPr>
          <w:color w:val="000000"/>
          <w:sz w:val="22"/>
          <w:szCs w:val="22"/>
          <w:rtl/>
        </w:rPr>
      </w:pPr>
    </w:p>
    <w:sectPr w:rsidR="00F96875" w:rsidRPr="00F96875" w:rsidSect="00F96875">
      <w:headerReference w:type="even" r:id="rId8"/>
      <w:headerReference w:type="default" r:id="rId9"/>
      <w:footerReference w:type="even" r:id="rId10"/>
      <w:footerReference w:type="default" r:id="rId1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8D129" w14:textId="77777777" w:rsidR="0039668B" w:rsidRDefault="0039668B">
      <w:r>
        <w:separator/>
      </w:r>
    </w:p>
  </w:endnote>
  <w:endnote w:type="continuationSeparator" w:id="0">
    <w:p w14:paraId="02B5DA63" w14:textId="77777777" w:rsidR="0039668B" w:rsidRDefault="00396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C388A" w14:textId="77777777" w:rsidR="00E13F76" w:rsidRDefault="00E13F76" w:rsidP="00F9687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251DFE7" w14:textId="77777777" w:rsidR="00E13F76" w:rsidRPr="00F96875" w:rsidRDefault="00E13F76" w:rsidP="00F96875">
    <w:pPr>
      <w:pStyle w:val="a5"/>
      <w:pBdr>
        <w:top w:val="single" w:sz="4" w:space="1" w:color="auto"/>
        <w:between w:val="single" w:sz="4" w:space="0" w:color="auto"/>
      </w:pBdr>
      <w:spacing w:after="60"/>
      <w:jc w:val="center"/>
      <w:rPr>
        <w:rFonts w:ascii="FrankRuehl" w:hAnsi="FrankRuehl" w:cs="FrankRuehl"/>
        <w:color w:val="000000"/>
      </w:rPr>
    </w:pPr>
    <w:r w:rsidRPr="00F9687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8D27E" w14:textId="77777777" w:rsidR="00E13F76" w:rsidRDefault="00E13F76" w:rsidP="00F9687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202F">
      <w:rPr>
        <w:rFonts w:ascii="FrankRuehl" w:hAnsi="FrankRuehl" w:cs="FrankRuehl"/>
        <w:noProof/>
        <w:rtl/>
      </w:rPr>
      <w:t>1</w:t>
    </w:r>
    <w:r>
      <w:rPr>
        <w:rFonts w:ascii="FrankRuehl" w:hAnsi="FrankRuehl" w:cs="FrankRuehl"/>
        <w:rtl/>
      </w:rPr>
      <w:fldChar w:fldCharType="end"/>
    </w:r>
  </w:p>
  <w:p w14:paraId="1BAFEA44" w14:textId="77777777" w:rsidR="00E13F76" w:rsidRPr="00F96875" w:rsidRDefault="00E13F76" w:rsidP="00F96875">
    <w:pPr>
      <w:pStyle w:val="a5"/>
      <w:pBdr>
        <w:top w:val="single" w:sz="4" w:space="1" w:color="auto"/>
        <w:between w:val="single" w:sz="4" w:space="0" w:color="auto"/>
      </w:pBdr>
      <w:spacing w:after="60"/>
      <w:jc w:val="center"/>
      <w:rPr>
        <w:rFonts w:ascii="FrankRuehl" w:hAnsi="FrankRuehl" w:cs="FrankRuehl"/>
        <w:color w:val="000000"/>
      </w:rPr>
    </w:pPr>
    <w:r w:rsidRPr="00F96875">
      <w:rPr>
        <w:rFonts w:ascii="FrankRuehl" w:hAnsi="FrankRuehl" w:cs="FrankRuehl"/>
        <w:color w:val="000000"/>
      </w:rPr>
      <w:pict w14:anchorId="2D98A5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F800D" w14:textId="77777777" w:rsidR="0039668B" w:rsidRDefault="0039668B">
      <w:r>
        <w:separator/>
      </w:r>
    </w:p>
  </w:footnote>
  <w:footnote w:type="continuationSeparator" w:id="0">
    <w:p w14:paraId="7011C7EE" w14:textId="77777777" w:rsidR="0039668B" w:rsidRDefault="00396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2FA55" w14:textId="77777777" w:rsidR="00E13F76" w:rsidRPr="00F96875" w:rsidRDefault="00E13F76" w:rsidP="00F96875">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1878-09-15</w:t>
    </w:r>
    <w:r>
      <w:rPr>
        <w:color w:val="000000"/>
        <w:sz w:val="22"/>
        <w:szCs w:val="22"/>
        <w:rtl/>
      </w:rPr>
      <w:tab/>
      <w:t xml:space="preserve"> מדינת ישראל נ' עבד אלראוף זידאן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7F47B" w14:textId="77777777" w:rsidR="00E13F76" w:rsidRPr="00F96875" w:rsidRDefault="00E13F76" w:rsidP="00F96875">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1878-09-15</w:t>
    </w:r>
    <w:r>
      <w:rPr>
        <w:color w:val="000000"/>
        <w:sz w:val="22"/>
        <w:szCs w:val="22"/>
        <w:rtl/>
      </w:rPr>
      <w:tab/>
      <w:t xml:space="preserve"> מדינת ישראל נ' עבד אלראוף זידאן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91746"/>
    <w:rsid w:val="00331811"/>
    <w:rsid w:val="0039668B"/>
    <w:rsid w:val="00783240"/>
    <w:rsid w:val="00A200C8"/>
    <w:rsid w:val="00C91746"/>
    <w:rsid w:val="00CE7438"/>
    <w:rsid w:val="00CF202F"/>
    <w:rsid w:val="00E13F76"/>
    <w:rsid w:val="00E901D7"/>
    <w:rsid w:val="00E96203"/>
    <w:rsid w:val="00F70DF2"/>
    <w:rsid w:val="00F968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590E81"/>
  <w15:chartTrackingRefBased/>
  <w15:docId w15:val="{551EEC22-DE47-4B8D-A9C7-9355A64D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9174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C91746"/>
  </w:style>
  <w:style w:type="paragraph" w:styleId="a4">
    <w:name w:val="header"/>
    <w:basedOn w:val="a"/>
    <w:rsid w:val="00C91746"/>
    <w:pPr>
      <w:tabs>
        <w:tab w:val="center" w:pos="4153"/>
        <w:tab w:val="right" w:pos="8306"/>
      </w:tabs>
    </w:pPr>
  </w:style>
  <w:style w:type="paragraph" w:styleId="a5">
    <w:name w:val="footer"/>
    <w:basedOn w:val="a"/>
    <w:rsid w:val="00C91746"/>
    <w:pPr>
      <w:tabs>
        <w:tab w:val="center" w:pos="4153"/>
        <w:tab w:val="right" w:pos="8306"/>
      </w:tabs>
    </w:pPr>
  </w:style>
  <w:style w:type="character" w:styleId="a6">
    <w:name w:val="page number"/>
    <w:basedOn w:val="a0"/>
    <w:rsid w:val="00C91746"/>
  </w:style>
  <w:style w:type="character" w:customStyle="1" w:styleId="TimesNewRomanTimesNewRoman">
    <w:name w:val="סגנון (לטיני) Times New Roman (עברית ושפות אחרות) Times New Roman..."/>
    <w:rsid w:val="00C91746"/>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C91746"/>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C91746"/>
    <w:pPr>
      <w:spacing w:line="360" w:lineRule="auto"/>
      <w:jc w:val="both"/>
    </w:pPr>
    <w:rPr>
      <w:rFonts w:ascii="Times New Roman" w:eastAsia="Times New Roman" w:hAnsi="Times New Roman"/>
    </w:rPr>
  </w:style>
  <w:style w:type="paragraph" w:customStyle="1" w:styleId="a7">
    <w:name w:val="החלטה"/>
    <w:basedOn w:val="a"/>
    <w:rsid w:val="00C91746"/>
    <w:pPr>
      <w:suppressLineNumbers/>
    </w:pPr>
    <w:rPr>
      <w:rFonts w:ascii="Times New Roman" w:eastAsia="Times New Roman" w:hAnsi="Times New Roman"/>
      <w:bCs/>
      <w:snapToGrid w:val="0"/>
      <w:sz w:val="20"/>
      <w:lang w:eastAsia="he-IL"/>
    </w:rPr>
  </w:style>
  <w:style w:type="character" w:styleId="Hyperlink">
    <w:name w:val="Hyperlink"/>
    <w:rsid w:val="00E901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case/8434902"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896</Words>
  <Characters>4481</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5367</CharactersWithSpaces>
  <SharedDoc>false</SharedDoc>
  <HLinks>
    <vt:vector size="12" baseType="variant">
      <vt:variant>
        <vt:i4>393283</vt:i4>
      </vt:variant>
      <vt:variant>
        <vt:i4>3</vt:i4>
      </vt:variant>
      <vt:variant>
        <vt:i4>0</vt:i4>
      </vt:variant>
      <vt:variant>
        <vt:i4>5</vt:i4>
      </vt:variant>
      <vt:variant>
        <vt:lpwstr>http://www.nevo.co.il/advertisements/nevo-100.doc</vt:lpwstr>
      </vt:variant>
      <vt:variant>
        <vt:lpwstr/>
      </vt:variant>
      <vt:variant>
        <vt:i4>3145844</vt:i4>
      </vt:variant>
      <vt:variant>
        <vt:i4>0</vt:i4>
      </vt:variant>
      <vt:variant>
        <vt:i4>0</vt:i4>
      </vt:variant>
      <vt:variant>
        <vt:i4>5</vt:i4>
      </vt:variant>
      <vt:variant>
        <vt:lpwstr>http://www.nevo.co.il/case/8434902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2025-04-22T22:51:00Z</dcterms:created>
  <dcterms:modified xsi:type="dcterms:W3CDTF">2025-04-22T22:51:00Z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1878</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עבד אלראוף זידאן</vt:lpwstr>
  </property>
  <property fmtid="{D5CDD505-2E9C-101B-9397-08002B2CF9AE}" pid="10" name="LAWYER">
    <vt:lpwstr>אתי קליין;איברהים כנעאנה</vt:lpwstr>
  </property>
  <property fmtid="{D5CDD505-2E9C-101B-9397-08002B2CF9AE}" pid="11" name="JUDGE">
    <vt:lpwstr>שושנה פיינסוד כהן</vt:lpwstr>
  </property>
  <property fmtid="{D5CDD505-2E9C-101B-9397-08002B2CF9AE}" pid="12" name="CITY">
    <vt:lpwstr>עכו</vt:lpwstr>
  </property>
  <property fmtid="{D5CDD505-2E9C-101B-9397-08002B2CF9AE}" pid="13" name="DATE">
    <vt:lpwstr>20160608</vt:lpwstr>
  </property>
  <property fmtid="{D5CDD505-2E9C-101B-9397-08002B2CF9AE}" pid="14" name="TYPE_N_DATE">
    <vt:lpwstr>38020160608</vt:lpwstr>
  </property>
  <property fmtid="{D5CDD505-2E9C-101B-9397-08002B2CF9AE}" pid="15" name="CASESLISTTMP1">
    <vt:lpwstr>8434902</vt:lpwstr>
  </property>
  <property fmtid="{D5CDD505-2E9C-101B-9397-08002B2CF9AE}" pid="16" name="WORDNUMPAGES">
    <vt:lpwstr>4</vt:lpwstr>
  </property>
  <property fmtid="{D5CDD505-2E9C-101B-9397-08002B2CF9AE}" pid="17" name="TYPE_ABS_DATE">
    <vt:lpwstr>380020160608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ies>
</file>