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CA7A0F" w:rsidRPr="00521104" w14:paraId="0B0BC1FC" w14:textId="77777777">
        <w:trPr>
          <w:trHeight w:hRule="exact" w:val="418"/>
          <w:jc w:val="center"/>
        </w:trPr>
        <w:tc>
          <w:tcPr>
            <w:tcW w:w="8861" w:type="dxa"/>
            <w:gridSpan w:val="2"/>
          </w:tcPr>
          <w:p w14:paraId="629F0EE8" w14:textId="77777777" w:rsidR="00CA7A0F" w:rsidRPr="00521104" w:rsidRDefault="00CA7A0F" w:rsidP="00521104">
            <w:pPr>
              <w:pStyle w:val="a3"/>
              <w:jc w:val="center"/>
              <w:rPr>
                <w:rFonts w:ascii="Tahoma" w:hAnsi="Tahoma" w:cs="Tahoma"/>
                <w:color w:val="000080"/>
                <w:rtl/>
              </w:rPr>
            </w:pPr>
            <w:bookmarkStart w:id="0" w:name="LastJudge"/>
            <w:r w:rsidRPr="00521104">
              <w:rPr>
                <w:rFonts w:ascii="Tahoma" w:hAnsi="Tahoma" w:cs="Tahoma"/>
                <w:b/>
                <w:bCs/>
                <w:color w:val="000080"/>
                <w:rtl/>
              </w:rPr>
              <w:t>בית משפט השלום באילת</w:t>
            </w:r>
          </w:p>
        </w:tc>
      </w:tr>
      <w:tr w:rsidR="00CA7A0F" w:rsidRPr="00521104" w14:paraId="7DD2EDB7" w14:textId="77777777">
        <w:trPr>
          <w:trHeight w:val="337"/>
          <w:jc w:val="center"/>
        </w:trPr>
        <w:tc>
          <w:tcPr>
            <w:tcW w:w="5131" w:type="dxa"/>
          </w:tcPr>
          <w:p w14:paraId="5D1DA302" w14:textId="77777777" w:rsidR="00CA7A0F" w:rsidRPr="00521104" w:rsidRDefault="00CA7A0F" w:rsidP="00521104">
            <w:pPr>
              <w:pStyle w:val="a3"/>
              <w:rPr>
                <w:rFonts w:cs="FrankRuehl"/>
                <w:sz w:val="28"/>
                <w:szCs w:val="28"/>
                <w:rtl/>
              </w:rPr>
            </w:pPr>
            <w:r w:rsidRPr="00521104">
              <w:rPr>
                <w:rFonts w:hint="cs"/>
                <w:b/>
                <w:bCs/>
                <w:sz w:val="26"/>
                <w:szCs w:val="26"/>
                <w:rtl/>
              </w:rPr>
              <w:t>ת"פ 41189-09-15 מדינת ישראל נ' אלדהיני</w:t>
            </w:r>
          </w:p>
        </w:tc>
        <w:tc>
          <w:tcPr>
            <w:tcW w:w="3730" w:type="dxa"/>
          </w:tcPr>
          <w:p w14:paraId="550361FC" w14:textId="77777777" w:rsidR="00CA7A0F" w:rsidRPr="00521104" w:rsidRDefault="00CA7A0F" w:rsidP="00521104">
            <w:pPr>
              <w:pStyle w:val="a3"/>
              <w:jc w:val="right"/>
              <w:rPr>
                <w:rFonts w:cs="FrankRuehl"/>
                <w:sz w:val="28"/>
                <w:szCs w:val="28"/>
                <w:rtl/>
              </w:rPr>
            </w:pPr>
            <w:r w:rsidRPr="00521104">
              <w:rPr>
                <w:rFonts w:hint="cs"/>
                <w:b/>
                <w:bCs/>
                <w:sz w:val="26"/>
                <w:szCs w:val="26"/>
                <w:rtl/>
              </w:rPr>
              <w:t>13 יולי 2016</w:t>
            </w:r>
          </w:p>
        </w:tc>
      </w:tr>
    </w:tbl>
    <w:p w14:paraId="1FF67846" w14:textId="77777777" w:rsidR="00CA7A0F" w:rsidRPr="00521104" w:rsidRDefault="00CA7A0F" w:rsidP="00CA7A0F">
      <w:pPr>
        <w:pStyle w:val="a3"/>
        <w:rPr>
          <w:rtl/>
        </w:rPr>
      </w:pPr>
      <w:r w:rsidRPr="00521104">
        <w:rPr>
          <w:rFonts w:hint="cs"/>
          <w:rtl/>
        </w:rPr>
        <w:t xml:space="preserve"> </w:t>
      </w:r>
    </w:p>
    <w:p w14:paraId="4D70D365" w14:textId="77777777" w:rsidR="00CA7A0F" w:rsidRPr="00521104" w:rsidRDefault="00CA7A0F" w:rsidP="00CA7A0F">
      <w:pPr>
        <w:rPr>
          <w:rtl/>
        </w:rPr>
      </w:pPr>
    </w:p>
    <w:tbl>
      <w:tblPr>
        <w:bidiVisual/>
        <w:tblW w:w="8802" w:type="dxa"/>
        <w:tblInd w:w="-28" w:type="dxa"/>
        <w:tblLook w:val="01E0" w:firstRow="1" w:lastRow="1" w:firstColumn="1" w:lastColumn="1" w:noHBand="0" w:noVBand="0"/>
      </w:tblPr>
      <w:tblGrid>
        <w:gridCol w:w="2880"/>
        <w:gridCol w:w="5839"/>
        <w:gridCol w:w="83"/>
      </w:tblGrid>
      <w:tr w:rsidR="00CA7A0F" w:rsidRPr="00521104" w14:paraId="5E335494" w14:textId="77777777">
        <w:trPr>
          <w:gridAfter w:val="1"/>
          <w:wAfter w:w="55" w:type="dxa"/>
        </w:trPr>
        <w:tc>
          <w:tcPr>
            <w:tcW w:w="8719" w:type="dxa"/>
            <w:gridSpan w:val="2"/>
            <w:shd w:val="clear" w:color="auto" w:fill="auto"/>
          </w:tcPr>
          <w:p w14:paraId="7C6AABD8" w14:textId="77777777" w:rsidR="00CA7A0F" w:rsidRPr="00521104" w:rsidRDefault="00CA7A0F" w:rsidP="00521104">
            <w:pPr>
              <w:spacing w:line="360" w:lineRule="auto"/>
              <w:jc w:val="both"/>
              <w:rPr>
                <w:b/>
                <w:bCs/>
                <w:sz w:val="26"/>
                <w:szCs w:val="26"/>
                <w:rtl/>
              </w:rPr>
            </w:pPr>
            <w:r w:rsidRPr="00521104">
              <w:rPr>
                <w:rFonts w:hint="cs"/>
                <w:b/>
                <w:bCs/>
                <w:sz w:val="26"/>
                <w:szCs w:val="26"/>
                <w:rtl/>
              </w:rPr>
              <w:t>בפני כב' ה</w:t>
            </w:r>
            <w:r w:rsidRPr="00521104">
              <w:rPr>
                <w:rFonts w:hint="cs"/>
                <w:rtl/>
              </w:rPr>
              <w:t>שופט יוסי טופף</w:t>
            </w:r>
            <w:r w:rsidRPr="00521104">
              <w:rPr>
                <w:rStyle w:val="TimesNewRomanTimesNewRoman"/>
                <w:rFonts w:hint="cs"/>
                <w:rtl/>
              </w:rPr>
              <w:t xml:space="preserve"> </w:t>
            </w:r>
          </w:p>
          <w:p w14:paraId="234F7BBA" w14:textId="77777777" w:rsidR="00CA7A0F" w:rsidRPr="00521104" w:rsidRDefault="00CA7A0F" w:rsidP="00521104">
            <w:pPr>
              <w:jc w:val="right"/>
              <w:rPr>
                <w:b/>
                <w:bCs/>
                <w:sz w:val="26"/>
                <w:szCs w:val="26"/>
                <w:rtl/>
              </w:rPr>
            </w:pPr>
          </w:p>
          <w:p w14:paraId="3B4A4498" w14:textId="77777777" w:rsidR="00CA7A0F" w:rsidRPr="00521104" w:rsidRDefault="00CA7A0F" w:rsidP="00521104">
            <w:pPr>
              <w:jc w:val="right"/>
              <w:rPr>
                <w:b/>
                <w:bCs/>
                <w:sz w:val="26"/>
                <w:szCs w:val="26"/>
                <w:rtl/>
              </w:rPr>
            </w:pPr>
          </w:p>
          <w:p w14:paraId="2B3653A3" w14:textId="77777777" w:rsidR="00CA7A0F" w:rsidRPr="00521104" w:rsidRDefault="00CA7A0F" w:rsidP="00521104">
            <w:pPr>
              <w:jc w:val="right"/>
              <w:rPr>
                <w:b/>
                <w:bCs/>
                <w:sz w:val="26"/>
                <w:szCs w:val="26"/>
                <w:rtl/>
              </w:rPr>
            </w:pPr>
          </w:p>
        </w:tc>
      </w:tr>
      <w:tr w:rsidR="00CA7A0F" w:rsidRPr="00521104" w14:paraId="0947434E" w14:textId="77777777">
        <w:tc>
          <w:tcPr>
            <w:tcW w:w="2880" w:type="dxa"/>
            <w:shd w:val="clear" w:color="auto" w:fill="auto"/>
          </w:tcPr>
          <w:p w14:paraId="72408CBA" w14:textId="77777777" w:rsidR="00CA7A0F" w:rsidRPr="00521104" w:rsidRDefault="00CA7A0F" w:rsidP="00521104">
            <w:pPr>
              <w:ind w:left="26"/>
              <w:rPr>
                <w:b/>
                <w:bCs/>
                <w:sz w:val="26"/>
                <w:szCs w:val="26"/>
                <w:rtl/>
              </w:rPr>
            </w:pPr>
            <w:bookmarkStart w:id="1" w:name="FirstAppellant"/>
            <w:bookmarkStart w:id="2" w:name="FirstLawyer"/>
            <w:r w:rsidRPr="00521104">
              <w:rPr>
                <w:rFonts w:hint="cs"/>
                <w:b/>
                <w:bCs/>
                <w:sz w:val="26"/>
                <w:szCs w:val="26"/>
                <w:rtl/>
              </w:rPr>
              <w:t>ה</w:t>
            </w:r>
            <w:r w:rsidRPr="00521104">
              <w:rPr>
                <w:rFonts w:hint="cs"/>
                <w:rtl/>
              </w:rPr>
              <w:t>מאשימה:</w:t>
            </w:r>
          </w:p>
        </w:tc>
        <w:tc>
          <w:tcPr>
            <w:tcW w:w="5922" w:type="dxa"/>
            <w:gridSpan w:val="2"/>
            <w:shd w:val="clear" w:color="auto" w:fill="auto"/>
          </w:tcPr>
          <w:p w14:paraId="3163A90B" w14:textId="77777777" w:rsidR="00CA7A0F" w:rsidRPr="00521104" w:rsidRDefault="00CA7A0F" w:rsidP="00521104">
            <w:pPr>
              <w:rPr>
                <w:b/>
                <w:bCs/>
                <w:sz w:val="26"/>
                <w:szCs w:val="26"/>
                <w:rtl/>
              </w:rPr>
            </w:pPr>
            <w:r w:rsidRPr="00521104">
              <w:rPr>
                <w:rFonts w:hint="cs"/>
                <w:b/>
                <w:bCs/>
                <w:sz w:val="26"/>
                <w:szCs w:val="26"/>
                <w:rtl/>
              </w:rPr>
              <w:t xml:space="preserve">מדינת ישראל </w:t>
            </w:r>
          </w:p>
          <w:p w14:paraId="5758CD02" w14:textId="77777777" w:rsidR="00CA7A0F" w:rsidRPr="00521104" w:rsidRDefault="00CA7A0F" w:rsidP="00521104">
            <w:pPr>
              <w:rPr>
                <w:sz w:val="26"/>
                <w:szCs w:val="26"/>
                <w:rtl/>
              </w:rPr>
            </w:pPr>
            <w:r w:rsidRPr="00521104">
              <w:rPr>
                <w:rFonts w:hint="cs"/>
                <w:sz w:val="26"/>
                <w:szCs w:val="26"/>
                <w:rtl/>
              </w:rPr>
              <w:t>ע"י ב"כ עו"ד שחר עידן</w:t>
            </w:r>
          </w:p>
          <w:p w14:paraId="04BDA08B" w14:textId="77777777" w:rsidR="00CA7A0F" w:rsidRPr="00521104" w:rsidRDefault="00CA7A0F" w:rsidP="00521104">
            <w:pPr>
              <w:rPr>
                <w:b/>
                <w:bCs/>
                <w:sz w:val="26"/>
                <w:szCs w:val="26"/>
                <w:rtl/>
              </w:rPr>
            </w:pPr>
            <w:r w:rsidRPr="00521104">
              <w:rPr>
                <w:rFonts w:hint="cs"/>
                <w:sz w:val="26"/>
                <w:szCs w:val="26"/>
                <w:rtl/>
              </w:rPr>
              <w:t>שלוחת תביעות אילת</w:t>
            </w:r>
          </w:p>
          <w:p w14:paraId="79C4ADAA" w14:textId="77777777" w:rsidR="00CA7A0F" w:rsidRPr="00521104" w:rsidRDefault="00CA7A0F" w:rsidP="00521104">
            <w:pPr>
              <w:jc w:val="right"/>
              <w:rPr>
                <w:b/>
                <w:bCs/>
                <w:sz w:val="26"/>
                <w:szCs w:val="26"/>
                <w:rtl/>
              </w:rPr>
            </w:pPr>
          </w:p>
        </w:tc>
      </w:tr>
      <w:bookmarkEnd w:id="1"/>
      <w:bookmarkEnd w:id="2"/>
      <w:tr w:rsidR="00CA7A0F" w:rsidRPr="00521104" w14:paraId="516363CF" w14:textId="77777777">
        <w:tc>
          <w:tcPr>
            <w:tcW w:w="8802" w:type="dxa"/>
            <w:gridSpan w:val="3"/>
            <w:shd w:val="clear" w:color="auto" w:fill="auto"/>
          </w:tcPr>
          <w:p w14:paraId="0DEDB439" w14:textId="77777777" w:rsidR="00CA7A0F" w:rsidRPr="00521104" w:rsidRDefault="00CA7A0F" w:rsidP="00521104">
            <w:pPr>
              <w:jc w:val="center"/>
              <w:rPr>
                <w:rFonts w:ascii="Arial" w:hAnsi="Arial"/>
                <w:b/>
                <w:bCs/>
                <w:sz w:val="26"/>
                <w:szCs w:val="26"/>
                <w:rtl/>
              </w:rPr>
            </w:pPr>
            <w:r w:rsidRPr="00521104">
              <w:rPr>
                <w:rFonts w:ascii="Arial" w:hAnsi="Arial" w:hint="cs"/>
                <w:b/>
                <w:bCs/>
                <w:sz w:val="26"/>
                <w:szCs w:val="26"/>
                <w:rtl/>
              </w:rPr>
              <w:t>נגד</w:t>
            </w:r>
          </w:p>
          <w:p w14:paraId="73279A9D" w14:textId="77777777" w:rsidR="00CA7A0F" w:rsidRPr="00521104" w:rsidRDefault="00CA7A0F" w:rsidP="00521104">
            <w:pPr>
              <w:jc w:val="center"/>
              <w:rPr>
                <w:rFonts w:ascii="Arial" w:hAnsi="Arial"/>
                <w:b/>
                <w:bCs/>
                <w:sz w:val="26"/>
                <w:szCs w:val="26"/>
                <w:rtl/>
              </w:rPr>
            </w:pPr>
          </w:p>
        </w:tc>
      </w:tr>
      <w:tr w:rsidR="00CA7A0F" w:rsidRPr="00521104" w14:paraId="3C94828F" w14:textId="77777777">
        <w:tc>
          <w:tcPr>
            <w:tcW w:w="2880" w:type="dxa"/>
            <w:shd w:val="clear" w:color="auto" w:fill="auto"/>
          </w:tcPr>
          <w:p w14:paraId="6CF8CFE4" w14:textId="77777777" w:rsidR="0093277F" w:rsidRDefault="0093277F" w:rsidP="00521104">
            <w:pPr>
              <w:ind w:left="26"/>
              <w:rPr>
                <w:sz w:val="26"/>
                <w:szCs w:val="26"/>
                <w:rtl/>
              </w:rPr>
            </w:pPr>
            <w:bookmarkStart w:id="3" w:name="LawTable"/>
            <w:bookmarkEnd w:id="3"/>
          </w:p>
          <w:p w14:paraId="204C59E9" w14:textId="77777777" w:rsidR="0093277F" w:rsidRPr="0093277F" w:rsidRDefault="0093277F" w:rsidP="0093277F">
            <w:pPr>
              <w:spacing w:after="120" w:line="240" w:lineRule="exact"/>
              <w:ind w:left="283" w:hanging="283"/>
              <w:jc w:val="both"/>
              <w:rPr>
                <w:rFonts w:ascii="FrankRuehl" w:hAnsi="FrankRuehl" w:cs="FrankRuehl"/>
                <w:rtl/>
              </w:rPr>
            </w:pPr>
          </w:p>
          <w:p w14:paraId="2C2211B1" w14:textId="77777777" w:rsidR="00521104" w:rsidRPr="00521104" w:rsidRDefault="00521104" w:rsidP="00521104">
            <w:pPr>
              <w:ind w:left="26"/>
              <w:rPr>
                <w:sz w:val="26"/>
                <w:szCs w:val="26"/>
                <w:rtl/>
              </w:rPr>
            </w:pPr>
            <w:bookmarkStart w:id="4" w:name="LawTable_End"/>
            <w:bookmarkEnd w:id="4"/>
          </w:p>
          <w:p w14:paraId="320D892B" w14:textId="77777777" w:rsidR="00521104" w:rsidRPr="00521104" w:rsidRDefault="00521104" w:rsidP="00521104">
            <w:pPr>
              <w:ind w:left="26"/>
              <w:rPr>
                <w:b/>
                <w:bCs/>
                <w:sz w:val="26"/>
                <w:szCs w:val="26"/>
                <w:rtl/>
              </w:rPr>
            </w:pPr>
          </w:p>
          <w:p w14:paraId="4C54169B" w14:textId="77777777" w:rsidR="00CA7A0F" w:rsidRPr="00521104" w:rsidRDefault="00CA7A0F" w:rsidP="00521104">
            <w:pPr>
              <w:ind w:left="26"/>
              <w:rPr>
                <w:b/>
                <w:bCs/>
                <w:sz w:val="26"/>
                <w:szCs w:val="26"/>
              </w:rPr>
            </w:pPr>
            <w:r w:rsidRPr="00521104">
              <w:rPr>
                <w:rFonts w:hint="cs"/>
                <w:b/>
                <w:bCs/>
                <w:sz w:val="26"/>
                <w:szCs w:val="26"/>
                <w:rtl/>
              </w:rPr>
              <w:t>ה</w:t>
            </w:r>
            <w:r w:rsidRPr="00521104">
              <w:rPr>
                <w:rFonts w:hint="cs"/>
                <w:rtl/>
              </w:rPr>
              <w:t>נאשם:</w:t>
            </w:r>
          </w:p>
        </w:tc>
        <w:tc>
          <w:tcPr>
            <w:tcW w:w="5922" w:type="dxa"/>
            <w:gridSpan w:val="2"/>
            <w:shd w:val="clear" w:color="auto" w:fill="auto"/>
          </w:tcPr>
          <w:p w14:paraId="50F405EF" w14:textId="77777777" w:rsidR="00CA7A0F" w:rsidRPr="00521104" w:rsidRDefault="00CA7A0F" w:rsidP="00521104">
            <w:pPr>
              <w:rPr>
                <w:b/>
                <w:bCs/>
                <w:sz w:val="26"/>
                <w:szCs w:val="26"/>
                <w:rtl/>
              </w:rPr>
            </w:pPr>
            <w:r w:rsidRPr="00521104">
              <w:rPr>
                <w:rFonts w:hint="cs"/>
                <w:b/>
                <w:bCs/>
                <w:sz w:val="26"/>
                <w:szCs w:val="26"/>
                <w:rtl/>
              </w:rPr>
              <w:t xml:space="preserve">תאופיק אלדהיני, </w:t>
            </w:r>
            <w:r w:rsidRPr="00521104">
              <w:rPr>
                <w:rFonts w:cs="Times New Roman" w:hint="cs"/>
                <w:b/>
                <w:bCs/>
                <w:sz w:val="26"/>
                <w:szCs w:val="26"/>
                <w:rtl/>
              </w:rPr>
              <w:t>ת.ז.</w:t>
            </w:r>
            <w:r w:rsidRPr="00521104">
              <w:rPr>
                <w:rFonts w:hint="cs"/>
                <w:b/>
                <w:bCs/>
                <w:sz w:val="26"/>
                <w:szCs w:val="26"/>
                <w:rtl/>
              </w:rPr>
              <w:t xml:space="preserve"> </w:t>
            </w:r>
            <w:r w:rsidR="00521104" w:rsidRPr="00521104">
              <w:rPr>
                <w:rFonts w:cs="Times New Roman"/>
                <w:b/>
                <w:bCs/>
                <w:sz w:val="26"/>
                <w:szCs w:val="26"/>
              </w:rPr>
              <w:t>xxxxxxxxx</w:t>
            </w:r>
            <w:r w:rsidRPr="00521104">
              <w:rPr>
                <w:rFonts w:cs="Times New Roman" w:hint="cs"/>
                <w:b/>
                <w:bCs/>
                <w:sz w:val="26"/>
                <w:szCs w:val="26"/>
                <w:rtl/>
              </w:rPr>
              <w:br/>
            </w:r>
            <w:r w:rsidRPr="00521104">
              <w:rPr>
                <w:rFonts w:hint="cs"/>
                <w:sz w:val="26"/>
                <w:szCs w:val="26"/>
                <w:rtl/>
              </w:rPr>
              <w:t>ע"י ב"כ עו"ד אחמד סיף-אלדין ותד</w:t>
            </w:r>
          </w:p>
        </w:tc>
        <w:bookmarkStart w:id="5" w:name="Links_Kitvei_Start"/>
        <w:bookmarkStart w:id="6" w:name="Links_Kitvei_End"/>
        <w:bookmarkEnd w:id="5"/>
        <w:bookmarkEnd w:id="6"/>
      </w:tr>
    </w:tbl>
    <w:p w14:paraId="28616E89" w14:textId="77777777" w:rsidR="00CA7A0F" w:rsidRPr="00521104" w:rsidRDefault="00CA7A0F" w:rsidP="00521104">
      <w:pPr>
        <w:spacing w:after="120" w:line="240" w:lineRule="exact"/>
        <w:ind w:left="283" w:hanging="283"/>
        <w:jc w:val="both"/>
        <w:rPr>
          <w:vanish/>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A7A0F" w14:paraId="3D920CDE" w14:textId="77777777">
        <w:trPr>
          <w:trHeight w:val="355"/>
          <w:jc w:val="center"/>
        </w:trPr>
        <w:tc>
          <w:tcPr>
            <w:tcW w:w="8820" w:type="dxa"/>
            <w:tcBorders>
              <w:top w:val="nil"/>
              <w:left w:val="nil"/>
              <w:bottom w:val="nil"/>
              <w:right w:val="nil"/>
            </w:tcBorders>
            <w:shd w:val="clear" w:color="auto" w:fill="auto"/>
          </w:tcPr>
          <w:p w14:paraId="3CDA354B" w14:textId="77777777" w:rsidR="0093277F" w:rsidRDefault="0093277F" w:rsidP="0093277F">
            <w:pPr>
              <w:spacing w:after="120" w:line="240" w:lineRule="exact"/>
              <w:ind w:left="283" w:hanging="283"/>
              <w:jc w:val="both"/>
              <w:rPr>
                <w:rFonts w:ascii="FrankRuehl" w:hAnsi="FrankRuehl" w:cs="FrankRuehl" w:hint="cs"/>
                <w:rtl/>
              </w:rPr>
            </w:pPr>
            <w:bookmarkStart w:id="7" w:name="PsakDin" w:colFirst="0" w:colLast="0"/>
            <w:bookmarkEnd w:id="0"/>
          </w:p>
          <w:p w14:paraId="1A3B4894" w14:textId="77777777" w:rsidR="0093277F" w:rsidRPr="0093277F" w:rsidRDefault="0093277F" w:rsidP="0093277F">
            <w:pPr>
              <w:spacing w:after="120" w:line="240" w:lineRule="exact"/>
              <w:ind w:left="283" w:hanging="283"/>
              <w:jc w:val="both"/>
              <w:rPr>
                <w:rFonts w:ascii="FrankRuehl" w:hAnsi="FrankRuehl" w:cs="FrankRuehl"/>
                <w:rtl/>
              </w:rPr>
            </w:pPr>
            <w:r w:rsidRPr="0093277F">
              <w:rPr>
                <w:rFonts w:ascii="FrankRuehl" w:hAnsi="FrankRuehl" w:cs="FrankRuehl"/>
                <w:rtl/>
              </w:rPr>
              <w:t xml:space="preserve">חקיקה שאוזכרה: </w:t>
            </w:r>
          </w:p>
          <w:p w14:paraId="6F5C106F" w14:textId="77777777" w:rsidR="0093277F" w:rsidRPr="0093277F" w:rsidRDefault="0093277F" w:rsidP="0093277F">
            <w:pPr>
              <w:spacing w:after="120" w:line="240" w:lineRule="exact"/>
              <w:ind w:left="283" w:hanging="283"/>
              <w:jc w:val="both"/>
              <w:rPr>
                <w:rFonts w:ascii="FrankRuehl" w:hAnsi="FrankRuehl" w:cs="FrankRuehl"/>
                <w:rtl/>
              </w:rPr>
            </w:pPr>
            <w:hyperlink r:id="rId6" w:history="1">
              <w:r w:rsidRPr="0093277F">
                <w:rPr>
                  <w:rFonts w:ascii="FrankRuehl" w:hAnsi="FrankRuehl" w:cs="FrankRuehl"/>
                  <w:color w:val="0000FF"/>
                  <w:u w:val="single"/>
                  <w:rtl/>
                </w:rPr>
                <w:t>פקודת הסמים המסוכנים [נוסח חדש], תשל"ג-1973</w:t>
              </w:r>
            </w:hyperlink>
            <w:r w:rsidRPr="0093277F">
              <w:rPr>
                <w:rFonts w:ascii="FrankRuehl" w:hAnsi="FrankRuehl" w:cs="FrankRuehl"/>
                <w:rtl/>
              </w:rPr>
              <w:t xml:space="preserve">: סע'  </w:t>
            </w:r>
            <w:hyperlink r:id="rId7" w:history="1">
              <w:r w:rsidRPr="0093277F">
                <w:rPr>
                  <w:rFonts w:ascii="FrankRuehl" w:hAnsi="FrankRuehl" w:cs="FrankRuehl"/>
                  <w:color w:val="0000FF"/>
                  <w:u w:val="single"/>
                  <w:rtl/>
                </w:rPr>
                <w:t>7(א)</w:t>
              </w:r>
            </w:hyperlink>
            <w:r w:rsidRPr="0093277F">
              <w:rPr>
                <w:rFonts w:ascii="FrankRuehl" w:hAnsi="FrankRuehl" w:cs="FrankRuehl"/>
                <w:rtl/>
              </w:rPr>
              <w:t xml:space="preserve">, </w:t>
            </w:r>
            <w:hyperlink r:id="rId8" w:history="1">
              <w:r w:rsidRPr="0093277F">
                <w:rPr>
                  <w:rFonts w:ascii="FrankRuehl" w:hAnsi="FrankRuehl" w:cs="FrankRuehl"/>
                  <w:color w:val="0000FF"/>
                  <w:u w:val="single"/>
                  <w:rtl/>
                </w:rPr>
                <w:t>7(ג)</w:t>
              </w:r>
            </w:hyperlink>
          </w:p>
          <w:p w14:paraId="39EF54C8" w14:textId="77777777" w:rsidR="0093277F" w:rsidRPr="0093277F" w:rsidRDefault="0093277F" w:rsidP="0093277F">
            <w:pPr>
              <w:spacing w:after="120" w:line="240" w:lineRule="exact"/>
              <w:ind w:left="283" w:hanging="283"/>
              <w:jc w:val="both"/>
              <w:rPr>
                <w:rFonts w:ascii="FrankRuehl" w:hAnsi="FrankRuehl" w:cs="FrankRuehl"/>
                <w:rtl/>
              </w:rPr>
            </w:pPr>
            <w:hyperlink r:id="rId9" w:history="1">
              <w:r w:rsidRPr="0093277F">
                <w:rPr>
                  <w:rFonts w:ascii="FrankRuehl" w:hAnsi="FrankRuehl" w:cs="FrankRuehl"/>
                  <w:color w:val="0000FF"/>
                  <w:u w:val="single"/>
                  <w:rtl/>
                </w:rPr>
                <w:t>חוק העונשין, תשל"ז-1977</w:t>
              </w:r>
            </w:hyperlink>
            <w:r w:rsidRPr="0093277F">
              <w:rPr>
                <w:rFonts w:ascii="FrankRuehl" w:hAnsi="FrankRuehl" w:cs="FrankRuehl"/>
                <w:rtl/>
              </w:rPr>
              <w:t xml:space="preserve">: סע'  </w:t>
            </w:r>
            <w:hyperlink r:id="rId10" w:history="1">
              <w:r w:rsidRPr="0093277F">
                <w:rPr>
                  <w:rFonts w:ascii="FrankRuehl" w:hAnsi="FrankRuehl" w:cs="FrankRuehl"/>
                  <w:color w:val="0000FF"/>
                  <w:u w:val="single"/>
                  <w:rtl/>
                </w:rPr>
                <w:t>40ג</w:t>
              </w:r>
            </w:hyperlink>
            <w:r w:rsidRPr="0093277F">
              <w:rPr>
                <w:rFonts w:ascii="FrankRuehl" w:hAnsi="FrankRuehl" w:cs="FrankRuehl"/>
                <w:rtl/>
              </w:rPr>
              <w:t xml:space="preserve">, </w:t>
            </w:r>
            <w:hyperlink r:id="rId11" w:history="1">
              <w:r w:rsidRPr="0093277F">
                <w:rPr>
                  <w:rFonts w:ascii="FrankRuehl" w:hAnsi="FrankRuehl" w:cs="FrankRuehl"/>
                  <w:color w:val="0000FF"/>
                  <w:u w:val="single"/>
                  <w:rtl/>
                </w:rPr>
                <w:t>40ג(א)</w:t>
              </w:r>
            </w:hyperlink>
            <w:r w:rsidRPr="0093277F">
              <w:rPr>
                <w:rFonts w:ascii="FrankRuehl" w:hAnsi="FrankRuehl" w:cs="FrankRuehl"/>
                <w:rtl/>
              </w:rPr>
              <w:t xml:space="preserve">, </w:t>
            </w:r>
            <w:hyperlink r:id="rId12" w:history="1">
              <w:r w:rsidRPr="0093277F">
                <w:rPr>
                  <w:rFonts w:ascii="FrankRuehl" w:hAnsi="FrankRuehl" w:cs="FrankRuehl"/>
                  <w:color w:val="0000FF"/>
                  <w:u w:val="single"/>
                  <w:rtl/>
                </w:rPr>
                <w:t>40ו</w:t>
              </w:r>
            </w:hyperlink>
            <w:r w:rsidRPr="0093277F">
              <w:rPr>
                <w:rFonts w:ascii="FrankRuehl" w:hAnsi="FrankRuehl" w:cs="FrankRuehl"/>
                <w:rtl/>
              </w:rPr>
              <w:t xml:space="preserve">, </w:t>
            </w:r>
            <w:hyperlink r:id="rId13" w:history="1">
              <w:r w:rsidRPr="0093277F">
                <w:rPr>
                  <w:rFonts w:ascii="FrankRuehl" w:hAnsi="FrankRuehl" w:cs="FrankRuehl"/>
                  <w:color w:val="0000FF"/>
                  <w:u w:val="single"/>
                  <w:rtl/>
                </w:rPr>
                <w:t>40ז</w:t>
              </w:r>
            </w:hyperlink>
            <w:r w:rsidRPr="0093277F">
              <w:rPr>
                <w:rFonts w:ascii="FrankRuehl" w:hAnsi="FrankRuehl" w:cs="FrankRuehl"/>
                <w:rtl/>
              </w:rPr>
              <w:t xml:space="preserve">, </w:t>
            </w:r>
            <w:hyperlink r:id="rId14" w:history="1">
              <w:r w:rsidRPr="0093277F">
                <w:rPr>
                  <w:rFonts w:ascii="FrankRuehl" w:hAnsi="FrankRuehl" w:cs="FrankRuehl"/>
                  <w:color w:val="0000FF"/>
                  <w:u w:val="single"/>
                  <w:rtl/>
                </w:rPr>
                <w:t>40ט</w:t>
              </w:r>
            </w:hyperlink>
            <w:r w:rsidRPr="0093277F">
              <w:rPr>
                <w:rFonts w:ascii="FrankRuehl" w:hAnsi="FrankRuehl" w:cs="FrankRuehl"/>
                <w:rtl/>
              </w:rPr>
              <w:t xml:space="preserve">, </w:t>
            </w:r>
            <w:hyperlink r:id="rId15" w:history="1">
              <w:r w:rsidRPr="0093277F">
                <w:rPr>
                  <w:rFonts w:ascii="FrankRuehl" w:hAnsi="FrankRuehl" w:cs="FrankRuehl"/>
                  <w:color w:val="0000FF"/>
                  <w:u w:val="single"/>
                  <w:rtl/>
                </w:rPr>
                <w:t>40יא</w:t>
              </w:r>
            </w:hyperlink>
          </w:p>
          <w:p w14:paraId="2D944A35" w14:textId="77777777" w:rsidR="0093277F" w:rsidRDefault="0093277F" w:rsidP="0093277F">
            <w:pPr>
              <w:jc w:val="center"/>
              <w:rPr>
                <w:rFonts w:ascii="Arial" w:hAnsi="Arial" w:cs="FrankRuehl" w:hint="cs"/>
                <w:b/>
                <w:bCs/>
                <w:sz w:val="32"/>
                <w:szCs w:val="32"/>
                <w:u w:val="single"/>
                <w:rtl/>
              </w:rPr>
            </w:pPr>
            <w:hyperlink r:id="rId16" w:history="1">
              <w:r w:rsidRPr="0093277F">
                <w:rPr>
                  <w:rFonts w:ascii="FrankRuehl" w:hAnsi="FrankRuehl" w:cs="FrankRuehl"/>
                  <w:color w:val="0000FF"/>
                  <w:u w:val="single"/>
                  <w:rtl/>
                </w:rPr>
                <w:t>חוק סדר הדין הפלילי [נוסח משולב], תשמ"ב-1982</w:t>
              </w:r>
            </w:hyperlink>
          </w:p>
          <w:p w14:paraId="2CEFAD05" w14:textId="77777777" w:rsidR="0093277F" w:rsidRDefault="0093277F" w:rsidP="00521104">
            <w:pPr>
              <w:jc w:val="center"/>
              <w:rPr>
                <w:rFonts w:ascii="Arial" w:hAnsi="Arial" w:cs="FrankRuehl" w:hint="cs"/>
                <w:b/>
                <w:bCs/>
                <w:sz w:val="32"/>
                <w:szCs w:val="32"/>
                <w:u w:val="single"/>
                <w:rtl/>
              </w:rPr>
            </w:pPr>
          </w:p>
          <w:p w14:paraId="01CD6386" w14:textId="77777777" w:rsidR="00521104" w:rsidRPr="00521104" w:rsidRDefault="00521104" w:rsidP="00521104">
            <w:pPr>
              <w:jc w:val="center"/>
              <w:rPr>
                <w:rFonts w:ascii="Arial" w:hAnsi="Arial" w:cs="FrankRuehl"/>
                <w:b/>
                <w:bCs/>
                <w:sz w:val="32"/>
                <w:szCs w:val="32"/>
                <w:u w:val="single"/>
                <w:rtl/>
              </w:rPr>
            </w:pPr>
            <w:r w:rsidRPr="00521104">
              <w:rPr>
                <w:rFonts w:ascii="Arial" w:hAnsi="Arial" w:cs="FrankRuehl"/>
                <w:b/>
                <w:bCs/>
                <w:sz w:val="32"/>
                <w:szCs w:val="32"/>
                <w:u w:val="single"/>
                <w:rtl/>
              </w:rPr>
              <w:t>גזר דין</w:t>
            </w:r>
          </w:p>
          <w:p w14:paraId="3F6FC2D4" w14:textId="77777777" w:rsidR="00CA7A0F" w:rsidRPr="00521104" w:rsidRDefault="00CA7A0F" w:rsidP="00521104">
            <w:pPr>
              <w:jc w:val="center"/>
              <w:rPr>
                <w:rFonts w:ascii="Arial" w:hAnsi="Arial"/>
                <w:bCs/>
                <w:sz w:val="32"/>
                <w:szCs w:val="32"/>
                <w:u w:val="single"/>
                <w:rtl/>
              </w:rPr>
            </w:pPr>
          </w:p>
        </w:tc>
      </w:tr>
      <w:bookmarkEnd w:id="7"/>
    </w:tbl>
    <w:p w14:paraId="270486ED" w14:textId="77777777" w:rsidR="00CA7A0F" w:rsidRPr="00B05847" w:rsidRDefault="00CA7A0F" w:rsidP="00CA7A0F">
      <w:pPr>
        <w:rPr>
          <w:rFonts w:ascii="Arial" w:hAnsi="Arial"/>
          <w:rtl/>
        </w:rPr>
      </w:pPr>
    </w:p>
    <w:p w14:paraId="73B9099C" w14:textId="77777777" w:rsidR="00CA7A0F" w:rsidRDefault="00CA7A0F" w:rsidP="00CA7A0F">
      <w:pPr>
        <w:rPr>
          <w:rFonts w:ascii="Arial" w:hAnsi="Arial"/>
          <w:rtl/>
        </w:rPr>
      </w:pPr>
    </w:p>
    <w:p w14:paraId="1CB2ABDF" w14:textId="77777777" w:rsidR="00CA7A0F" w:rsidRDefault="00CA7A0F" w:rsidP="00CA7A0F">
      <w:pPr>
        <w:spacing w:line="360" w:lineRule="auto"/>
        <w:ind w:left="44"/>
        <w:jc w:val="both"/>
      </w:pPr>
      <w:r>
        <w:rPr>
          <w:rFonts w:hint="cs"/>
          <w:b/>
          <w:bCs/>
          <w:u w:val="single"/>
          <w:rtl/>
        </w:rPr>
        <w:t>כתב האישום וההרשעה</w:t>
      </w:r>
    </w:p>
    <w:p w14:paraId="0D7849C7" w14:textId="77777777" w:rsidR="00CA7A0F" w:rsidRDefault="00CA7A0F" w:rsidP="00CA7A0F">
      <w:pPr>
        <w:spacing w:line="360" w:lineRule="auto"/>
        <w:ind w:left="44"/>
        <w:jc w:val="both"/>
        <w:rPr>
          <w:sz w:val="14"/>
          <w:szCs w:val="14"/>
          <w:rtl/>
        </w:rPr>
      </w:pPr>
    </w:p>
    <w:p w14:paraId="5AB320DF" w14:textId="77777777" w:rsidR="00CA7A0F" w:rsidRDefault="00CA7A0F" w:rsidP="00CA7A0F">
      <w:pPr>
        <w:tabs>
          <w:tab w:val="left" w:pos="368"/>
        </w:tabs>
        <w:spacing w:line="360" w:lineRule="auto"/>
        <w:ind w:left="368" w:hanging="324"/>
        <w:jc w:val="both"/>
        <w:rPr>
          <w:rtl/>
        </w:rPr>
      </w:pPr>
      <w:r>
        <w:rPr>
          <w:rFonts w:hint="cs"/>
          <w:rtl/>
        </w:rPr>
        <w:t>1.</w:t>
      </w:r>
      <w:r>
        <w:rPr>
          <w:rFonts w:hint="cs"/>
          <w:rtl/>
        </w:rPr>
        <w:tab/>
      </w:r>
      <w:bookmarkStart w:id="8" w:name="ABSTRACT_START"/>
      <w:bookmarkEnd w:id="8"/>
      <w:r>
        <w:rPr>
          <w:rFonts w:hint="cs"/>
          <w:rtl/>
        </w:rPr>
        <w:t xml:space="preserve">הנאשם הורשע על יסוד הודאתו, בביצוע עבירה של החזקת סמים שלא לצריכה עצמית לפי </w:t>
      </w:r>
      <w:hyperlink r:id="rId17" w:history="1">
        <w:r w:rsidR="00D05141" w:rsidRPr="00D05141">
          <w:rPr>
            <w:color w:val="0000FF"/>
            <w:u w:val="single"/>
            <w:rtl/>
          </w:rPr>
          <w:t>סעיף 7(א)</w:t>
        </w:r>
      </w:hyperlink>
      <w:r>
        <w:rPr>
          <w:rFonts w:hint="cs"/>
          <w:rtl/>
        </w:rPr>
        <w:t xml:space="preserve"> ו-</w:t>
      </w:r>
      <w:hyperlink r:id="rId18" w:history="1">
        <w:r w:rsidR="00D05141" w:rsidRPr="00D05141">
          <w:rPr>
            <w:color w:val="0000FF"/>
            <w:u w:val="single"/>
            <w:rtl/>
          </w:rPr>
          <w:t>7(ג)</w:t>
        </w:r>
      </w:hyperlink>
      <w:r>
        <w:rPr>
          <w:rFonts w:hint="cs"/>
          <w:rtl/>
        </w:rPr>
        <w:t xml:space="preserve"> רישא ל</w:t>
      </w:r>
      <w:hyperlink r:id="rId19" w:history="1">
        <w:r w:rsidR="00521104" w:rsidRPr="00521104">
          <w:rPr>
            <w:color w:val="0000FF"/>
            <w:u w:val="single"/>
            <w:rtl/>
          </w:rPr>
          <w:t>פקודת הסמים המסוכנים</w:t>
        </w:r>
      </w:hyperlink>
      <w:r>
        <w:rPr>
          <w:rFonts w:hint="cs"/>
          <w:rtl/>
        </w:rPr>
        <w:t xml:space="preserve"> (נוסח חדש), התשל"ג-1973.</w:t>
      </w:r>
    </w:p>
    <w:p w14:paraId="2500F317" w14:textId="77777777" w:rsidR="00CA7A0F" w:rsidRDefault="00CA7A0F" w:rsidP="00CA7A0F">
      <w:pPr>
        <w:tabs>
          <w:tab w:val="left" w:pos="368"/>
        </w:tabs>
        <w:spacing w:line="360" w:lineRule="auto"/>
        <w:ind w:left="368" w:hanging="324"/>
        <w:jc w:val="both"/>
        <w:rPr>
          <w:rtl/>
        </w:rPr>
      </w:pPr>
      <w:bookmarkStart w:id="9" w:name="ABSTRACT_END"/>
      <w:bookmarkEnd w:id="9"/>
    </w:p>
    <w:p w14:paraId="307A784C" w14:textId="77777777" w:rsidR="00CA7A0F" w:rsidRDefault="00CA7A0F" w:rsidP="00CA7A0F">
      <w:pPr>
        <w:tabs>
          <w:tab w:val="left" w:pos="368"/>
        </w:tabs>
        <w:spacing w:line="360" w:lineRule="auto"/>
        <w:ind w:left="368" w:hanging="324"/>
        <w:jc w:val="both"/>
        <w:rPr>
          <w:rtl/>
        </w:rPr>
      </w:pPr>
      <w:r>
        <w:rPr>
          <w:rFonts w:hint="cs"/>
          <w:rtl/>
        </w:rPr>
        <w:t>2.</w:t>
      </w:r>
      <w:r>
        <w:rPr>
          <w:rFonts w:hint="cs"/>
          <w:rtl/>
        </w:rPr>
        <w:tab/>
        <w:t xml:space="preserve">לפי כתב האישום, ביום 18.9.2015 בשעה 15:30 בקירוב, נהג הנאשם דרומה בכביש 90, בשעה שהסליק בתא המטען של הרכב 15 "פלטות" של סם מסוג חשיש, במשקל כולל של 1.435 ק"ג. צוין כי הנאשם התכוון להעביר סם זה לאדם אחר תמורת סכום של 500 ₪. </w:t>
      </w:r>
    </w:p>
    <w:p w14:paraId="6565C543" w14:textId="77777777" w:rsidR="00CA7A0F" w:rsidRDefault="00CA7A0F" w:rsidP="00CA7A0F">
      <w:pPr>
        <w:tabs>
          <w:tab w:val="left" w:pos="368"/>
        </w:tabs>
        <w:spacing w:line="360" w:lineRule="auto"/>
        <w:ind w:left="368" w:hanging="324"/>
        <w:jc w:val="both"/>
        <w:rPr>
          <w:rtl/>
        </w:rPr>
      </w:pPr>
    </w:p>
    <w:p w14:paraId="0C4D8A63" w14:textId="77777777" w:rsidR="00CA7A0F" w:rsidRDefault="00CA7A0F" w:rsidP="00CA7A0F">
      <w:pPr>
        <w:spacing w:line="360" w:lineRule="auto"/>
        <w:ind w:left="44"/>
        <w:jc w:val="both"/>
        <w:rPr>
          <w:rtl/>
        </w:rPr>
      </w:pPr>
      <w:r>
        <w:rPr>
          <w:rFonts w:hint="cs"/>
          <w:b/>
          <w:bCs/>
          <w:u w:val="single"/>
          <w:rtl/>
        </w:rPr>
        <w:t>הסדר טווח</w:t>
      </w:r>
    </w:p>
    <w:p w14:paraId="15C2B2C9" w14:textId="77777777" w:rsidR="00CA7A0F" w:rsidRDefault="00CA7A0F" w:rsidP="00CA7A0F">
      <w:pPr>
        <w:spacing w:line="360" w:lineRule="auto"/>
        <w:ind w:left="44"/>
        <w:jc w:val="both"/>
        <w:rPr>
          <w:rtl/>
        </w:rPr>
      </w:pPr>
    </w:p>
    <w:p w14:paraId="6951930C" w14:textId="77777777" w:rsidR="00CA7A0F" w:rsidRDefault="00CA7A0F" w:rsidP="00CA7A0F">
      <w:pPr>
        <w:tabs>
          <w:tab w:val="left" w:pos="368"/>
        </w:tabs>
        <w:spacing w:line="360" w:lineRule="auto"/>
        <w:ind w:left="368" w:hanging="324"/>
        <w:jc w:val="both"/>
        <w:rPr>
          <w:rtl/>
        </w:rPr>
      </w:pPr>
      <w:r>
        <w:rPr>
          <w:rFonts w:hint="cs"/>
          <w:rtl/>
        </w:rPr>
        <w:lastRenderedPageBreak/>
        <w:t>3.</w:t>
      </w:r>
      <w:r>
        <w:rPr>
          <w:rFonts w:hint="cs"/>
          <w:rtl/>
        </w:rPr>
        <w:tab/>
        <w:t>הצדדים הציעו לבית המשפט ענישה מוסכמת, הכוללת מאסר בפועל בטווח שבין 5 חודשי מאסר לריצוי בעבודות שירות לבין 12 חודשי מאסר בפועל; מאסר מותנה למשך 8 חודשים אשר ירוצו ככל שהנאשם יעבור על עבירת סמים מסוג פשע בתוך 3 שנים</w:t>
      </w:r>
      <w:r>
        <w:rPr>
          <w:rtl/>
        </w:rPr>
        <w:t xml:space="preserve">; </w:t>
      </w:r>
      <w:r>
        <w:rPr>
          <w:rFonts w:hint="cs"/>
          <w:rtl/>
        </w:rPr>
        <w:t xml:space="preserve">5 חודשי מאסר מותנה אשר ירוצו במידה והנאשם יעבור על עבירת סמים מסוג עוון בתוך 3 שנים וקנס בסך 12,000 ₪, אשר ישולם מדמי הפיקדון בהליך המעצר, לצורך שחרור הרכב שנתפס על ידי המאשימה ופסילה על תנאי של  6 חודשים למשך 3 שנים. </w:t>
      </w:r>
    </w:p>
    <w:p w14:paraId="79831EE1" w14:textId="77777777" w:rsidR="00CA7A0F" w:rsidRDefault="00CA7A0F" w:rsidP="00CA7A0F">
      <w:pPr>
        <w:tabs>
          <w:tab w:val="left" w:pos="368"/>
        </w:tabs>
        <w:spacing w:line="360" w:lineRule="auto"/>
        <w:ind w:left="368" w:hanging="324"/>
        <w:jc w:val="both"/>
        <w:rPr>
          <w:rtl/>
        </w:rPr>
      </w:pPr>
    </w:p>
    <w:p w14:paraId="364490AE" w14:textId="77777777" w:rsidR="00CA7A0F" w:rsidRDefault="00CA7A0F" w:rsidP="00CA7A0F">
      <w:pPr>
        <w:tabs>
          <w:tab w:val="left" w:pos="368"/>
        </w:tabs>
        <w:spacing w:line="360" w:lineRule="auto"/>
        <w:ind w:left="368" w:hanging="324"/>
        <w:jc w:val="both"/>
        <w:rPr>
          <w:rtl/>
        </w:rPr>
      </w:pPr>
    </w:p>
    <w:p w14:paraId="7F6F2F42" w14:textId="77777777" w:rsidR="00CA7A0F" w:rsidRDefault="00CA7A0F" w:rsidP="00CA7A0F">
      <w:pPr>
        <w:tabs>
          <w:tab w:val="left" w:pos="368"/>
        </w:tabs>
        <w:spacing w:line="360" w:lineRule="auto"/>
        <w:ind w:left="368" w:hanging="324"/>
        <w:jc w:val="both"/>
        <w:rPr>
          <w:rtl/>
        </w:rPr>
      </w:pPr>
    </w:p>
    <w:p w14:paraId="67750530" w14:textId="77777777" w:rsidR="00CA7A0F" w:rsidRDefault="00CA7A0F" w:rsidP="00CA7A0F">
      <w:pPr>
        <w:spacing w:line="360" w:lineRule="auto"/>
        <w:ind w:left="720" w:hanging="720"/>
        <w:jc w:val="both"/>
        <w:rPr>
          <w:b/>
          <w:bCs/>
          <w:u w:val="single"/>
          <w:rtl/>
        </w:rPr>
      </w:pPr>
      <w:r>
        <w:rPr>
          <w:rFonts w:hint="cs"/>
          <w:b/>
          <w:bCs/>
          <w:u w:val="single"/>
          <w:rtl/>
        </w:rPr>
        <w:t>טיעוני הצדדים לעונש</w:t>
      </w:r>
    </w:p>
    <w:p w14:paraId="0F54F95A" w14:textId="77777777" w:rsidR="00CA7A0F" w:rsidRDefault="00CA7A0F" w:rsidP="00CA7A0F">
      <w:pPr>
        <w:spacing w:line="360" w:lineRule="auto"/>
        <w:ind w:left="720" w:hanging="720"/>
        <w:jc w:val="both"/>
        <w:rPr>
          <w:b/>
          <w:bCs/>
          <w:u w:val="single"/>
          <w:rtl/>
        </w:rPr>
      </w:pPr>
    </w:p>
    <w:p w14:paraId="49EEAF49" w14:textId="77777777" w:rsidR="00CA7A0F" w:rsidRDefault="00CA7A0F" w:rsidP="00CA7A0F">
      <w:pPr>
        <w:tabs>
          <w:tab w:val="left" w:pos="368"/>
        </w:tabs>
        <w:spacing w:line="360" w:lineRule="auto"/>
        <w:ind w:left="368" w:hanging="324"/>
        <w:jc w:val="both"/>
        <w:rPr>
          <w:rtl/>
        </w:rPr>
      </w:pPr>
      <w:r>
        <w:rPr>
          <w:rFonts w:hint="cs"/>
          <w:rtl/>
        </w:rPr>
        <w:t>4.</w:t>
      </w:r>
      <w:r>
        <w:rPr>
          <w:rFonts w:hint="cs"/>
          <w:rtl/>
        </w:rPr>
        <w:tab/>
        <w:t>ב"כ המאשימה, עו"ד שחר עידן, ביקש להטיל על הנאשם, עונש מאסר למשך 12 חודשים, אשר במרום הטווח המוסכם, לצד יתר רכיבי הענישה המוסכמים. התובע עמד על חומרתן של עבירות הסמים, השפעתן השלילית על החברה, והצורך להילחם בהן. נטען כי הסם שנתפס ברשות הנאשם נועד להפצה בדרך של עשרות או מאות מנות. ב"כ המאשימה הפנה לתסקיר שירות המבחן ממנו למד כי הנאשם פעל  בשל בצע כסף, לא נטל אחריות מלאה ולא הפנים את חומרת מעשיו. צוין כי לנאשם אין עבר פלילי. התובע ביקש להתחשב באינטרס הציבורי בקביעת העונש. התובע הפנה לפסיקה רלוונטית.</w:t>
      </w:r>
    </w:p>
    <w:p w14:paraId="64C76932" w14:textId="77777777" w:rsidR="00CA7A0F" w:rsidRDefault="00CA7A0F" w:rsidP="00CA7A0F">
      <w:pPr>
        <w:spacing w:line="360" w:lineRule="auto"/>
        <w:ind w:left="702" w:hanging="709"/>
        <w:jc w:val="both"/>
        <w:rPr>
          <w:rtl/>
        </w:rPr>
      </w:pPr>
    </w:p>
    <w:p w14:paraId="511B8FA9" w14:textId="77777777" w:rsidR="00CA7A0F" w:rsidRDefault="00CA7A0F" w:rsidP="00CA7A0F">
      <w:pPr>
        <w:tabs>
          <w:tab w:val="left" w:pos="368"/>
        </w:tabs>
        <w:spacing w:line="360" w:lineRule="auto"/>
        <w:ind w:left="368" w:hanging="324"/>
        <w:jc w:val="both"/>
        <w:rPr>
          <w:rtl/>
        </w:rPr>
      </w:pPr>
      <w:r>
        <w:rPr>
          <w:rFonts w:hint="cs"/>
          <w:rtl/>
        </w:rPr>
        <w:t>5.</w:t>
      </w:r>
      <w:r>
        <w:rPr>
          <w:rFonts w:hint="cs"/>
          <w:rtl/>
        </w:rPr>
        <w:tab/>
        <w:t xml:space="preserve">ב"כ הנאשם, עו"ד אחמד סיף-אלדין ותר, עתר להטיל על הנאשם 5 חודשי מאסר בפועל לריצוי בעבודות שירות, אשר בתחתית הטווח המוסכם, לצד יתר רכיבי הענישה המוסכמים. הסנגור מסר כי הנאשם תכנן לקבל עבור הסם סכום של 500 ₪ בלבד. נטען כי הנאשם בן 22, אב לתינוק שנולד ביום מעצרו, נעדר עבר פלילי, ולא נפתחו נגדו תיקים נוספים מאז הרשעתו בהליך זה. נטען כי הנאשם הודה בהזדמנות הראשונה ולקח אחריות על מעשיו. הסנגור טען כי שירות המבחן לא בא בהמלצה טיפולית בשל קשייו להשתלב במסגרת זו על רקע קשייו להתבטא בעברית. נטען כי לנאשם נסיבות חיים קשות. הסנגור טען כי אין זה ראוי להשיב את הנאשם למתקן כליאה, לאחר ששוחרר בהליך המעצר. ב"כ הנאשם ביקש את גזירת הדין במידת הרחמים. הסנגור הפנה לפסיקה. </w:t>
      </w:r>
    </w:p>
    <w:p w14:paraId="296320D6" w14:textId="77777777" w:rsidR="00CA7A0F" w:rsidRDefault="00CA7A0F" w:rsidP="00CA7A0F">
      <w:pPr>
        <w:spacing w:line="360" w:lineRule="auto"/>
        <w:ind w:left="720" w:hanging="676"/>
        <w:jc w:val="both"/>
        <w:rPr>
          <w:rtl/>
        </w:rPr>
      </w:pPr>
    </w:p>
    <w:p w14:paraId="5AEF6E6F" w14:textId="77777777" w:rsidR="00CA7A0F" w:rsidRDefault="00CA7A0F" w:rsidP="00CA7A0F">
      <w:pPr>
        <w:tabs>
          <w:tab w:val="left" w:pos="368"/>
        </w:tabs>
        <w:spacing w:line="360" w:lineRule="auto"/>
        <w:ind w:left="368" w:hanging="324"/>
        <w:jc w:val="both"/>
        <w:rPr>
          <w:rtl/>
        </w:rPr>
      </w:pPr>
      <w:r>
        <w:rPr>
          <w:rFonts w:hint="cs"/>
          <w:rtl/>
        </w:rPr>
        <w:t>6.</w:t>
      </w:r>
      <w:r>
        <w:rPr>
          <w:rFonts w:hint="cs"/>
          <w:rtl/>
        </w:rPr>
        <w:tab/>
        <w:t>הנאשם הביע צער על מעשיו ומסר כי למד מטעויותיו.</w:t>
      </w:r>
    </w:p>
    <w:p w14:paraId="2E6C771C" w14:textId="77777777" w:rsidR="00CA7A0F" w:rsidRDefault="00CA7A0F" w:rsidP="00CA7A0F">
      <w:pPr>
        <w:spacing w:line="360" w:lineRule="auto"/>
        <w:ind w:left="702" w:hanging="709"/>
        <w:jc w:val="both"/>
        <w:rPr>
          <w:rtl/>
        </w:rPr>
      </w:pPr>
    </w:p>
    <w:p w14:paraId="12223E66" w14:textId="77777777" w:rsidR="00CA7A0F" w:rsidRDefault="00CA7A0F" w:rsidP="00CA7A0F">
      <w:pPr>
        <w:spacing w:line="360" w:lineRule="auto"/>
        <w:ind w:left="702" w:hanging="709"/>
        <w:jc w:val="both"/>
        <w:rPr>
          <w:rtl/>
        </w:rPr>
      </w:pPr>
    </w:p>
    <w:p w14:paraId="46C07EA2" w14:textId="77777777" w:rsidR="00CA7A0F" w:rsidRDefault="00CA7A0F" w:rsidP="00CA7A0F">
      <w:pPr>
        <w:spacing w:line="360" w:lineRule="auto"/>
        <w:jc w:val="both"/>
        <w:rPr>
          <w:b/>
          <w:bCs/>
          <w:u w:val="single"/>
          <w:rtl/>
        </w:rPr>
      </w:pPr>
      <w:r>
        <w:rPr>
          <w:rFonts w:hint="cs"/>
          <w:b/>
          <w:bCs/>
          <w:u w:val="single"/>
          <w:rtl/>
        </w:rPr>
        <w:t>דיון והכרעה</w:t>
      </w:r>
    </w:p>
    <w:p w14:paraId="61C6F3CD" w14:textId="77777777" w:rsidR="00CA7A0F" w:rsidRDefault="00CA7A0F" w:rsidP="00CA7A0F">
      <w:pPr>
        <w:spacing w:line="360" w:lineRule="auto"/>
        <w:jc w:val="both"/>
        <w:rPr>
          <w:b/>
          <w:bCs/>
          <w:u w:val="single"/>
          <w:rtl/>
        </w:rPr>
      </w:pPr>
    </w:p>
    <w:p w14:paraId="2883EF58" w14:textId="77777777" w:rsidR="00CA7A0F" w:rsidRDefault="00CA7A0F" w:rsidP="00CA7A0F">
      <w:pPr>
        <w:tabs>
          <w:tab w:val="left" w:pos="368"/>
        </w:tabs>
        <w:spacing w:line="360" w:lineRule="auto"/>
        <w:ind w:left="368" w:hanging="324"/>
        <w:jc w:val="both"/>
        <w:rPr>
          <w:rtl/>
        </w:rPr>
      </w:pPr>
      <w:r>
        <w:rPr>
          <w:rFonts w:hint="cs"/>
          <w:rtl/>
        </w:rPr>
        <w:t>7.</w:t>
      </w:r>
      <w:r>
        <w:rPr>
          <w:rFonts w:hint="cs"/>
          <w:rtl/>
        </w:rPr>
        <w:tab/>
        <w:t>בהתאם לתיקון 113 ל</w:t>
      </w:r>
      <w:hyperlink r:id="rId20" w:history="1">
        <w:r w:rsidR="00521104" w:rsidRPr="00521104">
          <w:rPr>
            <w:color w:val="0000FF"/>
            <w:u w:val="single"/>
            <w:rtl/>
          </w:rPr>
          <w:t>חוק העונשין</w:t>
        </w:r>
      </w:hyperlink>
      <w:r>
        <w:rPr>
          <w:rFonts w:hint="cs"/>
          <w:rtl/>
        </w:rPr>
        <w:t xml:space="preserve">, נדרש יחס הולם בין חומרת מעשה העבירה בנסיבותיו ומידת אשמו של הנאשם לבין סוג ומידת העונש המוטל עליו. תחילה, אקבע את מתחם הענישה ההולם למעשה העבירה שביצע הנאשם. לאחר מכן, אקבע את העונש המתאים לנאשם, בהתחשב בנסיבותיו, </w:t>
      </w:r>
      <w:r>
        <w:rPr>
          <w:rFonts w:hint="cs"/>
          <w:rtl/>
        </w:rPr>
        <w:lastRenderedPageBreak/>
        <w:t>בצורך בהרתעתו ואחרים כמותו, ובכלל זה אבחן האם ראוי כי העונש יחרוג ממתחם הענישה (</w:t>
      </w:r>
      <w:hyperlink r:id="rId21" w:history="1">
        <w:r w:rsidR="00521104" w:rsidRPr="00521104">
          <w:rPr>
            <w:color w:val="0000FF"/>
            <w:u w:val="single"/>
            <w:rtl/>
          </w:rPr>
          <w:t>ע"פ 2918/13</w:t>
        </w:r>
      </w:hyperlink>
      <w:r>
        <w:rPr>
          <w:rFonts w:hint="cs"/>
          <w:rtl/>
        </w:rPr>
        <w:t xml:space="preserve"> </w:t>
      </w:r>
      <w:r>
        <w:rPr>
          <w:rFonts w:hint="cs"/>
          <w:b/>
          <w:bCs/>
          <w:rtl/>
        </w:rPr>
        <w:t>דבס נ' מדינת ישראל</w:t>
      </w:r>
      <w:r>
        <w:rPr>
          <w:rFonts w:hint="cs"/>
          <w:rtl/>
        </w:rPr>
        <w:t xml:space="preserve"> (ניתן ביום 18.7.2013); </w:t>
      </w:r>
      <w:hyperlink r:id="rId22" w:history="1">
        <w:r w:rsidR="00521104" w:rsidRPr="00521104">
          <w:rPr>
            <w:color w:val="0000FF"/>
            <w:u w:val="single"/>
            <w:rtl/>
          </w:rPr>
          <w:t>ע"פ 1903/13</w:t>
        </w:r>
      </w:hyperlink>
      <w:r>
        <w:rPr>
          <w:rFonts w:hint="cs"/>
          <w:rtl/>
        </w:rPr>
        <w:t xml:space="preserve"> </w:t>
      </w:r>
      <w:r>
        <w:rPr>
          <w:rFonts w:hint="cs"/>
          <w:b/>
          <w:bCs/>
          <w:rtl/>
        </w:rPr>
        <w:t>עיאשה נ' מדינת ישראל</w:t>
      </w:r>
      <w:r>
        <w:rPr>
          <w:rFonts w:hint="cs"/>
          <w:rtl/>
        </w:rPr>
        <w:t xml:space="preserve"> (ניתן ביום 14.7.2013); </w:t>
      </w:r>
      <w:hyperlink r:id="rId23" w:history="1">
        <w:r w:rsidR="00521104" w:rsidRPr="00521104">
          <w:rPr>
            <w:color w:val="0000FF"/>
            <w:u w:val="single"/>
            <w:rtl/>
          </w:rPr>
          <w:t>ע"פ 1323/13</w:t>
        </w:r>
      </w:hyperlink>
      <w:r>
        <w:rPr>
          <w:rFonts w:hint="cs"/>
          <w:rtl/>
        </w:rPr>
        <w:t xml:space="preserve"> </w:t>
      </w:r>
      <w:r>
        <w:rPr>
          <w:rFonts w:hint="cs"/>
          <w:b/>
          <w:bCs/>
          <w:rtl/>
        </w:rPr>
        <w:t>חסן נ' מדינת ישראל</w:t>
      </w:r>
      <w:r>
        <w:rPr>
          <w:rFonts w:hint="cs"/>
          <w:rtl/>
        </w:rPr>
        <w:t xml:space="preserve"> (ניתן ביום 5.6.2013)).</w:t>
      </w:r>
    </w:p>
    <w:p w14:paraId="6881BDB6" w14:textId="77777777" w:rsidR="00CA7A0F" w:rsidRDefault="00CA7A0F" w:rsidP="00CA7A0F">
      <w:pPr>
        <w:tabs>
          <w:tab w:val="left" w:pos="368"/>
        </w:tabs>
        <w:spacing w:line="360" w:lineRule="auto"/>
        <w:ind w:left="368" w:hanging="324"/>
        <w:jc w:val="both"/>
        <w:rPr>
          <w:rtl/>
        </w:rPr>
      </w:pPr>
    </w:p>
    <w:p w14:paraId="5457D88A" w14:textId="77777777" w:rsidR="00CA7A0F" w:rsidRDefault="00CA7A0F" w:rsidP="00CA7A0F">
      <w:pPr>
        <w:tabs>
          <w:tab w:val="left" w:pos="368"/>
        </w:tabs>
        <w:spacing w:line="360" w:lineRule="auto"/>
        <w:ind w:left="368" w:hanging="324"/>
        <w:jc w:val="both"/>
        <w:rPr>
          <w:rtl/>
        </w:rPr>
      </w:pPr>
    </w:p>
    <w:p w14:paraId="491B15C7" w14:textId="77777777" w:rsidR="00CA7A0F" w:rsidRDefault="00CA7A0F" w:rsidP="00CA7A0F">
      <w:pPr>
        <w:tabs>
          <w:tab w:val="left" w:pos="368"/>
        </w:tabs>
        <w:spacing w:line="360" w:lineRule="auto"/>
        <w:ind w:left="368" w:hanging="324"/>
        <w:jc w:val="both"/>
        <w:rPr>
          <w:rtl/>
        </w:rPr>
      </w:pPr>
    </w:p>
    <w:p w14:paraId="2F1F3F7F" w14:textId="77777777" w:rsidR="00CA7A0F" w:rsidRDefault="00CA7A0F" w:rsidP="00CA7A0F">
      <w:pPr>
        <w:tabs>
          <w:tab w:val="left" w:pos="368"/>
        </w:tabs>
        <w:spacing w:line="360" w:lineRule="auto"/>
        <w:ind w:left="368" w:hanging="324"/>
        <w:jc w:val="both"/>
        <w:rPr>
          <w:rtl/>
        </w:rPr>
      </w:pPr>
    </w:p>
    <w:p w14:paraId="5CD3BA8F" w14:textId="77777777" w:rsidR="00CA7A0F" w:rsidRDefault="00CA7A0F" w:rsidP="00CA7A0F">
      <w:pPr>
        <w:tabs>
          <w:tab w:val="left" w:pos="368"/>
        </w:tabs>
        <w:spacing w:line="360" w:lineRule="auto"/>
        <w:ind w:left="368" w:hanging="324"/>
        <w:jc w:val="both"/>
        <w:rPr>
          <w:rtl/>
        </w:rPr>
      </w:pPr>
    </w:p>
    <w:p w14:paraId="41A8EE78" w14:textId="77777777" w:rsidR="00CA7A0F" w:rsidRDefault="00CA7A0F" w:rsidP="00CA7A0F">
      <w:pPr>
        <w:tabs>
          <w:tab w:val="left" w:pos="368"/>
        </w:tabs>
        <w:spacing w:line="360" w:lineRule="auto"/>
        <w:ind w:left="368" w:hanging="324"/>
        <w:jc w:val="both"/>
        <w:rPr>
          <w:rtl/>
        </w:rPr>
      </w:pPr>
    </w:p>
    <w:p w14:paraId="08D1485D" w14:textId="77777777" w:rsidR="00CA7A0F" w:rsidRDefault="00CA7A0F" w:rsidP="00CA7A0F">
      <w:pPr>
        <w:spacing w:line="360" w:lineRule="auto"/>
        <w:jc w:val="both"/>
        <w:rPr>
          <w:b/>
          <w:bCs/>
          <w:u w:val="single"/>
          <w:rtl/>
        </w:rPr>
      </w:pPr>
      <w:r>
        <w:rPr>
          <w:rFonts w:hint="cs"/>
          <w:b/>
          <w:bCs/>
          <w:u w:val="single"/>
          <w:rtl/>
        </w:rPr>
        <w:t>מתחם הענישה ההולם</w:t>
      </w:r>
    </w:p>
    <w:p w14:paraId="5FD1D84C" w14:textId="77777777" w:rsidR="00CA7A0F" w:rsidRDefault="00CA7A0F" w:rsidP="00CA7A0F">
      <w:pPr>
        <w:tabs>
          <w:tab w:val="left" w:pos="368"/>
        </w:tabs>
        <w:spacing w:line="360" w:lineRule="auto"/>
        <w:ind w:left="368" w:hanging="324"/>
        <w:jc w:val="both"/>
        <w:rPr>
          <w:rtl/>
        </w:rPr>
      </w:pPr>
    </w:p>
    <w:p w14:paraId="1063C483" w14:textId="77777777" w:rsidR="00CA7A0F" w:rsidRDefault="00CA7A0F" w:rsidP="00CA7A0F">
      <w:pPr>
        <w:tabs>
          <w:tab w:val="left" w:pos="368"/>
        </w:tabs>
        <w:spacing w:line="360" w:lineRule="auto"/>
        <w:ind w:left="368" w:hanging="324"/>
        <w:jc w:val="both"/>
        <w:rPr>
          <w:rtl/>
        </w:rPr>
      </w:pPr>
      <w:r>
        <w:rPr>
          <w:rFonts w:hint="cs"/>
          <w:rtl/>
        </w:rPr>
        <w:t>8.</w:t>
      </w:r>
      <w:r>
        <w:rPr>
          <w:rFonts w:hint="cs"/>
          <w:rtl/>
        </w:rPr>
        <w:tab/>
        <w:t xml:space="preserve">כאמור בנסיבות במקרה דנא, הצדדים הסכימו על </w:t>
      </w:r>
      <w:r>
        <w:rPr>
          <w:rFonts w:hint="cs"/>
          <w:b/>
          <w:bCs/>
          <w:rtl/>
        </w:rPr>
        <w:t>טווח ענישה מוסכם</w:t>
      </w:r>
      <w:r>
        <w:rPr>
          <w:rFonts w:hint="cs"/>
          <w:rtl/>
        </w:rPr>
        <w:t xml:space="preserve">, בכל הנוגע לרכיב הענישה העיקרי, שהינו מאסר בפועל, שיכול וירוצה בעבודות שירות, ככל שמשך המאסר שיפסק יתאים לכך. המאשימה עתרה לרף העליון של הטווח המוסכם - 12 חודשי מאסר בפועל, ואילו ההגנה עתרה לרף התחתון של הטווח המוסכם - 5 חודשי מאסר לריצוי בעבודות שירות. </w:t>
      </w:r>
    </w:p>
    <w:p w14:paraId="5E769474" w14:textId="77777777" w:rsidR="00CA7A0F" w:rsidRDefault="00CA7A0F" w:rsidP="00CA7A0F">
      <w:pPr>
        <w:tabs>
          <w:tab w:val="left" w:pos="368"/>
        </w:tabs>
        <w:spacing w:line="360" w:lineRule="auto"/>
        <w:ind w:left="368" w:hanging="324"/>
        <w:jc w:val="both"/>
        <w:rPr>
          <w:rtl/>
        </w:rPr>
      </w:pPr>
    </w:p>
    <w:p w14:paraId="062A0F32" w14:textId="77777777" w:rsidR="00CA7A0F" w:rsidRDefault="00CA7A0F" w:rsidP="00CA7A0F">
      <w:pPr>
        <w:tabs>
          <w:tab w:val="left" w:pos="368"/>
        </w:tabs>
        <w:spacing w:line="360" w:lineRule="auto"/>
        <w:ind w:left="368" w:hanging="324"/>
        <w:jc w:val="both"/>
        <w:rPr>
          <w:rtl/>
        </w:rPr>
      </w:pPr>
      <w:r>
        <w:rPr>
          <w:rFonts w:hint="cs"/>
          <w:rtl/>
        </w:rPr>
        <w:t>9.</w:t>
      </w:r>
      <w:r>
        <w:rPr>
          <w:rFonts w:hint="cs"/>
          <w:rtl/>
        </w:rPr>
        <w:tab/>
        <w:t xml:space="preserve">מתחם העונש ההולם למעשה העבירה שביצע הנאשם, נקבע על בסיס שיקולים נורמטיביים ואובייקטיבים, בהתחשב בערך החברתי שנפגע מביצוע העבירה, במידת הפגיעה בערך זה, במדיניות הענישה הנהוגה ובנסיבות הקשורות בביצוע העבירה כמפורט </w:t>
      </w:r>
      <w:hyperlink r:id="rId24" w:history="1">
        <w:r w:rsidR="00D05141" w:rsidRPr="00D05141">
          <w:rPr>
            <w:color w:val="0000FF"/>
            <w:u w:val="single"/>
            <w:rtl/>
          </w:rPr>
          <w:t>בסעיף 40ט</w:t>
        </w:r>
      </w:hyperlink>
      <w:r>
        <w:rPr>
          <w:rFonts w:hint="cs"/>
          <w:rtl/>
        </w:rPr>
        <w:t xml:space="preserve"> ל</w:t>
      </w:r>
      <w:hyperlink r:id="rId25" w:history="1">
        <w:r w:rsidR="00521104" w:rsidRPr="00521104">
          <w:rPr>
            <w:color w:val="0000FF"/>
            <w:u w:val="single"/>
            <w:rtl/>
          </w:rPr>
          <w:t>חוק העונשין</w:t>
        </w:r>
      </w:hyperlink>
      <w:r>
        <w:rPr>
          <w:rFonts w:hint="cs"/>
          <w:rtl/>
        </w:rPr>
        <w:t xml:space="preserve"> (</w:t>
      </w:r>
      <w:hyperlink r:id="rId26" w:history="1">
        <w:r w:rsidR="00D05141" w:rsidRPr="00D05141">
          <w:rPr>
            <w:color w:val="0000FF"/>
            <w:u w:val="single"/>
            <w:rtl/>
          </w:rPr>
          <w:t>סעיף 40ג</w:t>
        </w:r>
      </w:hyperlink>
      <w:r>
        <w:rPr>
          <w:rFonts w:hint="cs"/>
          <w:rtl/>
        </w:rPr>
        <w:t xml:space="preserve"> לחוק העונשין). תיקון 113 ל</w:t>
      </w:r>
      <w:hyperlink r:id="rId27" w:history="1">
        <w:r w:rsidR="00521104" w:rsidRPr="00521104">
          <w:rPr>
            <w:color w:val="0000FF"/>
            <w:u w:val="single"/>
            <w:rtl/>
          </w:rPr>
          <w:t>חוק העונשין</w:t>
        </w:r>
      </w:hyperlink>
      <w:r>
        <w:rPr>
          <w:rFonts w:hint="cs"/>
          <w:rtl/>
        </w:rPr>
        <w:t xml:space="preserve"> לא הסדיר את היחס בין מתחם העונש שנקבע על ידי בית המשפט לבין טווח ענישה עליו הסכימו הצדדים במסגרת הסדר טיעון. נושא זה עתיד להיות מוסדר בחוק שיעסוק בהסדרי טיעון (ראו הצעת </w:t>
      </w:r>
      <w:hyperlink r:id="rId28" w:history="1">
        <w:r w:rsidR="00521104" w:rsidRPr="00521104">
          <w:rPr>
            <w:color w:val="0000FF"/>
            <w:u w:val="single"/>
            <w:rtl/>
          </w:rPr>
          <w:t>חוק סדר הדין הפלילי</w:t>
        </w:r>
      </w:hyperlink>
      <w:r>
        <w:rPr>
          <w:rFonts w:hint="cs"/>
          <w:rtl/>
        </w:rPr>
        <w:t xml:space="preserve"> (תיקון מס' 65) (הסדר טיעון), התש"ע-2010).</w:t>
      </w:r>
    </w:p>
    <w:p w14:paraId="1695979B" w14:textId="77777777" w:rsidR="00CA7A0F" w:rsidRDefault="00CA7A0F" w:rsidP="00CA7A0F">
      <w:pPr>
        <w:tabs>
          <w:tab w:val="left" w:pos="368"/>
        </w:tabs>
        <w:spacing w:line="360" w:lineRule="auto"/>
        <w:ind w:left="368" w:hanging="324"/>
        <w:jc w:val="both"/>
        <w:rPr>
          <w:rtl/>
        </w:rPr>
      </w:pPr>
    </w:p>
    <w:p w14:paraId="03E5CFC2" w14:textId="77777777" w:rsidR="00CA7A0F" w:rsidRDefault="00CA7A0F" w:rsidP="00CA7A0F">
      <w:pPr>
        <w:tabs>
          <w:tab w:val="left" w:pos="368"/>
        </w:tabs>
        <w:spacing w:line="360" w:lineRule="auto"/>
        <w:ind w:left="368" w:hanging="324"/>
        <w:jc w:val="both"/>
        <w:rPr>
          <w:rtl/>
        </w:rPr>
      </w:pPr>
      <w:r>
        <w:rPr>
          <w:rFonts w:hint="cs"/>
          <w:rtl/>
        </w:rPr>
        <w:t>10.</w:t>
      </w:r>
      <w:r>
        <w:rPr>
          <w:rFonts w:hint="cs"/>
          <w:rtl/>
        </w:rPr>
        <w:tab/>
        <w:t xml:space="preserve">בנסיבות בהן מוצג בפני בית המשפט הסדר טיעון, ובכלל זה טווח ענישה מוסכם, לרוב, ברקעו שיקולים שונים של הצדדים, הן אלה הקשורים בביצוע העבירה והן אלה שאינם קשורים בביצוע העבירה. לעתים חלק משיקולי הצדדים לחתור להסכמה באשר למתחם הענישה אינם נפרשים במלואם על כל פרטיהם בפני בית המשפט ובין אלה ניתן להצביע על קשיים ראייתיים, הרצון להימנע מהבאת עד מסוים, הרצון להימנע מחשיפת חומר חקירה וכו'. בדרך זו עשוי הטווח המוסכם שלא לבטא מתחם ענישה על בסיס שיקולים נורמטיביים ואובייקטיבים, נוכח השפעתם של שיקולים נוספים המטים אותו לכאן או לכאן (ראו: </w:t>
      </w:r>
      <w:hyperlink r:id="rId29" w:history="1">
        <w:r w:rsidR="00521104" w:rsidRPr="00521104">
          <w:rPr>
            <w:color w:val="0000FF"/>
            <w:u w:val="single"/>
            <w:rtl/>
          </w:rPr>
          <w:t>ת"פ (מח' י-ם) 27505-06-12</w:t>
        </w:r>
      </w:hyperlink>
      <w:r>
        <w:rPr>
          <w:rFonts w:hint="cs"/>
          <w:b/>
          <w:bCs/>
          <w:rtl/>
        </w:rPr>
        <w:t xml:space="preserve"> מדינת ישראל נ' אבו חארתיה </w:t>
      </w:r>
      <w:r>
        <w:rPr>
          <w:rFonts w:hint="cs"/>
          <w:rtl/>
        </w:rPr>
        <w:t xml:space="preserve">(ניתן ביום 27.12.2012); </w:t>
      </w:r>
      <w:hyperlink r:id="rId30" w:history="1">
        <w:r w:rsidR="00521104" w:rsidRPr="00521104">
          <w:rPr>
            <w:color w:val="0000FF"/>
            <w:u w:val="single"/>
            <w:rtl/>
          </w:rPr>
          <w:t>ת"פ 5093-02-10</w:t>
        </w:r>
      </w:hyperlink>
      <w:r>
        <w:rPr>
          <w:rFonts w:hint="cs"/>
          <w:rtl/>
        </w:rPr>
        <w:t xml:space="preserve"> (מח' ב"ש) </w:t>
      </w:r>
      <w:r>
        <w:rPr>
          <w:rFonts w:hint="cs"/>
          <w:b/>
          <w:bCs/>
          <w:rtl/>
        </w:rPr>
        <w:t>מדינת ישראל נ' גיאמי</w:t>
      </w:r>
      <w:r>
        <w:rPr>
          <w:rFonts w:hint="cs"/>
          <w:rtl/>
        </w:rPr>
        <w:t xml:space="preserve"> (ניתן ביום 18.2.2013); </w:t>
      </w:r>
      <w:hyperlink r:id="rId31" w:history="1">
        <w:r w:rsidR="00521104" w:rsidRPr="00521104">
          <w:rPr>
            <w:color w:val="0000FF"/>
            <w:u w:val="single"/>
            <w:rtl/>
          </w:rPr>
          <w:t>ת"פ 38431-04-12</w:t>
        </w:r>
      </w:hyperlink>
      <w:r>
        <w:rPr>
          <w:rFonts w:hint="cs"/>
          <w:rtl/>
        </w:rPr>
        <w:t xml:space="preserve"> (שלום ת"א) </w:t>
      </w:r>
      <w:r>
        <w:rPr>
          <w:rFonts w:hint="cs"/>
          <w:b/>
          <w:bCs/>
          <w:rtl/>
        </w:rPr>
        <w:t>מדינת ישראל נ' רוזנפלד</w:t>
      </w:r>
      <w:r>
        <w:rPr>
          <w:rFonts w:hint="cs"/>
          <w:rtl/>
        </w:rPr>
        <w:t xml:space="preserve"> (ניתן ביום מיום 3.2.2013); ד"ר יניב ואקי ופרופ' יורם </w:t>
      </w:r>
      <w:hyperlink r:id="rId32" w:history="1">
        <w:r w:rsidR="00521104" w:rsidRPr="00521104">
          <w:rPr>
            <w:color w:val="0000FF"/>
            <w:u w:val="single"/>
            <w:rtl/>
          </w:rPr>
          <w:t xml:space="preserve">רבין במאמרם "הבניית שיקול הדעת השיפוטי </w:t>
        </w:r>
      </w:hyperlink>
      <w:r>
        <w:rPr>
          <w:rFonts w:hint="cs"/>
          <w:b/>
          <w:bCs/>
          <w:rtl/>
        </w:rPr>
        <w:t xml:space="preserve"> בענישה. תמונת מצב והרהורים על העתיד לבוא</w:t>
      </w:r>
      <w:r>
        <w:rPr>
          <w:rFonts w:hint="cs"/>
          <w:rtl/>
        </w:rPr>
        <w:t>", הפרקליט נב תשע"ג, פרק ו(1), עמודים 467-468).</w:t>
      </w:r>
    </w:p>
    <w:p w14:paraId="225FECAB" w14:textId="77777777" w:rsidR="00CA7A0F" w:rsidRDefault="00CA7A0F" w:rsidP="00CA7A0F">
      <w:pPr>
        <w:tabs>
          <w:tab w:val="left" w:pos="368"/>
        </w:tabs>
        <w:spacing w:line="360" w:lineRule="auto"/>
        <w:ind w:left="368" w:hanging="324"/>
        <w:jc w:val="both"/>
        <w:rPr>
          <w:rtl/>
        </w:rPr>
      </w:pPr>
    </w:p>
    <w:p w14:paraId="55070F85" w14:textId="77777777" w:rsidR="00CA7A0F" w:rsidRDefault="00CA7A0F" w:rsidP="00CA7A0F">
      <w:pPr>
        <w:tabs>
          <w:tab w:val="left" w:pos="368"/>
        </w:tabs>
        <w:spacing w:line="360" w:lineRule="auto"/>
        <w:ind w:left="368" w:hanging="324"/>
        <w:jc w:val="both"/>
        <w:rPr>
          <w:rtl/>
        </w:rPr>
      </w:pPr>
      <w:r>
        <w:rPr>
          <w:rFonts w:hint="cs"/>
          <w:rtl/>
        </w:rPr>
        <w:t>11.</w:t>
      </w:r>
      <w:r>
        <w:rPr>
          <w:rFonts w:hint="cs"/>
          <w:rtl/>
        </w:rPr>
        <w:tab/>
        <w:t xml:space="preserve">בפסק דין שניתן בבית המשפט העליון, </w:t>
      </w:r>
      <w:hyperlink r:id="rId33" w:history="1">
        <w:r w:rsidR="00521104" w:rsidRPr="00521104">
          <w:rPr>
            <w:color w:val="0000FF"/>
            <w:u w:val="single"/>
            <w:rtl/>
          </w:rPr>
          <w:t>ע"פ 2588/15</w:t>
        </w:r>
      </w:hyperlink>
      <w:r>
        <w:rPr>
          <w:rFonts w:hint="cs"/>
          <w:rtl/>
        </w:rPr>
        <w:t xml:space="preserve"> </w:t>
      </w:r>
      <w:r>
        <w:rPr>
          <w:rFonts w:hint="cs"/>
          <w:b/>
          <w:bCs/>
          <w:rtl/>
        </w:rPr>
        <w:t>רפאל ארונוב נ' מדינת ישראל</w:t>
      </w:r>
      <w:r>
        <w:rPr>
          <w:rFonts w:hint="cs"/>
          <w:rtl/>
        </w:rPr>
        <w:t xml:space="preserve"> (ניתן ביום 8.6.2015), נקבע, בין היתר כי: "</w:t>
      </w:r>
      <w:r>
        <w:rPr>
          <w:rFonts w:hint="cs"/>
          <w:b/>
          <w:bCs/>
          <w:rtl/>
        </w:rPr>
        <w:t>כידוע, טווח הענישה ההולם נקבע על ידי בית המשפט ועל ידו בלבד. אכן, הצדדים להליך הם שמעלים את הטווחים הראויים בעיניהם, אף במסגרת הסדר טיעון, אך בסופו של יום יהא זה בית המשפט אשר יקבע מוסדית את גבולות המתחם</w:t>
      </w:r>
      <w:r>
        <w:rPr>
          <w:rFonts w:hint="cs"/>
          <w:rtl/>
        </w:rPr>
        <w:t xml:space="preserve">".  </w:t>
      </w:r>
    </w:p>
    <w:p w14:paraId="0AEB5263" w14:textId="77777777" w:rsidR="00CA7A0F" w:rsidRDefault="00CA7A0F" w:rsidP="00CA7A0F">
      <w:pPr>
        <w:tabs>
          <w:tab w:val="left" w:pos="368"/>
        </w:tabs>
        <w:spacing w:line="360" w:lineRule="auto"/>
        <w:ind w:left="368" w:hanging="324"/>
        <w:jc w:val="both"/>
        <w:rPr>
          <w:rtl/>
        </w:rPr>
      </w:pPr>
    </w:p>
    <w:p w14:paraId="00C4571E" w14:textId="77777777" w:rsidR="00CA7A0F" w:rsidRDefault="00CA7A0F" w:rsidP="00CA7A0F">
      <w:pPr>
        <w:tabs>
          <w:tab w:val="left" w:pos="368"/>
        </w:tabs>
        <w:spacing w:line="360" w:lineRule="auto"/>
        <w:ind w:left="368" w:hanging="324"/>
        <w:jc w:val="both"/>
        <w:rPr>
          <w:rtl/>
        </w:rPr>
      </w:pPr>
    </w:p>
    <w:p w14:paraId="074EC164" w14:textId="77777777" w:rsidR="00CA7A0F" w:rsidRDefault="00CA7A0F" w:rsidP="00CA7A0F">
      <w:pPr>
        <w:tabs>
          <w:tab w:val="left" w:pos="368"/>
        </w:tabs>
        <w:spacing w:line="360" w:lineRule="auto"/>
        <w:ind w:left="368" w:hanging="324"/>
        <w:jc w:val="both"/>
        <w:rPr>
          <w:rtl/>
        </w:rPr>
      </w:pPr>
      <w:r>
        <w:rPr>
          <w:rFonts w:hint="cs"/>
          <w:rtl/>
        </w:rPr>
        <w:tab/>
        <w:t>ב</w:t>
      </w:r>
      <w:hyperlink r:id="rId34" w:history="1">
        <w:r w:rsidR="00521104" w:rsidRPr="00521104">
          <w:rPr>
            <w:color w:val="0000FF"/>
            <w:u w:val="single"/>
            <w:rtl/>
          </w:rPr>
          <w:t>ע"פ 512/13</w:t>
        </w:r>
      </w:hyperlink>
      <w:r>
        <w:rPr>
          <w:rFonts w:hint="cs"/>
          <w:rtl/>
        </w:rPr>
        <w:t xml:space="preserve"> </w:t>
      </w:r>
      <w:r>
        <w:rPr>
          <w:rFonts w:hint="cs"/>
          <w:b/>
          <w:bCs/>
          <w:rtl/>
        </w:rPr>
        <w:t>פלוני נ' מדינת ישראל</w:t>
      </w:r>
      <w:r>
        <w:rPr>
          <w:rFonts w:hint="cs"/>
          <w:rtl/>
        </w:rPr>
        <w:t xml:space="preserve"> (ניתן ביום 4.12.2013), נקבע כי ההבחנה המהותית בין מתחם ענישה לבין טווח ענישה מוסכם במסגרת הסדר טיעון איננה חד משמעית בכל המקרים. מרבית השיקולים הקובעים את מתחם הענישה משפיעים גם על טווח העונש המושג בהסדר טיעון. על כן בחלק מהמקרים תהיה חפיפה מסוימת בין השיקולים הנשקלים בעת קביעת מתחם הענישה, לבין אלה המובאים בחשבון בקביעת טווח ענישה מוסכם בהסדר טיעון, אך יש להיזהר מטשטוש, שעלול להיווצר כתוצאה מחפיפה חלקית זו, שאיננה גורעת מההבדלים המשמעותיים בין שני המושגים הנ"ל. וכך נקבע:</w:t>
      </w:r>
    </w:p>
    <w:p w14:paraId="735DC23D" w14:textId="77777777" w:rsidR="00CA7A0F" w:rsidRDefault="00CA7A0F" w:rsidP="00CA7A0F">
      <w:pPr>
        <w:tabs>
          <w:tab w:val="left" w:pos="368"/>
        </w:tabs>
        <w:spacing w:line="360" w:lineRule="auto"/>
        <w:ind w:left="368" w:hanging="324"/>
        <w:jc w:val="both"/>
        <w:rPr>
          <w:rtl/>
        </w:rPr>
      </w:pPr>
    </w:p>
    <w:p w14:paraId="6EF18A3E" w14:textId="77777777" w:rsidR="00CA7A0F" w:rsidRDefault="00CA7A0F" w:rsidP="00CA7A0F">
      <w:pPr>
        <w:spacing w:line="360" w:lineRule="auto"/>
        <w:ind w:left="850" w:right="142"/>
        <w:jc w:val="both"/>
        <w:rPr>
          <w:b/>
          <w:bCs/>
          <w:rtl/>
        </w:rPr>
      </w:pPr>
      <w:r>
        <w:rPr>
          <w:rFonts w:ascii="David" w:hAnsi="David" w:hint="cs"/>
          <w:b/>
          <w:bCs/>
          <w:rtl/>
        </w:rPr>
        <w:t>"...טווח ענישה מוסכם במסגרת הסדר טיעון - שונה ממתחם הענישה בשני מובנים עיקריים:</w:t>
      </w:r>
    </w:p>
    <w:p w14:paraId="43515A4B" w14:textId="77777777" w:rsidR="00CA7A0F" w:rsidRDefault="00CA7A0F" w:rsidP="00CA7A0F">
      <w:pPr>
        <w:tabs>
          <w:tab w:val="left" w:pos="1275"/>
        </w:tabs>
        <w:spacing w:line="360" w:lineRule="auto"/>
        <w:ind w:left="1275" w:right="142" w:hanging="425"/>
        <w:jc w:val="both"/>
        <w:rPr>
          <w:b/>
          <w:bCs/>
          <w:rtl/>
        </w:rPr>
      </w:pPr>
      <w:r>
        <w:rPr>
          <w:rFonts w:hint="cs"/>
          <w:b/>
          <w:bCs/>
          <w:rtl/>
        </w:rPr>
        <w:t>(א)</w:t>
      </w:r>
      <w:r>
        <w:rPr>
          <w:rFonts w:hint="cs"/>
          <w:b/>
          <w:bCs/>
          <w:rtl/>
        </w:rPr>
        <w:tab/>
        <w:t>ברמה המבנית - טווח ענישה מוסכם בהסדר טיעון נקבע על ידי הצדדים, בעוד שמתחם ענישה נקבע על ידי בית המשפט, בעקבות הנחיות המחוקק.</w:t>
      </w:r>
    </w:p>
    <w:p w14:paraId="2301CD22" w14:textId="77777777" w:rsidR="00CA7A0F" w:rsidRDefault="00CA7A0F" w:rsidP="00CA7A0F">
      <w:pPr>
        <w:tabs>
          <w:tab w:val="left" w:pos="1275"/>
        </w:tabs>
        <w:spacing w:line="360" w:lineRule="auto"/>
        <w:ind w:left="1275" w:right="142" w:hanging="425"/>
        <w:jc w:val="both"/>
        <w:rPr>
          <w:b/>
          <w:bCs/>
          <w:rtl/>
        </w:rPr>
      </w:pPr>
      <w:r>
        <w:rPr>
          <w:rFonts w:hint="cs"/>
          <w:b/>
          <w:bCs/>
          <w:rtl/>
        </w:rPr>
        <w:t>(ב)</w:t>
      </w:r>
      <w:r>
        <w:rPr>
          <w:rFonts w:hint="cs"/>
          <w:b/>
          <w:bCs/>
          <w:rtl/>
        </w:rPr>
        <w:tab/>
        <w:t xml:space="preserve">ברמה המהותית - טווח ענישה מוסכם בהסדר טיעון הוא תוצאה של מיצוי כוח המיקוח של כל אחד מהצדדים להליך, בשים לב לכלל נסיבות התיק ולכן הוא משקף בעיקר את האינטרסים המידיים של שני הצדדים (תוך התחשבות בעובדה כי רשויות התביעה מייצגות אינטרס ציבורי רחב יותר). </w:t>
      </w:r>
    </w:p>
    <w:p w14:paraId="17275BAF" w14:textId="77777777" w:rsidR="00CA7A0F" w:rsidRDefault="00CA7A0F" w:rsidP="00CA7A0F">
      <w:pPr>
        <w:spacing w:line="360" w:lineRule="auto"/>
        <w:ind w:left="850" w:right="142"/>
        <w:jc w:val="both"/>
        <w:rPr>
          <w:b/>
          <w:bCs/>
          <w:rtl/>
        </w:rPr>
      </w:pPr>
      <w:r>
        <w:rPr>
          <w:rFonts w:hint="cs"/>
          <w:b/>
          <w:bCs/>
          <w:rtl/>
        </w:rPr>
        <w:t xml:space="preserve">מתחם הענישה, משקף לעומת זאת, קביעה נורמטיבית של בית המשפט בדבר האיזון הראוי בעיני החברה בין כלל השיקולים הרלבנטיים על פי המתכונת הקבועה בחוק. ככזה, מתחם הענישה אינו תלוי איפוא בכוח המיקוח של מי מהצדדים, או בהעדפותיהם (האישיות, או המוסדיות)". </w:t>
      </w:r>
    </w:p>
    <w:p w14:paraId="5BF5033E" w14:textId="77777777" w:rsidR="00CA7A0F" w:rsidRDefault="00CA7A0F" w:rsidP="00CA7A0F">
      <w:pPr>
        <w:tabs>
          <w:tab w:val="left" w:pos="368"/>
        </w:tabs>
        <w:spacing w:line="360" w:lineRule="auto"/>
        <w:ind w:left="368" w:hanging="324"/>
        <w:jc w:val="both"/>
        <w:rPr>
          <w:rtl/>
        </w:rPr>
      </w:pPr>
    </w:p>
    <w:p w14:paraId="618A43FA" w14:textId="77777777" w:rsidR="00CA7A0F" w:rsidRDefault="00CA7A0F" w:rsidP="00CA7A0F">
      <w:pPr>
        <w:tabs>
          <w:tab w:val="left" w:pos="368"/>
        </w:tabs>
        <w:spacing w:line="360" w:lineRule="auto"/>
        <w:ind w:left="368" w:hanging="324"/>
        <w:jc w:val="both"/>
        <w:rPr>
          <w:rtl/>
        </w:rPr>
      </w:pPr>
    </w:p>
    <w:p w14:paraId="105EC196" w14:textId="77777777" w:rsidR="00CA7A0F" w:rsidRDefault="00CA7A0F" w:rsidP="00CA7A0F">
      <w:pPr>
        <w:tabs>
          <w:tab w:val="left" w:pos="368"/>
        </w:tabs>
        <w:spacing w:line="360" w:lineRule="auto"/>
        <w:ind w:left="368" w:hanging="324"/>
        <w:jc w:val="both"/>
        <w:rPr>
          <w:rtl/>
        </w:rPr>
      </w:pPr>
      <w:r>
        <w:rPr>
          <w:rFonts w:hint="cs"/>
          <w:rtl/>
        </w:rPr>
        <w:t>12.</w:t>
      </w:r>
      <w:r>
        <w:rPr>
          <w:rFonts w:hint="cs"/>
          <w:rtl/>
        </w:rPr>
        <w:tab/>
        <w:t>הנה כי כן, קיומו של הסדר טיעון המתייחס לעונשו של הנאשם, בין אם קובע טווח ענישה ובין אם עונש קונקרטי, אינו מבטל את תחולת ההוראות שנקבעו במסגרת תיקון 113 ל</w:t>
      </w:r>
      <w:hyperlink r:id="rId35" w:history="1">
        <w:r w:rsidR="00521104" w:rsidRPr="00521104">
          <w:rPr>
            <w:color w:val="0000FF"/>
            <w:u w:val="single"/>
            <w:rtl/>
          </w:rPr>
          <w:t>חוק העונשין</w:t>
        </w:r>
      </w:hyperlink>
      <w:r>
        <w:rPr>
          <w:rFonts w:hint="cs"/>
          <w:rtl/>
        </w:rPr>
        <w:t xml:space="preserve">. בית המשפט אינו כבול לעונש עליו הסכימו הצדדים במסגרת הסדר טיעון, ועליו לבוחנו בהתאם לאמות המידה המקובלות, כאשר אליהן יתווספו, ואף יקבלו מקום מרכזי, השיקולים המתחייבים מקיומו של הסדר טיעון (ראו </w:t>
      </w:r>
      <w:hyperlink r:id="rId36" w:history="1">
        <w:r w:rsidR="00521104" w:rsidRPr="00521104">
          <w:rPr>
            <w:color w:val="0000FF"/>
            <w:u w:val="single"/>
            <w:rtl/>
          </w:rPr>
          <w:t>ע"פ 3856/13</w:t>
        </w:r>
      </w:hyperlink>
      <w:r>
        <w:rPr>
          <w:rFonts w:hint="cs"/>
          <w:rtl/>
        </w:rPr>
        <w:t xml:space="preserve"> </w:t>
      </w:r>
      <w:r>
        <w:rPr>
          <w:rFonts w:hint="cs"/>
          <w:b/>
          <w:bCs/>
          <w:rtl/>
        </w:rPr>
        <w:t>שי גוני נ' מדינת ישראל</w:t>
      </w:r>
      <w:r>
        <w:rPr>
          <w:rFonts w:hint="cs"/>
          <w:rtl/>
        </w:rPr>
        <w:t xml:space="preserve"> (ניתן ביום 3.2.2014)). על כן, גם בהתקיים הסדר טיעון, על בית המשפט לשקול גם את היחס בין טווח הענישה המוצע על ידי הצדדים לבין טווח הענישה הראוי בעיניו וככל שקיימת סטייה מהותית מטווח זה, הן לחומרה והן לקולה, עליו לתת דעתו לכך ולשקול האם יש מקום לכבד את ההסדר. בעניין זה, אין בתיקון 113 כדי לשנות מהמדיניות המשפטית שהייתה נהוגה ערב כניסתו לתוקף, לפיה בית המשפט אינו כבול לעונש עליו הסכימו הצדדים במסגרת הסדר טיעון, ועליו לבוחנו בהתאם לאמות המידה המקובלות, ובכלל זה השיקולים הייחודיים המתחייבים מקיומו של הסדר טיעון (כמתחייב מפסיקת בית המשפט העליון ב</w:t>
      </w:r>
      <w:hyperlink r:id="rId37" w:history="1">
        <w:r w:rsidR="00521104" w:rsidRPr="00521104">
          <w:rPr>
            <w:color w:val="0000FF"/>
            <w:u w:val="single"/>
            <w:rtl/>
          </w:rPr>
          <w:t>ע"פ 1958/98 פלוני נ' מדינת ישראל, פ"ד נ"ז</w:t>
        </w:r>
      </w:hyperlink>
      <w:r>
        <w:rPr>
          <w:rFonts w:hint="cs"/>
          <w:rtl/>
        </w:rPr>
        <w:t>(1), 577).</w:t>
      </w:r>
    </w:p>
    <w:p w14:paraId="1E356352" w14:textId="77777777" w:rsidR="00CA7A0F" w:rsidRDefault="00CA7A0F" w:rsidP="00CA7A0F">
      <w:pPr>
        <w:tabs>
          <w:tab w:val="left" w:pos="368"/>
        </w:tabs>
        <w:spacing w:line="360" w:lineRule="auto"/>
        <w:ind w:left="368" w:hanging="324"/>
        <w:jc w:val="both"/>
        <w:rPr>
          <w:rtl/>
        </w:rPr>
      </w:pPr>
    </w:p>
    <w:p w14:paraId="013013BD" w14:textId="77777777" w:rsidR="00CA7A0F" w:rsidRDefault="00CA7A0F" w:rsidP="00CA7A0F">
      <w:pPr>
        <w:tabs>
          <w:tab w:val="left" w:pos="368"/>
        </w:tabs>
        <w:spacing w:line="360" w:lineRule="auto"/>
        <w:ind w:left="368" w:hanging="324"/>
        <w:jc w:val="both"/>
        <w:rPr>
          <w:rtl/>
        </w:rPr>
      </w:pPr>
      <w:r>
        <w:rPr>
          <w:rFonts w:hint="cs"/>
          <w:rtl/>
        </w:rPr>
        <w:tab/>
        <w:t xml:space="preserve">בהקשר זה, יפים דבריו של פרופ' אורן גזל-איל במאמרו: "העונש ההולם לא תמיד יהלום", </w:t>
      </w:r>
      <w:r>
        <w:rPr>
          <w:rFonts w:hint="cs"/>
          <w:b/>
          <w:bCs/>
          <w:rtl/>
        </w:rPr>
        <w:t xml:space="preserve">עורך הדין </w:t>
      </w:r>
      <w:r>
        <w:rPr>
          <w:rFonts w:hint="cs"/>
          <w:rtl/>
        </w:rPr>
        <w:t xml:space="preserve">(אוקטובר 2013) 70, 72, כך: </w:t>
      </w:r>
    </w:p>
    <w:p w14:paraId="2C71F00F" w14:textId="77777777" w:rsidR="00CA7A0F" w:rsidRDefault="00CA7A0F" w:rsidP="00CA7A0F">
      <w:pPr>
        <w:tabs>
          <w:tab w:val="left" w:pos="368"/>
        </w:tabs>
        <w:spacing w:line="360" w:lineRule="auto"/>
        <w:ind w:left="368" w:hanging="324"/>
        <w:jc w:val="both"/>
        <w:rPr>
          <w:rtl/>
        </w:rPr>
      </w:pPr>
    </w:p>
    <w:p w14:paraId="2A134459" w14:textId="77777777" w:rsidR="00CA7A0F" w:rsidRDefault="00CA7A0F" w:rsidP="00CA7A0F">
      <w:pPr>
        <w:spacing w:line="360" w:lineRule="auto"/>
        <w:ind w:left="850" w:right="142"/>
        <w:jc w:val="both"/>
        <w:rPr>
          <w:b/>
          <w:bCs/>
          <w:rtl/>
        </w:rPr>
      </w:pPr>
      <w:r>
        <w:rPr>
          <w:rFonts w:hint="cs"/>
          <w:b/>
          <w:bCs/>
          <w:rtl/>
        </w:rPr>
        <w:t xml:space="preserve">"במקרים שיש בהם ספק אם ההסדר עומד במבחני האיזון, מצווה כיום בית המשפט לקבוע הן את מתחם הענישה ואת העונש בתוך המתחם שהיה נקבע אלמלא היה הסדר, על פי נסיבות שאינן קשורות בביצוע העבירה. </w:t>
      </w:r>
      <w:r>
        <w:rPr>
          <w:rFonts w:ascii="David" w:hAnsi="David" w:hint="cs"/>
          <w:b/>
          <w:bCs/>
          <w:rtl/>
        </w:rPr>
        <w:t>לאחר</w:t>
      </w:r>
      <w:r>
        <w:rPr>
          <w:rFonts w:hint="cs"/>
          <w:b/>
          <w:bCs/>
          <w:rtl/>
        </w:rPr>
        <w:t xml:space="preserve"> מכן עליו להשוות את העונש המוסכם לזה שצפוי היה להיות מוטל על נאשם ללא ההסדר, כדי לבחון מה מידת ההקלה שהנאשם זכה לה ולהכריע אם הקלה זו עומדת במבחן האיזון. כאשר יאושר טווח ענישה מוסכם בדרך זו, יקבע בית המשפט בשלב השלישי את העונש המדויק בתוך הטווח בהתחשב במלוא שיקולי הענישה, כמו גם בהסדר הטיעון ובאינטרס הציבורי שהוביל לעריכתו."</w:t>
      </w:r>
    </w:p>
    <w:p w14:paraId="4031C198" w14:textId="77777777" w:rsidR="00CA7A0F" w:rsidRDefault="00CA7A0F" w:rsidP="00CA7A0F">
      <w:pPr>
        <w:tabs>
          <w:tab w:val="left" w:pos="368"/>
        </w:tabs>
        <w:spacing w:line="360" w:lineRule="auto"/>
        <w:ind w:left="368" w:hanging="324"/>
        <w:jc w:val="both"/>
        <w:rPr>
          <w:rtl/>
        </w:rPr>
      </w:pPr>
    </w:p>
    <w:p w14:paraId="4FDCA957" w14:textId="77777777" w:rsidR="00CA7A0F" w:rsidRDefault="00CA7A0F" w:rsidP="00CA7A0F">
      <w:pPr>
        <w:spacing w:line="360" w:lineRule="auto"/>
        <w:jc w:val="both"/>
        <w:rPr>
          <w:b/>
          <w:bCs/>
          <w:u w:val="single"/>
          <w:rtl/>
        </w:rPr>
      </w:pPr>
    </w:p>
    <w:p w14:paraId="5F594AEA" w14:textId="77777777" w:rsidR="00CA7A0F" w:rsidRDefault="00CA7A0F" w:rsidP="00CA7A0F">
      <w:pPr>
        <w:spacing w:line="360" w:lineRule="auto"/>
        <w:jc w:val="both"/>
        <w:rPr>
          <w:b/>
          <w:bCs/>
          <w:u w:val="single"/>
          <w:rtl/>
        </w:rPr>
      </w:pPr>
      <w:r>
        <w:rPr>
          <w:rFonts w:hint="cs"/>
          <w:b/>
          <w:bCs/>
          <w:u w:val="single"/>
          <w:rtl/>
        </w:rPr>
        <w:t>מתחם הענישה ההולם</w:t>
      </w:r>
    </w:p>
    <w:p w14:paraId="7F9BEAD1" w14:textId="77777777" w:rsidR="00CA7A0F" w:rsidRDefault="00CA7A0F" w:rsidP="00CA7A0F">
      <w:pPr>
        <w:spacing w:line="360" w:lineRule="auto"/>
        <w:jc w:val="both"/>
        <w:rPr>
          <w:b/>
          <w:bCs/>
          <w:u w:val="single"/>
          <w:rtl/>
        </w:rPr>
      </w:pPr>
    </w:p>
    <w:p w14:paraId="1B8C3EC7" w14:textId="77777777" w:rsidR="00CA7A0F" w:rsidRDefault="00CA7A0F" w:rsidP="00CA7A0F">
      <w:pPr>
        <w:tabs>
          <w:tab w:val="left" w:pos="368"/>
        </w:tabs>
        <w:spacing w:line="360" w:lineRule="auto"/>
        <w:ind w:left="368" w:hanging="324"/>
        <w:jc w:val="both"/>
        <w:rPr>
          <w:rtl/>
        </w:rPr>
      </w:pPr>
      <w:r>
        <w:rPr>
          <w:rFonts w:hint="cs"/>
          <w:rtl/>
        </w:rPr>
        <w:t>13.</w:t>
      </w:r>
      <w:r>
        <w:rPr>
          <w:rFonts w:hint="cs"/>
          <w:rtl/>
        </w:rPr>
        <w:tab/>
        <w:t xml:space="preserve">מתחם העונש ההולם יקבע אם כן בהתאם לעקרון ההלימה כפי שהוגדר </w:t>
      </w:r>
      <w:hyperlink r:id="rId38" w:history="1">
        <w:r w:rsidR="0093277F" w:rsidRPr="0093277F">
          <w:rPr>
            <w:color w:val="0000FF"/>
            <w:u w:val="single"/>
            <w:rtl/>
          </w:rPr>
          <w:t>בסעיף 40ג(א)</w:t>
        </w:r>
      </w:hyperlink>
      <w:r>
        <w:rPr>
          <w:rFonts w:hint="cs"/>
          <w:rtl/>
        </w:rPr>
        <w:t xml:space="preserve"> ל</w:t>
      </w:r>
      <w:hyperlink r:id="rId39" w:history="1">
        <w:r w:rsidR="00521104" w:rsidRPr="00521104">
          <w:rPr>
            <w:color w:val="0000FF"/>
            <w:u w:val="single"/>
            <w:rtl/>
          </w:rPr>
          <w:t>חוק העונשין</w:t>
        </w:r>
      </w:hyperlink>
      <w:r>
        <w:rPr>
          <w:rFonts w:hint="cs"/>
          <w:rtl/>
        </w:rPr>
        <w:t>. על מנת ליישמו יש להתחשב בשלושת אלה: בערך החברתי שנפגע מביצוע העבירה ובמידת הפגיעה בו; בנסיבות הקשורות בביצוע העבירה ומידת אשמו של הנאשם ובמדיניות הענישה הנוהגת (</w:t>
      </w:r>
      <w:hyperlink r:id="rId40" w:history="1">
        <w:r w:rsidR="00521104" w:rsidRPr="00521104">
          <w:rPr>
            <w:color w:val="0000FF"/>
            <w:u w:val="single"/>
            <w:rtl/>
          </w:rPr>
          <w:t>ע"פ 8641/12</w:t>
        </w:r>
      </w:hyperlink>
      <w:r>
        <w:rPr>
          <w:rFonts w:hint="cs"/>
          <w:rtl/>
        </w:rPr>
        <w:t xml:space="preserve"> </w:t>
      </w:r>
      <w:r>
        <w:rPr>
          <w:rFonts w:hint="cs"/>
          <w:b/>
          <w:bCs/>
          <w:rtl/>
        </w:rPr>
        <w:t>סעד נ' מדינת ישראל</w:t>
      </w:r>
      <w:r>
        <w:rPr>
          <w:rFonts w:hint="cs"/>
          <w:rtl/>
        </w:rPr>
        <w:t xml:space="preserve"> (ניתן ביום 5.8.2013)). להלן אעמוד על מרכיבי מתחם העונש ההולם. </w:t>
      </w:r>
    </w:p>
    <w:p w14:paraId="6E510CAA" w14:textId="77777777" w:rsidR="00CA7A0F" w:rsidRDefault="00CA7A0F" w:rsidP="00CA7A0F">
      <w:pPr>
        <w:spacing w:line="360" w:lineRule="auto"/>
        <w:ind w:left="720" w:hanging="720"/>
        <w:jc w:val="both"/>
        <w:rPr>
          <w:rtl/>
        </w:rPr>
      </w:pPr>
    </w:p>
    <w:p w14:paraId="365FD4B0" w14:textId="77777777" w:rsidR="00CA7A0F" w:rsidRDefault="00CA7A0F" w:rsidP="00CA7A0F">
      <w:pPr>
        <w:tabs>
          <w:tab w:val="left" w:pos="368"/>
        </w:tabs>
        <w:spacing w:line="360" w:lineRule="auto"/>
        <w:ind w:left="368" w:hanging="324"/>
        <w:jc w:val="both"/>
        <w:rPr>
          <w:rtl/>
        </w:rPr>
      </w:pPr>
      <w:r>
        <w:rPr>
          <w:rFonts w:hint="cs"/>
          <w:rtl/>
        </w:rPr>
        <w:t>14.</w:t>
      </w:r>
      <w:r>
        <w:rPr>
          <w:rFonts w:hint="cs"/>
          <w:b/>
          <w:bCs/>
          <w:rtl/>
        </w:rPr>
        <w:tab/>
        <w:t xml:space="preserve">הערכים החברתיים </w:t>
      </w:r>
      <w:r>
        <w:rPr>
          <w:rFonts w:hint="cs"/>
          <w:rtl/>
        </w:rPr>
        <w:t xml:space="preserve">שנפגעים בביצוע עבירה של </w:t>
      </w:r>
      <w:r>
        <w:rPr>
          <w:rFonts w:hint="cs"/>
          <w:b/>
          <w:bCs/>
          <w:rtl/>
        </w:rPr>
        <w:t>החזקת הסמים שלא לצריכה עצמית</w:t>
      </w:r>
      <w:r>
        <w:rPr>
          <w:rFonts w:hint="cs"/>
          <w:rtl/>
        </w:rPr>
        <w:t xml:space="preserve">, לצדה קבע המחוקק עונש מרבי של 20 שנות מאסר, הם הגנה על שלום ובריאות הציבור מפני פגיעתם הקשה של סמים מסוכנים ומניעת נזקים כלכליים וחברתיים עקיפים, לרבות ביצוע </w:t>
      </w:r>
      <w:r>
        <w:rPr>
          <w:rFonts w:ascii="David" w:hAnsi="David" w:hint="cs"/>
          <w:rtl/>
        </w:rPr>
        <w:t xml:space="preserve">עבירות נוספות לצורך מימון רכישת הסם. </w:t>
      </w:r>
      <w:r>
        <w:rPr>
          <w:rFonts w:hint="cs"/>
          <w:rtl/>
        </w:rPr>
        <w:t xml:space="preserve">קולמוסים רבים נשתברו זה מכבר על ידי בתי המשפט בנושא נגע הסמים והנזקים הישירים והעקיפים הכרוכים בו. עבירות הסמים הן בגדר רעה חולה שפשה בחברתנו ומחובתו של בית המשפט לתרום חלקו למיגור נגע זה באמצעות הטלת עונשים מחמירים ומרתיעים (ראו למשל: </w:t>
      </w:r>
      <w:hyperlink r:id="rId41" w:history="1">
        <w:r w:rsidR="00521104" w:rsidRPr="00521104">
          <w:rPr>
            <w:color w:val="0000FF"/>
            <w:u w:val="single"/>
            <w:rtl/>
          </w:rPr>
          <w:t>ע"פ 4998/95 מדינת ישראל נ' מיגל אוקטביו גומז-קרדוסו, פ"ד נא</w:t>
        </w:r>
      </w:hyperlink>
      <w:r>
        <w:rPr>
          <w:rFonts w:hint="cs"/>
          <w:rtl/>
        </w:rPr>
        <w:t xml:space="preserve">(3) 769; </w:t>
      </w:r>
      <w:hyperlink r:id="rId42" w:history="1">
        <w:r w:rsidR="00521104" w:rsidRPr="00521104">
          <w:rPr>
            <w:color w:val="0000FF"/>
            <w:u w:val="single"/>
            <w:rtl/>
          </w:rPr>
          <w:t>ע"פ 6029/03 מדינת ישראל נ' גולן שמאי, פ"ד נח</w:t>
        </w:r>
      </w:hyperlink>
      <w:r>
        <w:rPr>
          <w:rFonts w:hint="cs"/>
          <w:rtl/>
        </w:rPr>
        <w:t xml:space="preserve">(2) 734, 738-739; </w:t>
      </w:r>
      <w:hyperlink r:id="rId43" w:history="1">
        <w:r w:rsidR="00521104" w:rsidRPr="00521104">
          <w:rPr>
            <w:color w:val="0000FF"/>
            <w:u w:val="single"/>
            <w:rtl/>
          </w:rPr>
          <w:t>ע"פ 4381/05</w:t>
        </w:r>
      </w:hyperlink>
      <w:r>
        <w:rPr>
          <w:rFonts w:hint="cs"/>
          <w:b/>
          <w:bCs/>
          <w:rtl/>
        </w:rPr>
        <w:t xml:space="preserve"> אבו זקיקה נ' מדינת ישראל</w:t>
      </w:r>
      <w:r>
        <w:rPr>
          <w:rFonts w:hint="cs"/>
          <w:rtl/>
        </w:rPr>
        <w:t xml:space="preserve"> (ניתן ביום 12.7.2006); </w:t>
      </w:r>
      <w:hyperlink r:id="rId44" w:history="1">
        <w:r w:rsidR="00521104" w:rsidRPr="00521104">
          <w:rPr>
            <w:color w:val="0000FF"/>
            <w:u w:val="single"/>
            <w:rtl/>
          </w:rPr>
          <w:t>ע"פ 211/09</w:t>
        </w:r>
      </w:hyperlink>
      <w:r>
        <w:rPr>
          <w:rFonts w:hint="cs"/>
          <w:rtl/>
        </w:rPr>
        <w:t xml:space="preserve"> </w:t>
      </w:r>
      <w:r>
        <w:rPr>
          <w:rFonts w:hint="cs"/>
          <w:b/>
          <w:bCs/>
          <w:rtl/>
        </w:rPr>
        <w:t>אזולאי נ' מדינת ישראל</w:t>
      </w:r>
      <w:r>
        <w:rPr>
          <w:rFonts w:hint="cs"/>
          <w:rtl/>
        </w:rPr>
        <w:t xml:space="preserve"> (22.6.2010)). עוד ראו ב</w:t>
      </w:r>
      <w:hyperlink r:id="rId45" w:history="1">
        <w:r w:rsidR="00521104" w:rsidRPr="00521104">
          <w:rPr>
            <w:color w:val="0000FF"/>
            <w:u w:val="single"/>
            <w:rtl/>
          </w:rPr>
          <w:t>ע"פ 1345/08</w:t>
        </w:r>
      </w:hyperlink>
      <w:r>
        <w:rPr>
          <w:rFonts w:hint="cs"/>
          <w:rtl/>
        </w:rPr>
        <w:t xml:space="preserve"> </w:t>
      </w:r>
      <w:r>
        <w:rPr>
          <w:rFonts w:hint="cs"/>
          <w:b/>
          <w:bCs/>
          <w:rtl/>
        </w:rPr>
        <w:t>ארקדי איסטרחוב נ' מדינת ישראל</w:t>
      </w:r>
      <w:r>
        <w:rPr>
          <w:rFonts w:hint="cs"/>
          <w:rtl/>
        </w:rPr>
        <w:t xml:space="preserve"> (ניתן ביום 18.5.2009), שם נאמר:</w:t>
      </w:r>
    </w:p>
    <w:p w14:paraId="156F3264" w14:textId="77777777" w:rsidR="00CA7A0F" w:rsidRDefault="00CA7A0F" w:rsidP="00CA7A0F">
      <w:pPr>
        <w:spacing w:line="360" w:lineRule="auto"/>
        <w:ind w:left="720" w:hanging="676"/>
        <w:jc w:val="both"/>
        <w:rPr>
          <w:rtl/>
        </w:rPr>
      </w:pPr>
    </w:p>
    <w:p w14:paraId="65ECE09F" w14:textId="77777777" w:rsidR="00CA7A0F" w:rsidRDefault="00CA7A0F" w:rsidP="00CA7A0F">
      <w:pPr>
        <w:spacing w:line="360" w:lineRule="auto"/>
        <w:ind w:left="850" w:right="142"/>
        <w:jc w:val="both"/>
        <w:rPr>
          <w:rFonts w:ascii="David" w:hAnsi="David"/>
          <w:b/>
          <w:bCs/>
          <w:rtl/>
        </w:rPr>
      </w:pPr>
      <w:r>
        <w:rPr>
          <w:rFonts w:ascii="David" w:hAnsi="David" w:hint="cs"/>
          <w:b/>
          <w:bCs/>
          <w:rtl/>
        </w:rPr>
        <w:t xml:space="preserve">"אין מנוס מהכבדת היד על המחזיקים סמים שלא לצריכה עצמית, שכל בר דעת מבין כי נועדו לצריכת הזולת, קרי, להוספת שמן על מדורת הסמים אשר להבותיה אופפות רבים וטובים, או רבים שהיו טובים. עבירה זו היא תאומתה הסטטוטורית של עבירת הסחר בסמים, אלא שלא ניתן להוכיח לגביה את </w:t>
      </w:r>
      <w:r w:rsidRPr="0072149C">
        <w:rPr>
          <w:rFonts w:hint="cs"/>
          <w:b/>
          <w:bCs/>
          <w:rtl/>
        </w:rPr>
        <w:t>הסחר</w:t>
      </w:r>
      <w:r>
        <w:rPr>
          <w:rFonts w:ascii="David" w:hAnsi="David" w:hint="cs"/>
          <w:b/>
          <w:bCs/>
          <w:rtl/>
        </w:rPr>
        <w:t xml:space="preserve"> עצמו, ונקבע לשתיהן עונשה זהה, עונש מירבי של עשרים שנות מאסר וקנס פי עשרים וחמישה מזה הקבוע בסעיף 61(א)(4) ל</w:t>
      </w:r>
      <w:hyperlink r:id="rId46" w:history="1">
        <w:r w:rsidR="00521104" w:rsidRPr="00521104">
          <w:rPr>
            <w:rFonts w:ascii="David" w:hAnsi="David"/>
            <w:b/>
            <w:bCs/>
            <w:color w:val="0000FF"/>
            <w:u w:val="single"/>
            <w:rtl/>
          </w:rPr>
          <w:t>חוק העונשין</w:t>
        </w:r>
      </w:hyperlink>
      <w:r>
        <w:rPr>
          <w:rFonts w:ascii="David" w:hAnsi="David" w:hint="cs"/>
          <w:b/>
          <w:bCs/>
          <w:rtl/>
        </w:rPr>
        <w:t>, העומד כיום על 202,000 ₪... יידעו המעורבים בסמים שלא לצריכה עצמית, כי יד המשפט תכבד עליהם".</w:t>
      </w:r>
    </w:p>
    <w:p w14:paraId="4B7219BD" w14:textId="77777777" w:rsidR="00CA7A0F" w:rsidRDefault="00CA7A0F" w:rsidP="00CA7A0F">
      <w:pPr>
        <w:spacing w:line="360" w:lineRule="auto"/>
        <w:ind w:left="720" w:hanging="676"/>
        <w:jc w:val="both"/>
        <w:rPr>
          <w:b/>
          <w:bCs/>
          <w:rtl/>
        </w:rPr>
      </w:pPr>
    </w:p>
    <w:p w14:paraId="735249AA" w14:textId="77777777" w:rsidR="00CA7A0F" w:rsidRDefault="00CA7A0F" w:rsidP="00CA7A0F">
      <w:pPr>
        <w:tabs>
          <w:tab w:val="left" w:pos="368"/>
        </w:tabs>
        <w:spacing w:line="360" w:lineRule="auto"/>
        <w:ind w:left="368" w:hanging="324"/>
        <w:jc w:val="both"/>
        <w:rPr>
          <w:rFonts w:ascii="David" w:hAnsi="David"/>
          <w:b/>
          <w:bCs/>
          <w:rtl/>
        </w:rPr>
      </w:pPr>
      <w:r>
        <w:rPr>
          <w:rFonts w:ascii="David" w:hAnsi="David" w:hint="cs"/>
          <w:rtl/>
        </w:rPr>
        <w:t>15.</w:t>
      </w:r>
      <w:r>
        <w:rPr>
          <w:rFonts w:ascii="David" w:hAnsi="David" w:hint="cs"/>
          <w:rtl/>
        </w:rPr>
        <w:tab/>
      </w:r>
      <w:r>
        <w:rPr>
          <w:rFonts w:ascii="David" w:hAnsi="David" w:hint="cs"/>
          <w:b/>
          <w:bCs/>
          <w:rtl/>
        </w:rPr>
        <w:t>מידת הפגיעה</w:t>
      </w:r>
      <w:r>
        <w:rPr>
          <w:rFonts w:ascii="David" w:hAnsi="David" w:hint="cs"/>
          <w:rtl/>
        </w:rPr>
        <w:t xml:space="preserve"> בערכים החברתיים המוגנים במקרה דנא הינה משמעותית. אמנם, הנאשם החזיק בסם מסוג חשיש, שאינו נמנה על הסמים הקשים ביותר מבין הסמים </w:t>
      </w:r>
      <w:r>
        <w:rPr>
          <w:rFonts w:hint="cs"/>
          <w:rtl/>
        </w:rPr>
        <w:t>המסוכנים</w:t>
      </w:r>
      <w:r>
        <w:rPr>
          <w:rFonts w:ascii="David" w:hAnsi="David" w:hint="cs"/>
          <w:rtl/>
        </w:rPr>
        <w:t xml:space="preserve">, אך הפגיעה בערך המוגן </w:t>
      </w:r>
      <w:r>
        <w:rPr>
          <w:rFonts w:hint="cs"/>
          <w:rtl/>
        </w:rPr>
        <w:t>נלמדת</w:t>
      </w:r>
      <w:r>
        <w:rPr>
          <w:rFonts w:ascii="David" w:hAnsi="David" w:hint="cs"/>
          <w:rtl/>
        </w:rPr>
        <w:t xml:space="preserve"> מכמות הסם, העולה על 1.435 ק"ג גרם חשיש, וחלוקתה ל-15 פלטות המיועדות להפצה. אף אם אין מדובר בסמים שנתפסים כסמים "קשים", פגיעתם מוחשית, הן באופן ישיר והן בהיותם סמים "פותחי שער" לסמים אחרים, קשים ומסוכנים יותר. לצד זאת, חלקו של מוביל הסם בשרשרת פחות מזה של השולח ומכאן עצמת הפגיעה שלא ברף העליון (ראו: </w:t>
      </w:r>
      <w:hyperlink r:id="rId47" w:history="1">
        <w:r w:rsidR="00521104" w:rsidRPr="00521104">
          <w:rPr>
            <w:rFonts w:ascii="David" w:hAnsi="David"/>
            <w:color w:val="0000FF"/>
            <w:u w:val="single"/>
            <w:rtl/>
          </w:rPr>
          <w:t>ע"פ 6348/05</w:t>
        </w:r>
      </w:hyperlink>
      <w:r>
        <w:rPr>
          <w:rFonts w:ascii="David" w:hAnsi="David" w:hint="cs"/>
          <w:b/>
          <w:bCs/>
          <w:rtl/>
        </w:rPr>
        <w:t xml:space="preserve"> מדינת ישראל נ' איאס תלאווי </w:t>
      </w:r>
      <w:r>
        <w:rPr>
          <w:rFonts w:ascii="David" w:hAnsi="David" w:hint="cs"/>
          <w:rtl/>
        </w:rPr>
        <w:t>(ניתן ביום 1.8.2005)).</w:t>
      </w:r>
    </w:p>
    <w:p w14:paraId="36E0EF14" w14:textId="77777777" w:rsidR="00CA7A0F" w:rsidRDefault="00CA7A0F" w:rsidP="00CA7A0F">
      <w:pPr>
        <w:spacing w:line="360" w:lineRule="auto"/>
        <w:ind w:left="720" w:hanging="676"/>
        <w:jc w:val="both"/>
        <w:rPr>
          <w:rFonts w:ascii="David" w:hAnsi="David"/>
          <w:rtl/>
        </w:rPr>
      </w:pPr>
    </w:p>
    <w:p w14:paraId="6E409087" w14:textId="77777777" w:rsidR="00CA7A0F" w:rsidRDefault="00CA7A0F" w:rsidP="00CA7A0F">
      <w:pPr>
        <w:tabs>
          <w:tab w:val="left" w:pos="368"/>
        </w:tabs>
        <w:spacing w:line="360" w:lineRule="auto"/>
        <w:ind w:left="368" w:hanging="324"/>
        <w:jc w:val="both"/>
        <w:rPr>
          <w:rtl/>
        </w:rPr>
      </w:pPr>
      <w:r>
        <w:rPr>
          <w:rFonts w:ascii="David" w:hAnsi="David" w:hint="cs"/>
          <w:rtl/>
        </w:rPr>
        <w:t>16.</w:t>
      </w:r>
      <w:r>
        <w:rPr>
          <w:rFonts w:ascii="David" w:hAnsi="David" w:hint="cs"/>
          <w:rtl/>
        </w:rPr>
        <w:tab/>
      </w:r>
      <w:r>
        <w:rPr>
          <w:rFonts w:hint="cs"/>
          <w:b/>
          <w:bCs/>
          <w:rtl/>
        </w:rPr>
        <w:t xml:space="preserve">בבחינת הנסיבות הקשורות בביצוע העבירה </w:t>
      </w:r>
      <w:r>
        <w:rPr>
          <w:rFonts w:hint="cs"/>
          <w:rtl/>
        </w:rPr>
        <w:t>(</w:t>
      </w:r>
      <w:hyperlink r:id="rId48" w:history="1">
        <w:r w:rsidR="0093277F" w:rsidRPr="0093277F">
          <w:rPr>
            <w:color w:val="0000FF"/>
            <w:u w:val="single"/>
            <w:rtl/>
          </w:rPr>
          <w:t>סעיף 40ט</w:t>
        </w:r>
      </w:hyperlink>
      <w:r>
        <w:rPr>
          <w:rFonts w:hint="cs"/>
          <w:rtl/>
        </w:rPr>
        <w:t xml:space="preserve"> ל</w:t>
      </w:r>
      <w:hyperlink r:id="rId49" w:history="1">
        <w:r w:rsidR="00521104" w:rsidRPr="00521104">
          <w:rPr>
            <w:color w:val="0000FF"/>
            <w:u w:val="single"/>
            <w:rtl/>
          </w:rPr>
          <w:t>חוק העונשין</w:t>
        </w:r>
      </w:hyperlink>
      <w:r>
        <w:rPr>
          <w:rFonts w:hint="cs"/>
          <w:rtl/>
        </w:rPr>
        <w:t>) נתתי דעתי לחלקו המרכזי והעיקרי של הנאשם בביצוע העבירה, סוג הסם שאינו נחשב לסם הקשה ביותר, הכמות (קרוב לקילו וחצי) וחלוקתה ל-15 פלטות שיועדו להפצה תמורת סכום של 500 ₪. אין ספק כי קדם תכנון מוקדם לביצוע העבירה, אשר בא לידי ביטוי בקבלת כמות גדולה של סמים שנועדה להפצה והסלקתם בתא המטען ברכב. הנזק שהיה צפוי להיגרם מביצוע העבירה מתבטא בפגיעה ביחיד ובחברה מהפצת ושימוש בסמים, וההשלכות הבריאותיות והכלכליות הכרוכות בכך, לרבות פוטנציאל לביצוע עבירות רכוש, כתוצאה מהתמכרות לסמים והצורך לממנם. עם זאת, לא ניכר כי במקרה דנא נגרם נזק בפועל. הנאשם פעל על רקע רצונו להשיג כסף קל, היה מודע למעשיו, לא נגרעה יכולתו להבין את הפסול שבהם ועל אף זאת לא חדל לעשותם. לא נשמעו סיבות לזכות הנאשם, מצוקתו הכלכלית אינה מצדיקה את ביצוע העבירה, והוא אינו קרוב לסייג לאחריות פלילית.</w:t>
      </w:r>
    </w:p>
    <w:p w14:paraId="3DF58913" w14:textId="77777777" w:rsidR="00CA7A0F" w:rsidRDefault="00CA7A0F" w:rsidP="00CA7A0F">
      <w:pPr>
        <w:spacing w:line="360" w:lineRule="auto"/>
        <w:ind w:left="720" w:hanging="720"/>
        <w:jc w:val="both"/>
        <w:rPr>
          <w:rtl/>
        </w:rPr>
      </w:pPr>
    </w:p>
    <w:p w14:paraId="0F986576" w14:textId="77777777" w:rsidR="00CA7A0F" w:rsidRDefault="00CA7A0F" w:rsidP="00CA7A0F">
      <w:pPr>
        <w:spacing w:line="360" w:lineRule="auto"/>
        <w:ind w:left="720" w:hanging="720"/>
        <w:jc w:val="both"/>
        <w:rPr>
          <w:rtl/>
        </w:rPr>
      </w:pPr>
    </w:p>
    <w:p w14:paraId="64792540" w14:textId="77777777" w:rsidR="00CA7A0F" w:rsidRDefault="00CA7A0F" w:rsidP="00CA7A0F">
      <w:pPr>
        <w:tabs>
          <w:tab w:val="left" w:pos="368"/>
        </w:tabs>
        <w:spacing w:line="360" w:lineRule="auto"/>
        <w:ind w:left="368" w:hanging="324"/>
        <w:jc w:val="both"/>
        <w:rPr>
          <w:rtl/>
        </w:rPr>
      </w:pPr>
      <w:r>
        <w:rPr>
          <w:rFonts w:hint="cs"/>
          <w:rtl/>
        </w:rPr>
        <w:t>17.</w:t>
      </w:r>
      <w:r>
        <w:rPr>
          <w:rFonts w:hint="cs"/>
          <w:rtl/>
        </w:rPr>
        <w:tab/>
      </w:r>
      <w:r>
        <w:rPr>
          <w:rFonts w:hint="cs"/>
          <w:b/>
          <w:bCs/>
          <w:rtl/>
        </w:rPr>
        <w:t>מדיניות הענישה הנוהגת בעבירה של החזקת סמים שלא לצריכה עצמית</w:t>
      </w:r>
      <w:r>
        <w:rPr>
          <w:rFonts w:hint="cs"/>
          <w:rtl/>
        </w:rPr>
        <w:t>, מציגה טווח ענישה רחב, התלוי בנסיבות ביצועה, כמות הסם, סוג הסם, אופן החזקתו, ונסיבות המעשה והעושה. כך למשל:</w:t>
      </w:r>
    </w:p>
    <w:p w14:paraId="1696E9BC" w14:textId="77777777" w:rsidR="00CA7A0F" w:rsidRDefault="00CA7A0F" w:rsidP="00CA7A0F">
      <w:pPr>
        <w:tabs>
          <w:tab w:val="left" w:pos="368"/>
        </w:tabs>
        <w:spacing w:line="360" w:lineRule="auto"/>
        <w:ind w:left="368" w:hanging="324"/>
        <w:jc w:val="both"/>
        <w:rPr>
          <w:rtl/>
        </w:rPr>
      </w:pPr>
    </w:p>
    <w:p w14:paraId="369190D6" w14:textId="77777777" w:rsidR="00CA7A0F" w:rsidRDefault="00CA7A0F" w:rsidP="00CA7A0F">
      <w:pPr>
        <w:tabs>
          <w:tab w:val="left" w:pos="749"/>
        </w:tabs>
        <w:spacing w:line="360" w:lineRule="auto"/>
        <w:ind w:left="749" w:hanging="425"/>
        <w:jc w:val="both"/>
        <w:rPr>
          <w:rtl/>
        </w:rPr>
      </w:pPr>
      <w:r>
        <w:rPr>
          <w:rFonts w:hint="cs"/>
          <w:rtl/>
        </w:rPr>
        <w:t>א.</w:t>
      </w:r>
      <w:r>
        <w:rPr>
          <w:rFonts w:hint="cs"/>
          <w:rtl/>
        </w:rPr>
        <w:tab/>
        <w:t>ב</w:t>
      </w:r>
      <w:hyperlink r:id="rId50" w:history="1">
        <w:r w:rsidR="00521104" w:rsidRPr="00521104">
          <w:rPr>
            <w:color w:val="0000FF"/>
            <w:u w:val="single"/>
            <w:rtl/>
          </w:rPr>
          <w:t>רע"פ 1830/16</w:t>
        </w:r>
      </w:hyperlink>
      <w:r>
        <w:rPr>
          <w:rFonts w:hint="cs"/>
          <w:rtl/>
        </w:rPr>
        <w:t xml:space="preserve"> </w:t>
      </w:r>
      <w:r>
        <w:rPr>
          <w:rFonts w:hint="cs"/>
          <w:b/>
          <w:bCs/>
          <w:rtl/>
        </w:rPr>
        <w:t>סאלם רקיבי נ' מדינת ישראל</w:t>
      </w:r>
      <w:r>
        <w:rPr>
          <w:rFonts w:hint="cs"/>
          <w:rtl/>
        </w:rPr>
        <w:t xml:space="preserve"> (ניתן ביום 11.4.2016) נדחתה בקשת רשות ערעור, שהגיש נאשם על פסק דין שבו נדחה ערעורו על חומרת העונש. הנאשם הורשע, על יסוד הודאתו, בעבירה של החזקת סמים שלא לצריכה עצמית, בכך שהחזיק ברכב שבו נהג כ-2.3 ק"ג חשיש מחולקים לעטיפות שונות. בערכאה הראשונה נקבע</w:t>
      </w:r>
      <w:r>
        <w:rPr>
          <w:rFonts w:hint="cs"/>
          <w:b/>
          <w:bCs/>
          <w:rtl/>
        </w:rPr>
        <w:t xml:space="preserve"> מתחם ענישה הולם שנע בין 6 ל-15 חודשי מאסר בפועל</w:t>
      </w:r>
      <w:r>
        <w:rPr>
          <w:rFonts w:hint="cs"/>
          <w:rtl/>
        </w:rPr>
        <w:t xml:space="preserve">. על הנאשם, ללא עבר פלילי, הוטלו </w:t>
      </w:r>
      <w:r>
        <w:rPr>
          <w:rFonts w:hint="cs"/>
          <w:b/>
          <w:bCs/>
          <w:rtl/>
        </w:rPr>
        <w:t>8 חודשי מאסר בפועל</w:t>
      </w:r>
      <w:r>
        <w:rPr>
          <w:rFonts w:hint="cs"/>
          <w:rtl/>
        </w:rPr>
        <w:t>, מאסרים מותנים וקנס בסך 4,000 ₪. הרכב חולט.</w:t>
      </w:r>
    </w:p>
    <w:p w14:paraId="096E3CC9" w14:textId="77777777" w:rsidR="00CA7A0F" w:rsidRDefault="00CA7A0F" w:rsidP="00CA7A0F">
      <w:pPr>
        <w:tabs>
          <w:tab w:val="left" w:pos="749"/>
        </w:tabs>
        <w:spacing w:line="360" w:lineRule="auto"/>
        <w:ind w:left="749" w:hanging="425"/>
        <w:jc w:val="both"/>
        <w:rPr>
          <w:rtl/>
        </w:rPr>
      </w:pPr>
    </w:p>
    <w:p w14:paraId="651E92BB" w14:textId="77777777" w:rsidR="00CA7A0F" w:rsidRDefault="00CA7A0F" w:rsidP="00CA7A0F">
      <w:pPr>
        <w:tabs>
          <w:tab w:val="left" w:pos="749"/>
        </w:tabs>
        <w:spacing w:line="360" w:lineRule="auto"/>
        <w:ind w:left="749" w:hanging="425"/>
        <w:jc w:val="both"/>
        <w:rPr>
          <w:rtl/>
        </w:rPr>
      </w:pPr>
      <w:r>
        <w:rPr>
          <w:rFonts w:hint="cs"/>
          <w:rtl/>
        </w:rPr>
        <w:t>ב.</w:t>
      </w:r>
      <w:r>
        <w:rPr>
          <w:rFonts w:hint="cs"/>
          <w:rtl/>
        </w:rPr>
        <w:tab/>
        <w:t>ב</w:t>
      </w:r>
      <w:hyperlink r:id="rId51" w:history="1">
        <w:r w:rsidR="00521104" w:rsidRPr="00521104">
          <w:rPr>
            <w:color w:val="0000FF"/>
            <w:u w:val="single"/>
            <w:rtl/>
          </w:rPr>
          <w:t>רע"פ 2557/12</w:t>
        </w:r>
      </w:hyperlink>
      <w:r>
        <w:rPr>
          <w:rFonts w:hint="cs"/>
          <w:rtl/>
        </w:rPr>
        <w:t xml:space="preserve"> </w:t>
      </w:r>
      <w:r>
        <w:rPr>
          <w:rFonts w:hint="cs"/>
          <w:b/>
          <w:bCs/>
          <w:rtl/>
        </w:rPr>
        <w:t>פרדי תמם נ' מדינת ישראל</w:t>
      </w:r>
      <w:r>
        <w:rPr>
          <w:rFonts w:hint="cs"/>
          <w:rtl/>
        </w:rPr>
        <w:t xml:space="preserve"> (ניתן ביום 5.4.2012) נדחתה בקשת רשות הערעור שהגיש נאשם אשר הורשע, על יסוד הודאתו, בביצוע עבירות של החזקת סמים שלא לשימוש עצמי והסתייעות ברכב לביצוע פשע, בכך שהחזיק בתא מטען הרכב בו נסע, סם מסוג חשיש במשקל 10,450 גרם נטו, מחולק לאריזות. על הנאשם, בעל עבר פלילי, הוטלו </w:t>
      </w:r>
      <w:r>
        <w:rPr>
          <w:rFonts w:hint="cs"/>
          <w:b/>
          <w:bCs/>
          <w:rtl/>
        </w:rPr>
        <w:t>14 חודשי מאסר בפועל</w:t>
      </w:r>
      <w:r>
        <w:rPr>
          <w:rFonts w:hint="cs"/>
          <w:rtl/>
        </w:rPr>
        <w:t>, מאסר מותנה, פסילת רישיון נהיגה וקנס בסך 10,000 ₪.</w:t>
      </w:r>
    </w:p>
    <w:p w14:paraId="60EFF41C" w14:textId="77777777" w:rsidR="00CA7A0F" w:rsidRDefault="00CA7A0F" w:rsidP="00CA7A0F">
      <w:pPr>
        <w:tabs>
          <w:tab w:val="left" w:pos="749"/>
        </w:tabs>
        <w:spacing w:line="360" w:lineRule="auto"/>
        <w:ind w:left="749" w:hanging="425"/>
        <w:jc w:val="both"/>
        <w:rPr>
          <w:rtl/>
        </w:rPr>
      </w:pPr>
    </w:p>
    <w:p w14:paraId="7074D0C0" w14:textId="77777777" w:rsidR="00CA7A0F" w:rsidRDefault="00CA7A0F" w:rsidP="00CA7A0F">
      <w:pPr>
        <w:tabs>
          <w:tab w:val="left" w:pos="749"/>
        </w:tabs>
        <w:spacing w:line="360" w:lineRule="auto"/>
        <w:ind w:left="749" w:hanging="425"/>
        <w:jc w:val="both"/>
        <w:rPr>
          <w:rtl/>
        </w:rPr>
      </w:pPr>
      <w:r>
        <w:rPr>
          <w:rFonts w:hint="cs"/>
          <w:rtl/>
        </w:rPr>
        <w:t>ג.</w:t>
      </w:r>
      <w:r>
        <w:rPr>
          <w:rFonts w:hint="cs"/>
          <w:rtl/>
        </w:rPr>
        <w:tab/>
        <w:t>ב</w:t>
      </w:r>
      <w:hyperlink r:id="rId52" w:history="1">
        <w:r w:rsidR="00521104" w:rsidRPr="00521104">
          <w:rPr>
            <w:color w:val="0000FF"/>
            <w:u w:val="single"/>
            <w:rtl/>
          </w:rPr>
          <w:t>ע"פ 6348/05</w:t>
        </w:r>
      </w:hyperlink>
      <w:r>
        <w:rPr>
          <w:rFonts w:hint="cs"/>
          <w:rtl/>
        </w:rPr>
        <w:t xml:space="preserve"> </w:t>
      </w:r>
      <w:r>
        <w:rPr>
          <w:rFonts w:hint="cs"/>
          <w:b/>
          <w:bCs/>
          <w:rtl/>
        </w:rPr>
        <w:t>מדינת ישראל נ' איאס תלאווי</w:t>
      </w:r>
      <w:r>
        <w:rPr>
          <w:rFonts w:hint="cs"/>
          <w:rtl/>
        </w:rPr>
        <w:t xml:space="preserve"> (ניתן ביום 1.8.2005) נדחו ערעורי הצדדים על גזר הדין של בית משפט המחוזי. הנאשם הורשע, עם אחרת, על יסוד הודאתו בביצוע עבירות של החזקת סם שלא לצריכה עצמית והסתייעות ברכב. בנוסף הורשע הנאשם לבדו בביצוע עבירה של החזקת סם לצריכה עצמית. נמצא כי ברכב בו נהגה הנאשמת, ועמה הנאשם, 50 ק"ג חשיש ועל גופו נמצאו 7.8 גר' נטו חשיש. על הנאשם, בעל עבר פלילי, הוטלו </w:t>
      </w:r>
      <w:r>
        <w:rPr>
          <w:rFonts w:hint="cs"/>
          <w:b/>
          <w:bCs/>
          <w:rtl/>
        </w:rPr>
        <w:t>9 חודשי מאסר בפועל</w:t>
      </w:r>
      <w:r>
        <w:rPr>
          <w:rFonts w:hint="cs"/>
          <w:rtl/>
        </w:rPr>
        <w:t>, מאסר מותנה ופסילת רישיון נהיגה. הרכב חולט.</w:t>
      </w:r>
    </w:p>
    <w:p w14:paraId="4C795C3F" w14:textId="77777777" w:rsidR="00CA7A0F" w:rsidRDefault="00CA7A0F" w:rsidP="00CA7A0F">
      <w:pPr>
        <w:tabs>
          <w:tab w:val="left" w:pos="749"/>
        </w:tabs>
        <w:spacing w:line="360" w:lineRule="auto"/>
        <w:ind w:left="749" w:hanging="425"/>
        <w:jc w:val="both"/>
        <w:rPr>
          <w:rtl/>
        </w:rPr>
      </w:pPr>
    </w:p>
    <w:p w14:paraId="66D4B886" w14:textId="77777777" w:rsidR="00CA7A0F" w:rsidRDefault="00CA7A0F" w:rsidP="00CA7A0F">
      <w:pPr>
        <w:tabs>
          <w:tab w:val="left" w:pos="749"/>
        </w:tabs>
        <w:spacing w:line="360" w:lineRule="auto"/>
        <w:ind w:left="749" w:hanging="425"/>
        <w:jc w:val="both"/>
        <w:rPr>
          <w:rtl/>
        </w:rPr>
      </w:pPr>
      <w:r>
        <w:rPr>
          <w:rFonts w:hint="cs"/>
          <w:rtl/>
        </w:rPr>
        <w:t>ד.</w:t>
      </w:r>
      <w:r>
        <w:rPr>
          <w:rFonts w:hint="cs"/>
          <w:rtl/>
        </w:rPr>
        <w:tab/>
        <w:t>ב</w:t>
      </w:r>
      <w:hyperlink r:id="rId53" w:history="1">
        <w:r w:rsidR="00521104" w:rsidRPr="00521104">
          <w:rPr>
            <w:color w:val="0000FF"/>
            <w:u w:val="single"/>
            <w:rtl/>
          </w:rPr>
          <w:t>רע"פ 10423/09</w:t>
        </w:r>
      </w:hyperlink>
      <w:r>
        <w:rPr>
          <w:rFonts w:hint="cs"/>
          <w:rtl/>
        </w:rPr>
        <w:t xml:space="preserve"> </w:t>
      </w:r>
      <w:r>
        <w:rPr>
          <w:rFonts w:hint="cs"/>
          <w:b/>
          <w:bCs/>
          <w:rtl/>
        </w:rPr>
        <w:t>ניצר שורר נ' מדינת ישראל</w:t>
      </w:r>
      <w:r>
        <w:rPr>
          <w:rFonts w:hint="cs"/>
          <w:rtl/>
        </w:rPr>
        <w:t xml:space="preserve"> (ניתן ביום 26.4.2010), נדחתה בקשת רשות ערעור של נאשם על חומרת העונש שהוטל עליו בשל הרשעתו, על יסוד הודאתו, בביצוע עבירה של החזקת סמים שלא לצריכה עצמית, בכך שהחזיק 575.75 גר' נטו קנבוס. על הנאשם, ללא עבר פלילי, הוטלו </w:t>
      </w:r>
      <w:r>
        <w:rPr>
          <w:rFonts w:hint="cs"/>
          <w:b/>
          <w:bCs/>
          <w:rtl/>
        </w:rPr>
        <w:t>6 חודשי מאסר בפועל לריצוי בעבודות שירות</w:t>
      </w:r>
      <w:r>
        <w:rPr>
          <w:rFonts w:hint="cs"/>
          <w:rtl/>
        </w:rPr>
        <w:t xml:space="preserve">, מאסר מותנה, קנס כספי בסך 2,500 ₪ והתחייבות כספית בסך 3,000 ₪.  </w:t>
      </w:r>
    </w:p>
    <w:p w14:paraId="09B7CC24" w14:textId="77777777" w:rsidR="00CA7A0F" w:rsidRDefault="00CA7A0F" w:rsidP="00CA7A0F">
      <w:pPr>
        <w:tabs>
          <w:tab w:val="left" w:pos="749"/>
        </w:tabs>
        <w:spacing w:line="360" w:lineRule="auto"/>
        <w:ind w:left="749" w:hanging="425"/>
        <w:jc w:val="both"/>
        <w:rPr>
          <w:rtl/>
        </w:rPr>
      </w:pPr>
    </w:p>
    <w:p w14:paraId="6B1F4449" w14:textId="77777777" w:rsidR="00CA7A0F" w:rsidRDefault="00CA7A0F" w:rsidP="00CA7A0F">
      <w:pPr>
        <w:tabs>
          <w:tab w:val="left" w:pos="749"/>
        </w:tabs>
        <w:spacing w:line="360" w:lineRule="auto"/>
        <w:ind w:left="749" w:hanging="425"/>
        <w:jc w:val="both"/>
        <w:rPr>
          <w:rtl/>
        </w:rPr>
      </w:pPr>
      <w:r>
        <w:rPr>
          <w:rFonts w:hint="cs"/>
          <w:rtl/>
        </w:rPr>
        <w:t>ה.</w:t>
      </w:r>
      <w:r>
        <w:rPr>
          <w:rFonts w:hint="cs"/>
          <w:rtl/>
        </w:rPr>
        <w:tab/>
        <w:t>ב</w:t>
      </w:r>
      <w:hyperlink r:id="rId54" w:history="1">
        <w:r w:rsidR="00521104" w:rsidRPr="00521104">
          <w:rPr>
            <w:color w:val="0000FF"/>
            <w:u w:val="single"/>
            <w:rtl/>
          </w:rPr>
          <w:t>רע"פ 8374/06</w:t>
        </w:r>
      </w:hyperlink>
      <w:r>
        <w:rPr>
          <w:rFonts w:hint="cs"/>
          <w:rtl/>
        </w:rPr>
        <w:t xml:space="preserve"> </w:t>
      </w:r>
      <w:r>
        <w:rPr>
          <w:rFonts w:hint="cs"/>
          <w:b/>
          <w:bCs/>
          <w:rtl/>
        </w:rPr>
        <w:t>עמיר גילילוב נ' מדינת ישראל</w:t>
      </w:r>
      <w:r>
        <w:rPr>
          <w:rFonts w:hint="cs"/>
          <w:rtl/>
        </w:rPr>
        <w:t xml:space="preserve"> (ניתן ביום 12.12.2006) נדחתה בקשת רשות ערעור שהגיש נאשם, אשר הורשע על יסוד הודאתו, בעבירה של החזקת סמים שלא לצריכה עצמית, בכך שהחזיק 869.14 גר' נטו קנבוס. על הנאשם, ללא עבר פלילי, הוטלו </w:t>
      </w:r>
      <w:r>
        <w:rPr>
          <w:rFonts w:hint="cs"/>
          <w:b/>
          <w:bCs/>
          <w:rtl/>
        </w:rPr>
        <w:t>5 חודשי מאסר בפועל לריצוי</w:t>
      </w:r>
      <w:r>
        <w:rPr>
          <w:rFonts w:hint="cs"/>
          <w:rtl/>
        </w:rPr>
        <w:t xml:space="preserve"> </w:t>
      </w:r>
      <w:r>
        <w:rPr>
          <w:rFonts w:hint="cs"/>
          <w:b/>
          <w:bCs/>
          <w:rtl/>
        </w:rPr>
        <w:t xml:space="preserve">בעבודות שירות </w:t>
      </w:r>
      <w:r>
        <w:rPr>
          <w:rFonts w:hint="cs"/>
          <w:rtl/>
        </w:rPr>
        <w:t>ומאסר מותנה.</w:t>
      </w:r>
    </w:p>
    <w:p w14:paraId="298BA21A" w14:textId="77777777" w:rsidR="00CA7A0F" w:rsidRDefault="00CA7A0F" w:rsidP="00CA7A0F">
      <w:pPr>
        <w:tabs>
          <w:tab w:val="left" w:pos="749"/>
        </w:tabs>
        <w:spacing w:line="360" w:lineRule="auto"/>
        <w:ind w:left="749" w:hanging="425"/>
        <w:jc w:val="both"/>
        <w:rPr>
          <w:rtl/>
        </w:rPr>
      </w:pPr>
    </w:p>
    <w:p w14:paraId="6CD68367" w14:textId="77777777" w:rsidR="00CA7A0F" w:rsidRDefault="00CA7A0F" w:rsidP="00CA7A0F">
      <w:pPr>
        <w:tabs>
          <w:tab w:val="left" w:pos="749"/>
        </w:tabs>
        <w:spacing w:line="360" w:lineRule="auto"/>
        <w:ind w:left="749" w:hanging="425"/>
        <w:jc w:val="both"/>
        <w:rPr>
          <w:rtl/>
        </w:rPr>
      </w:pPr>
      <w:r>
        <w:rPr>
          <w:rFonts w:hint="cs"/>
          <w:rtl/>
        </w:rPr>
        <w:t>ו.</w:t>
      </w:r>
      <w:r>
        <w:rPr>
          <w:rFonts w:hint="cs"/>
          <w:rtl/>
        </w:rPr>
        <w:tab/>
        <w:t>ב</w:t>
      </w:r>
      <w:hyperlink r:id="rId55" w:history="1">
        <w:r w:rsidR="00521104" w:rsidRPr="00521104">
          <w:rPr>
            <w:color w:val="0000FF"/>
            <w:u w:val="single"/>
            <w:rtl/>
          </w:rPr>
          <w:t>ת"פ (מח' נצ') 18510-10-14</w:t>
        </w:r>
      </w:hyperlink>
      <w:r>
        <w:rPr>
          <w:rFonts w:hint="cs"/>
          <w:rtl/>
        </w:rPr>
        <w:t xml:space="preserve"> </w:t>
      </w:r>
      <w:r>
        <w:rPr>
          <w:rFonts w:hint="cs"/>
          <w:b/>
          <w:bCs/>
          <w:rtl/>
        </w:rPr>
        <w:t>מדינת ישראל נ' ערפאת אחמד</w:t>
      </w:r>
      <w:r>
        <w:rPr>
          <w:rFonts w:hint="cs"/>
          <w:rtl/>
        </w:rPr>
        <w:t xml:space="preserve"> (ניתן ביום 3.3.2015), הורשע נאשם על יסוד הודאתו בביצוע עבירות של החזקת נשק ותחמושת והחזקת סמים שלא לצריכה עצמית בכך שהחזיק בתיק בביתו 475.39 גר' חשיש המחולק ל- 5 "פלטות" ובארון, 77.04 גר' חשיש. נקבע </w:t>
      </w:r>
      <w:r>
        <w:rPr>
          <w:rFonts w:hint="cs"/>
          <w:b/>
          <w:bCs/>
          <w:rtl/>
        </w:rPr>
        <w:t>מתחם ענישה הולם לעבירת החזקת הסמים מסוג חשיש/קנבוס שלא לצריכה עצמית שבין עבודות שירות לבין 12 חודשי מאסר.</w:t>
      </w:r>
      <w:r>
        <w:rPr>
          <w:rFonts w:hint="cs"/>
          <w:rtl/>
        </w:rPr>
        <w:t xml:space="preserve"> על הנאשם, בעל עבר פלילי, הוטלו בגין ביצוע עבירת הסמים בלבד, </w:t>
      </w:r>
      <w:r>
        <w:rPr>
          <w:rFonts w:hint="cs"/>
          <w:b/>
          <w:bCs/>
          <w:rtl/>
        </w:rPr>
        <w:t>8 חודשי מאסר</w:t>
      </w:r>
      <w:r>
        <w:rPr>
          <w:rFonts w:hint="cs"/>
          <w:rtl/>
        </w:rPr>
        <w:t>, מאסרים מותנים וקנס בסך 5,000 ₪ (עבור שתי העבירות), נוסף לעונשים שהוטלו בגין ביצוע עבירת הנשק.</w:t>
      </w:r>
    </w:p>
    <w:p w14:paraId="7C7BFCF4" w14:textId="77777777" w:rsidR="00CA7A0F" w:rsidRDefault="00CA7A0F" w:rsidP="00CA7A0F">
      <w:pPr>
        <w:tabs>
          <w:tab w:val="left" w:pos="749"/>
        </w:tabs>
        <w:spacing w:line="360" w:lineRule="auto"/>
        <w:ind w:left="749" w:hanging="425"/>
        <w:jc w:val="both"/>
        <w:rPr>
          <w:rtl/>
        </w:rPr>
      </w:pPr>
    </w:p>
    <w:p w14:paraId="3BA40444" w14:textId="77777777" w:rsidR="00CA7A0F" w:rsidRDefault="00CA7A0F" w:rsidP="00CA7A0F">
      <w:pPr>
        <w:tabs>
          <w:tab w:val="left" w:pos="749"/>
        </w:tabs>
        <w:spacing w:line="360" w:lineRule="auto"/>
        <w:ind w:left="749" w:hanging="425"/>
        <w:jc w:val="both"/>
        <w:rPr>
          <w:rtl/>
        </w:rPr>
      </w:pPr>
    </w:p>
    <w:p w14:paraId="1E4486A3" w14:textId="77777777" w:rsidR="00CA7A0F" w:rsidRDefault="00CA7A0F" w:rsidP="00CA7A0F">
      <w:pPr>
        <w:tabs>
          <w:tab w:val="left" w:pos="749"/>
        </w:tabs>
        <w:spacing w:line="360" w:lineRule="auto"/>
        <w:ind w:left="749" w:hanging="425"/>
        <w:jc w:val="both"/>
        <w:rPr>
          <w:rtl/>
        </w:rPr>
      </w:pPr>
      <w:r>
        <w:rPr>
          <w:rFonts w:hint="cs"/>
          <w:rtl/>
        </w:rPr>
        <w:t>ז.</w:t>
      </w:r>
      <w:r>
        <w:rPr>
          <w:rFonts w:hint="cs"/>
          <w:rtl/>
        </w:rPr>
        <w:tab/>
        <w:t>ב</w:t>
      </w:r>
      <w:hyperlink r:id="rId56" w:history="1">
        <w:r w:rsidR="00521104" w:rsidRPr="00521104">
          <w:rPr>
            <w:color w:val="0000FF"/>
            <w:u w:val="single"/>
            <w:rtl/>
          </w:rPr>
          <w:t>ע"פ (מח' ב"ש) 39557-01-14</w:t>
        </w:r>
      </w:hyperlink>
      <w:r>
        <w:rPr>
          <w:rFonts w:hint="cs"/>
          <w:rtl/>
        </w:rPr>
        <w:t xml:space="preserve"> </w:t>
      </w:r>
      <w:r>
        <w:rPr>
          <w:rFonts w:hint="cs"/>
          <w:b/>
          <w:bCs/>
          <w:rtl/>
        </w:rPr>
        <w:t>פרג דעיס ואח' נ' מדינת ישראל</w:t>
      </w:r>
      <w:r>
        <w:rPr>
          <w:rFonts w:hint="cs"/>
          <w:rtl/>
        </w:rPr>
        <w:t xml:space="preserve"> (ניתן ביום 30.4.2014) נדחה ערעור אחד הנאשמים, שהורשע לאחר שמיעת הוכחות, בביצוע עבירות של החזקת סמים שלא לצריכה עצמית בצוותא ושיבוש מהלכי משפט, בכך שהשליך מרכב בו נסע גרב ובתוכה 340.9 גר' נטו חשיש, מחולק לפלטות. בערכאה הדיונית נקבע </w:t>
      </w:r>
      <w:r>
        <w:rPr>
          <w:rFonts w:hint="cs"/>
          <w:b/>
          <w:bCs/>
          <w:rtl/>
        </w:rPr>
        <w:t>מתחם ענישה הולם שבין 6 ל-18 חודשי מאסר בפועל</w:t>
      </w:r>
      <w:r>
        <w:rPr>
          <w:rFonts w:hint="cs"/>
          <w:rtl/>
        </w:rPr>
        <w:t xml:space="preserve">, לצד מאסר מותנה, קנס ופסילת רישיון נהיגה. על הנאשם, בעל עבר פלילי, הוטלו </w:t>
      </w:r>
      <w:r>
        <w:rPr>
          <w:rFonts w:hint="cs"/>
          <w:b/>
          <w:bCs/>
          <w:rtl/>
        </w:rPr>
        <w:t>12 חודשי מאסר</w:t>
      </w:r>
      <w:r>
        <w:rPr>
          <w:rFonts w:hint="cs"/>
          <w:rtl/>
        </w:rPr>
        <w:t xml:space="preserve"> </w:t>
      </w:r>
      <w:r>
        <w:rPr>
          <w:rFonts w:hint="cs"/>
          <w:b/>
          <w:bCs/>
          <w:rtl/>
        </w:rPr>
        <w:t>בפועל,</w:t>
      </w:r>
      <w:r>
        <w:rPr>
          <w:rFonts w:hint="cs"/>
          <w:rtl/>
        </w:rPr>
        <w:t xml:space="preserve"> לצד הפעלת מאסרים מותנים, כך שהיה עליו לרצות 14 חודשי מאסר בפועל, מאסרים מותנים, קנס בסך 10,000 ₪ ופסילת רישיון נהיגה.</w:t>
      </w:r>
    </w:p>
    <w:p w14:paraId="45EDDE33" w14:textId="77777777" w:rsidR="00CA7A0F" w:rsidRDefault="00CA7A0F" w:rsidP="00CA7A0F">
      <w:pPr>
        <w:tabs>
          <w:tab w:val="left" w:pos="749"/>
        </w:tabs>
        <w:spacing w:line="360" w:lineRule="auto"/>
        <w:ind w:left="749" w:hanging="425"/>
        <w:jc w:val="both"/>
        <w:rPr>
          <w:rtl/>
        </w:rPr>
      </w:pPr>
    </w:p>
    <w:p w14:paraId="51723334" w14:textId="77777777" w:rsidR="00CA7A0F" w:rsidRDefault="00CA7A0F" w:rsidP="00CA7A0F">
      <w:pPr>
        <w:tabs>
          <w:tab w:val="left" w:pos="749"/>
        </w:tabs>
        <w:spacing w:line="360" w:lineRule="auto"/>
        <w:ind w:left="749" w:hanging="425"/>
        <w:jc w:val="both"/>
        <w:rPr>
          <w:rtl/>
        </w:rPr>
      </w:pPr>
      <w:r>
        <w:rPr>
          <w:rFonts w:hint="cs"/>
          <w:rtl/>
        </w:rPr>
        <w:t>ח.</w:t>
      </w:r>
      <w:r>
        <w:rPr>
          <w:rFonts w:hint="cs"/>
          <w:rtl/>
        </w:rPr>
        <w:tab/>
        <w:t>ב</w:t>
      </w:r>
      <w:hyperlink r:id="rId57" w:history="1">
        <w:r w:rsidR="00521104" w:rsidRPr="00521104">
          <w:rPr>
            <w:color w:val="0000FF"/>
            <w:u w:val="single"/>
            <w:rtl/>
          </w:rPr>
          <w:t>ת"פ (מח' ב"ש) 41488-11-11</w:t>
        </w:r>
      </w:hyperlink>
      <w:r>
        <w:rPr>
          <w:rFonts w:hint="cs"/>
          <w:rtl/>
        </w:rPr>
        <w:t xml:space="preserve"> </w:t>
      </w:r>
      <w:r>
        <w:rPr>
          <w:rFonts w:hint="cs"/>
          <w:b/>
          <w:bCs/>
          <w:rtl/>
        </w:rPr>
        <w:t>מדינת ישראל נ' אלחמאד גברין</w:t>
      </w:r>
      <w:r>
        <w:rPr>
          <w:rFonts w:hint="cs"/>
          <w:rtl/>
        </w:rPr>
        <w:t xml:space="preserve"> (ניתן ביום 21.6.2012) הורשע נאשם על יסוד הודאתו במסגרת הסדר, בביצוע עבירות של קשירת קשר לביצוע פשע, החזקת סמים שלא לצריכה עצמית והסתייעות ברכב לביצוע פשע, בכך שהחזיק ברכבו 2.368 ק"ג חשיש. בית המשפט כיבד את ההסדר שהציגו הצדדים, והטיל על הנאשם, בעל עבר פלילי, </w:t>
      </w:r>
      <w:r>
        <w:rPr>
          <w:rFonts w:hint="cs"/>
          <w:b/>
          <w:bCs/>
          <w:rtl/>
        </w:rPr>
        <w:t>8.5 חודשי מאסר בפועל</w:t>
      </w:r>
      <w:r>
        <w:rPr>
          <w:rFonts w:hint="cs"/>
          <w:rtl/>
        </w:rPr>
        <w:t>, מאסר מותנה, פסילת רישיון נהיגה ופסילה מותנית.</w:t>
      </w:r>
    </w:p>
    <w:p w14:paraId="25232237" w14:textId="77777777" w:rsidR="00CA7A0F" w:rsidRDefault="00CA7A0F" w:rsidP="00CA7A0F">
      <w:pPr>
        <w:tabs>
          <w:tab w:val="left" w:pos="749"/>
        </w:tabs>
        <w:spacing w:line="360" w:lineRule="auto"/>
        <w:ind w:left="749" w:hanging="425"/>
        <w:jc w:val="both"/>
        <w:rPr>
          <w:rtl/>
        </w:rPr>
      </w:pPr>
    </w:p>
    <w:p w14:paraId="4FE46707" w14:textId="77777777" w:rsidR="00CA7A0F" w:rsidRDefault="00CA7A0F" w:rsidP="00CA7A0F">
      <w:pPr>
        <w:tabs>
          <w:tab w:val="left" w:pos="749"/>
        </w:tabs>
        <w:spacing w:line="360" w:lineRule="auto"/>
        <w:ind w:left="749" w:hanging="425"/>
        <w:jc w:val="both"/>
        <w:rPr>
          <w:rtl/>
        </w:rPr>
      </w:pPr>
      <w:r>
        <w:rPr>
          <w:rFonts w:hint="cs"/>
          <w:rtl/>
        </w:rPr>
        <w:t>ט.</w:t>
      </w:r>
      <w:r>
        <w:rPr>
          <w:rFonts w:hint="cs"/>
          <w:rtl/>
        </w:rPr>
        <w:tab/>
        <w:t>ב</w:t>
      </w:r>
      <w:hyperlink r:id="rId58" w:history="1">
        <w:r w:rsidR="00521104" w:rsidRPr="00521104">
          <w:rPr>
            <w:color w:val="0000FF"/>
            <w:u w:val="single"/>
            <w:rtl/>
          </w:rPr>
          <w:t>עפ"ג (מח' ת"א) 730-05-10</w:t>
        </w:r>
      </w:hyperlink>
      <w:r>
        <w:rPr>
          <w:rFonts w:hint="cs"/>
          <w:rtl/>
        </w:rPr>
        <w:t xml:space="preserve"> </w:t>
      </w:r>
      <w:r>
        <w:rPr>
          <w:rFonts w:hint="cs"/>
          <w:b/>
          <w:bCs/>
          <w:rtl/>
        </w:rPr>
        <w:t>אמיר אלוני נ' מדינת ישראל</w:t>
      </w:r>
      <w:r>
        <w:rPr>
          <w:rFonts w:hint="cs"/>
          <w:rtl/>
        </w:rPr>
        <w:t xml:space="preserve"> (ניתן ביום 20.6.2011) התקבל ערעור נאשם אשר הורשע על יסוד הודאתו, בביצוע עבירה של החזקת סמים שלא לצריכה עצמית, בכך שהחזיק במונית שבחזקתו, 1,885 גר' חשיש, מחולק ל-20 סוליות. בית המשפט המחוזי הפחית מעונשו של הנאשם ל- </w:t>
      </w:r>
      <w:r>
        <w:rPr>
          <w:rFonts w:hint="cs"/>
          <w:b/>
          <w:bCs/>
          <w:rtl/>
        </w:rPr>
        <w:t>6 חודשי מאסר בפועל לריצוי בעבודות שירות</w:t>
      </w:r>
      <w:r>
        <w:rPr>
          <w:rFonts w:hint="cs"/>
          <w:rtl/>
        </w:rPr>
        <w:t>, מאסר מותנה וקנס בסך 15,000 דולר.</w:t>
      </w:r>
    </w:p>
    <w:p w14:paraId="08516996" w14:textId="77777777" w:rsidR="00CA7A0F" w:rsidRDefault="00CA7A0F" w:rsidP="00CA7A0F">
      <w:pPr>
        <w:tabs>
          <w:tab w:val="left" w:pos="749"/>
        </w:tabs>
        <w:spacing w:line="360" w:lineRule="auto"/>
        <w:ind w:left="749" w:hanging="425"/>
        <w:jc w:val="both"/>
        <w:rPr>
          <w:rtl/>
        </w:rPr>
      </w:pPr>
    </w:p>
    <w:p w14:paraId="364C6481" w14:textId="77777777" w:rsidR="00CA7A0F" w:rsidRDefault="00CA7A0F" w:rsidP="00CA7A0F">
      <w:pPr>
        <w:tabs>
          <w:tab w:val="left" w:pos="749"/>
        </w:tabs>
        <w:spacing w:line="360" w:lineRule="auto"/>
        <w:ind w:left="749" w:hanging="425"/>
        <w:jc w:val="both"/>
        <w:rPr>
          <w:rtl/>
        </w:rPr>
      </w:pPr>
      <w:r>
        <w:rPr>
          <w:rFonts w:hint="cs"/>
          <w:rtl/>
        </w:rPr>
        <w:t>י.</w:t>
      </w:r>
      <w:r>
        <w:rPr>
          <w:rFonts w:hint="cs"/>
          <w:rtl/>
        </w:rPr>
        <w:tab/>
        <w:t>ב</w:t>
      </w:r>
      <w:hyperlink r:id="rId59" w:history="1">
        <w:r w:rsidR="00521104" w:rsidRPr="00521104">
          <w:rPr>
            <w:color w:val="0000FF"/>
            <w:u w:val="single"/>
            <w:rtl/>
          </w:rPr>
          <w:t>ת"פ (ת"א) 3781-11-11</w:t>
        </w:r>
      </w:hyperlink>
      <w:r>
        <w:rPr>
          <w:rFonts w:hint="cs"/>
          <w:rtl/>
        </w:rPr>
        <w:t xml:space="preserve"> </w:t>
      </w:r>
      <w:r>
        <w:rPr>
          <w:rFonts w:hint="cs"/>
          <w:b/>
          <w:bCs/>
          <w:rtl/>
        </w:rPr>
        <w:t>מדינת ישראל נ' אברהם ציוני</w:t>
      </w:r>
      <w:r>
        <w:rPr>
          <w:rFonts w:hint="cs"/>
          <w:rtl/>
        </w:rPr>
        <w:t xml:space="preserve"> (ניתן ביום 6.3.2016) הורשע נאשם על יסוד הודאתו, בביצוע עבירה של החזקת סמים שלא לצריכה עצמית, בכך שהחזיק 674.77 גר' חשיש. נקבע </w:t>
      </w:r>
      <w:r>
        <w:rPr>
          <w:rFonts w:hint="cs"/>
          <w:b/>
          <w:bCs/>
          <w:rtl/>
        </w:rPr>
        <w:t>מתחם ענישה עולם שבין מאסר מותנה ושל"צ לבין 18 חודשי מאסר בפועל</w:t>
      </w:r>
      <w:r>
        <w:rPr>
          <w:rFonts w:hint="cs"/>
          <w:rtl/>
        </w:rPr>
        <w:t>. על הנאשם, ללא עבר פלילי, הוטלו צו של"צ בהיקף 140 שעות, צו מבחן למשך 18 חודשים, מאסר מותנה, קנס בסך 2,500 ₪ ופסילת רישיון נהיגה.</w:t>
      </w:r>
    </w:p>
    <w:p w14:paraId="2BB86781" w14:textId="77777777" w:rsidR="00CA7A0F" w:rsidRDefault="00CA7A0F" w:rsidP="00CA7A0F">
      <w:pPr>
        <w:tabs>
          <w:tab w:val="left" w:pos="749"/>
        </w:tabs>
        <w:spacing w:line="360" w:lineRule="auto"/>
        <w:ind w:left="749" w:hanging="425"/>
        <w:jc w:val="both"/>
        <w:rPr>
          <w:rtl/>
        </w:rPr>
      </w:pPr>
    </w:p>
    <w:p w14:paraId="5C679402" w14:textId="77777777" w:rsidR="00CA7A0F" w:rsidRDefault="00CA7A0F" w:rsidP="00CA7A0F">
      <w:pPr>
        <w:tabs>
          <w:tab w:val="left" w:pos="749"/>
        </w:tabs>
        <w:spacing w:line="360" w:lineRule="auto"/>
        <w:ind w:left="749" w:hanging="425"/>
        <w:jc w:val="both"/>
        <w:rPr>
          <w:rtl/>
        </w:rPr>
      </w:pPr>
      <w:r>
        <w:rPr>
          <w:rFonts w:hint="cs"/>
          <w:rtl/>
        </w:rPr>
        <w:t>יא.</w:t>
      </w:r>
      <w:r>
        <w:rPr>
          <w:rFonts w:hint="cs"/>
          <w:rtl/>
        </w:rPr>
        <w:tab/>
        <w:t>ב</w:t>
      </w:r>
      <w:hyperlink r:id="rId60" w:history="1">
        <w:r w:rsidR="00521104" w:rsidRPr="00521104">
          <w:rPr>
            <w:color w:val="0000FF"/>
            <w:u w:val="single"/>
            <w:rtl/>
          </w:rPr>
          <w:t>ת"פ (ראשל"צ) 20214-11-14</w:t>
        </w:r>
      </w:hyperlink>
      <w:r>
        <w:rPr>
          <w:rFonts w:hint="cs"/>
          <w:rtl/>
        </w:rPr>
        <w:t xml:space="preserve"> </w:t>
      </w:r>
      <w:r>
        <w:rPr>
          <w:rFonts w:hint="cs"/>
          <w:b/>
          <w:bCs/>
          <w:rtl/>
        </w:rPr>
        <w:t>מדינת ישראל נ' עידן יחיא ואח'</w:t>
      </w:r>
      <w:r>
        <w:rPr>
          <w:rFonts w:hint="cs"/>
          <w:rtl/>
        </w:rPr>
        <w:t xml:space="preserve"> (ניתן ביום 29.2.2016) הורשע נאשם על יסוד הודאתו במסגרת הסדר, בביצוע עבירות של קשירת קשר לביצוע פשע, החזקת סמים שלא לצריכה עצמית והחזקת סמים לצריכה עצמית בכך שתכנן עם אחרים לרכוש סמים במימונו. כך החזיק הנאשם 780 גר' נטו קנבוס ו- 1.9 גרם נטו קנבוס. בית המשפט כיבד את ההסדר והטיל על הנאשם, בעל עבר פלילי,</w:t>
      </w:r>
      <w:r>
        <w:rPr>
          <w:rFonts w:hint="cs"/>
          <w:b/>
          <w:bCs/>
          <w:rtl/>
        </w:rPr>
        <w:t xml:space="preserve"> 3 חודשי מאסר בפועל</w:t>
      </w:r>
      <w:r>
        <w:rPr>
          <w:rFonts w:hint="cs"/>
          <w:rtl/>
        </w:rPr>
        <w:t>, לצד הפעלת מאסר מותנה בן 3 חודשים במצטבר, מאסרים מונים וקנס בסך 30,000 ₪. הוארכה פסילת רישיון הנהיגה המותנית שהוטלה על הנאשם.</w:t>
      </w:r>
    </w:p>
    <w:p w14:paraId="0CA5E9E5" w14:textId="77777777" w:rsidR="00CA7A0F" w:rsidRDefault="00CA7A0F" w:rsidP="00CA7A0F">
      <w:pPr>
        <w:tabs>
          <w:tab w:val="left" w:pos="749"/>
        </w:tabs>
        <w:spacing w:line="360" w:lineRule="auto"/>
        <w:ind w:left="749" w:hanging="425"/>
        <w:jc w:val="both"/>
        <w:rPr>
          <w:rtl/>
        </w:rPr>
      </w:pPr>
    </w:p>
    <w:p w14:paraId="540AAF83" w14:textId="77777777" w:rsidR="00CA7A0F" w:rsidRDefault="00CA7A0F" w:rsidP="00CA7A0F">
      <w:pPr>
        <w:tabs>
          <w:tab w:val="left" w:pos="749"/>
        </w:tabs>
        <w:spacing w:line="360" w:lineRule="auto"/>
        <w:ind w:left="749" w:hanging="425"/>
        <w:jc w:val="both"/>
        <w:rPr>
          <w:rtl/>
        </w:rPr>
      </w:pPr>
      <w:r>
        <w:rPr>
          <w:rFonts w:hint="cs"/>
          <w:rtl/>
        </w:rPr>
        <w:t>יב.</w:t>
      </w:r>
      <w:r>
        <w:rPr>
          <w:rFonts w:hint="cs"/>
          <w:rtl/>
        </w:rPr>
        <w:tab/>
        <w:t>ב</w:t>
      </w:r>
      <w:hyperlink r:id="rId61" w:history="1">
        <w:r w:rsidR="00521104" w:rsidRPr="00521104">
          <w:rPr>
            <w:color w:val="0000FF"/>
            <w:u w:val="single"/>
            <w:rtl/>
          </w:rPr>
          <w:t>ת"פ (רמ') 42543-06-14</w:t>
        </w:r>
      </w:hyperlink>
      <w:r>
        <w:rPr>
          <w:rFonts w:hint="cs"/>
          <w:rtl/>
        </w:rPr>
        <w:t xml:space="preserve"> </w:t>
      </w:r>
      <w:r>
        <w:rPr>
          <w:rFonts w:hint="cs"/>
          <w:b/>
          <w:bCs/>
          <w:rtl/>
        </w:rPr>
        <w:t>משטרת ישראל תביעות-שלוחת רמלה נ' קובי</w:t>
      </w:r>
      <w:r>
        <w:rPr>
          <w:rFonts w:hint="cs"/>
          <w:rtl/>
        </w:rPr>
        <w:t xml:space="preserve"> </w:t>
      </w:r>
      <w:r>
        <w:rPr>
          <w:rFonts w:hint="cs"/>
          <w:b/>
          <w:bCs/>
          <w:rtl/>
        </w:rPr>
        <w:t xml:space="preserve">בלו </w:t>
      </w:r>
      <w:r>
        <w:rPr>
          <w:rFonts w:hint="cs"/>
          <w:rtl/>
        </w:rPr>
        <w:t xml:space="preserve">(ניתן ביום 3.1.2016) הורשע נאשם, על יסוד הודאתו בביצוע עבירות של החזקת סמים שלא לצריכה עצמית, החזקת כלים להכנת סם לצריכה עצמית והחזקת סמים לצריכה עצמית (מתיק שצורף), בכך שהחזיק 170.4 גר' נטו חשיש וכלים עליהם שרידי סם ובמועד אחר, החזיק 9.34 גר' חשיש לצריכתו העצמית. נקבע </w:t>
      </w:r>
      <w:r>
        <w:rPr>
          <w:rFonts w:hint="cs"/>
          <w:b/>
          <w:bCs/>
          <w:rtl/>
        </w:rPr>
        <w:t>מתחם ענישה הולם לעבירות החזקת כלים והחזקת סמים שלא לצריכה עצמית שבין חודש מאסר לריצוי בעבודות שירות לבין 15 חודשי מאסר</w:t>
      </w:r>
      <w:r>
        <w:rPr>
          <w:rFonts w:hint="cs"/>
          <w:rtl/>
        </w:rPr>
        <w:t xml:space="preserve">. על הנאשם, בעל עבר פלילי, הוטלו </w:t>
      </w:r>
      <w:r>
        <w:rPr>
          <w:rFonts w:hint="cs"/>
          <w:b/>
          <w:bCs/>
          <w:rtl/>
        </w:rPr>
        <w:t>חודשיים מאסר בפועל לריצוי בעבודות שירות,</w:t>
      </w:r>
      <w:r>
        <w:rPr>
          <w:rFonts w:hint="cs"/>
          <w:rtl/>
        </w:rPr>
        <w:t xml:space="preserve"> מאסרים מותנים, קנס בסך 5,000 ₪, פסילה מותנית וצו מבחן לשנה.</w:t>
      </w:r>
    </w:p>
    <w:p w14:paraId="38FC0CB5" w14:textId="77777777" w:rsidR="00CA7A0F" w:rsidRDefault="00CA7A0F" w:rsidP="00CA7A0F">
      <w:pPr>
        <w:tabs>
          <w:tab w:val="left" w:pos="749"/>
        </w:tabs>
        <w:spacing w:line="360" w:lineRule="auto"/>
        <w:ind w:left="749" w:hanging="425"/>
        <w:jc w:val="both"/>
        <w:rPr>
          <w:rtl/>
        </w:rPr>
      </w:pPr>
    </w:p>
    <w:p w14:paraId="3880469C" w14:textId="77777777" w:rsidR="00CA7A0F" w:rsidRDefault="00CA7A0F" w:rsidP="00CA7A0F">
      <w:pPr>
        <w:tabs>
          <w:tab w:val="left" w:pos="749"/>
        </w:tabs>
        <w:spacing w:line="360" w:lineRule="auto"/>
        <w:ind w:left="749" w:hanging="425"/>
        <w:jc w:val="both"/>
        <w:rPr>
          <w:rtl/>
        </w:rPr>
      </w:pPr>
      <w:r>
        <w:rPr>
          <w:rFonts w:hint="cs"/>
          <w:rtl/>
        </w:rPr>
        <w:t>יג.</w:t>
      </w:r>
      <w:r>
        <w:rPr>
          <w:rFonts w:hint="cs"/>
          <w:rtl/>
        </w:rPr>
        <w:tab/>
        <w:t>ב</w:t>
      </w:r>
      <w:hyperlink r:id="rId62" w:history="1">
        <w:r w:rsidR="00521104" w:rsidRPr="00521104">
          <w:rPr>
            <w:color w:val="0000FF"/>
            <w:u w:val="single"/>
            <w:rtl/>
          </w:rPr>
          <w:t>ת"פ (נת') 53948-11-14</w:t>
        </w:r>
      </w:hyperlink>
      <w:r>
        <w:rPr>
          <w:rFonts w:hint="cs"/>
          <w:rtl/>
        </w:rPr>
        <w:t xml:space="preserve"> </w:t>
      </w:r>
      <w:r>
        <w:rPr>
          <w:rFonts w:hint="cs"/>
          <w:b/>
          <w:bCs/>
          <w:rtl/>
        </w:rPr>
        <w:t>מדינת ישראל נ' בן פרל</w:t>
      </w:r>
      <w:r>
        <w:rPr>
          <w:rFonts w:hint="cs"/>
          <w:rtl/>
        </w:rPr>
        <w:t xml:space="preserve"> (ניתן ביום 8.12.2015) הורשע נאשם, על יסוד הודאתו, בביצוע עבירה של החזקת סמים שלא לצריכה עצמית, בכך שהחזיק 771.95 ג' מריחואנה, 1.98 גר' חשיש ובנוסף החזיק ברכבו 9.8 גר' קנבוס. נקבע </w:t>
      </w:r>
      <w:r>
        <w:rPr>
          <w:rFonts w:hint="cs"/>
          <w:b/>
          <w:bCs/>
          <w:rtl/>
        </w:rPr>
        <w:t>מתחם ענישה הולם שבין מאסר קצר לריצוי בעבודות שירות לבין 12 חודשי מאסר בפועל, לצד מאסר מותנה וקנס</w:t>
      </w:r>
      <w:r>
        <w:rPr>
          <w:rFonts w:hint="cs"/>
          <w:rtl/>
        </w:rPr>
        <w:t>. על הנאשם, ללא עבר פלילי, הוטלו צו של"צ בהיקף של 120 שעות, מאסר מותנה, צו מבחן וקנס בסך 2,000 ₪.</w:t>
      </w:r>
    </w:p>
    <w:p w14:paraId="2C2193C2" w14:textId="77777777" w:rsidR="00CA7A0F" w:rsidRDefault="00CA7A0F" w:rsidP="00CA7A0F">
      <w:pPr>
        <w:tabs>
          <w:tab w:val="left" w:pos="749"/>
        </w:tabs>
        <w:spacing w:line="360" w:lineRule="auto"/>
        <w:ind w:left="749" w:hanging="425"/>
        <w:jc w:val="both"/>
        <w:rPr>
          <w:rtl/>
        </w:rPr>
      </w:pPr>
    </w:p>
    <w:p w14:paraId="1F2E3F16" w14:textId="77777777" w:rsidR="00CA7A0F" w:rsidRDefault="00CA7A0F" w:rsidP="00CA7A0F">
      <w:pPr>
        <w:tabs>
          <w:tab w:val="left" w:pos="749"/>
        </w:tabs>
        <w:spacing w:line="360" w:lineRule="auto"/>
        <w:ind w:left="749" w:hanging="425"/>
        <w:jc w:val="both"/>
        <w:rPr>
          <w:rtl/>
        </w:rPr>
      </w:pPr>
      <w:r>
        <w:rPr>
          <w:rFonts w:hint="cs"/>
          <w:rtl/>
        </w:rPr>
        <w:t>יד.</w:t>
      </w:r>
      <w:r>
        <w:rPr>
          <w:rFonts w:hint="cs"/>
          <w:rtl/>
        </w:rPr>
        <w:tab/>
        <w:t>ב</w:t>
      </w:r>
      <w:hyperlink r:id="rId63" w:history="1">
        <w:r w:rsidR="00521104" w:rsidRPr="00521104">
          <w:rPr>
            <w:color w:val="0000FF"/>
            <w:u w:val="single"/>
            <w:rtl/>
          </w:rPr>
          <w:t>ת"פ (טב') 51933-05-12</w:t>
        </w:r>
      </w:hyperlink>
      <w:r>
        <w:rPr>
          <w:rFonts w:hint="cs"/>
          <w:rtl/>
        </w:rPr>
        <w:t xml:space="preserve"> </w:t>
      </w:r>
      <w:r>
        <w:rPr>
          <w:rFonts w:hint="cs"/>
          <w:b/>
          <w:bCs/>
          <w:rtl/>
        </w:rPr>
        <w:t>מדינת ישראל נ' אלון בוטבול</w:t>
      </w:r>
      <w:r>
        <w:rPr>
          <w:rFonts w:hint="cs"/>
          <w:rtl/>
        </w:rPr>
        <w:t xml:space="preserve"> (ניתן ביום 27.3.2014) הורשע נאשם על יסוד הודאתו במסגרת הסדר, בביצוע עבירה של החזקת סמים שלא לצריכה עצמית, בכך שהחזיק 254.66 גר' קנבוס המחולק ל-11 אריזות. </w:t>
      </w:r>
      <w:r>
        <w:rPr>
          <w:rFonts w:hint="cs"/>
          <w:b/>
          <w:bCs/>
          <w:rtl/>
        </w:rPr>
        <w:t>נקבע מתחם ענישה הולם שבין 10 ל-24 חודשי מאסר בפועל</w:t>
      </w:r>
      <w:r>
        <w:rPr>
          <w:rFonts w:hint="cs"/>
          <w:rtl/>
        </w:rPr>
        <w:t xml:space="preserve">. בית המשפט אישר את ההסדר המוצע, אך סטה לקולה ממתחם הענישה, והטיל על הנאשם, בעל פלילי, </w:t>
      </w:r>
      <w:r>
        <w:rPr>
          <w:rFonts w:hint="cs"/>
          <w:b/>
          <w:bCs/>
          <w:rtl/>
        </w:rPr>
        <w:t>חודשיים מאסר בפועל לריצוי בעבודות שירות</w:t>
      </w:r>
      <w:r>
        <w:rPr>
          <w:rFonts w:hint="cs"/>
          <w:rtl/>
        </w:rPr>
        <w:t>, מאסרים מותנים, פסילת רישיון נהיגה וקנס בסך 3,000 ₪.</w:t>
      </w:r>
    </w:p>
    <w:p w14:paraId="4C36FF04" w14:textId="77777777" w:rsidR="00CA7A0F" w:rsidRDefault="00CA7A0F" w:rsidP="00CA7A0F">
      <w:pPr>
        <w:tabs>
          <w:tab w:val="left" w:pos="749"/>
        </w:tabs>
        <w:spacing w:line="360" w:lineRule="auto"/>
        <w:ind w:left="749" w:hanging="425"/>
        <w:jc w:val="both"/>
        <w:rPr>
          <w:rtl/>
        </w:rPr>
      </w:pPr>
    </w:p>
    <w:p w14:paraId="74E215FD" w14:textId="77777777" w:rsidR="00CA7A0F" w:rsidRDefault="00CA7A0F" w:rsidP="00CA7A0F">
      <w:pPr>
        <w:tabs>
          <w:tab w:val="left" w:pos="749"/>
        </w:tabs>
        <w:spacing w:line="360" w:lineRule="auto"/>
        <w:ind w:left="749" w:hanging="425"/>
        <w:jc w:val="both"/>
        <w:rPr>
          <w:rtl/>
        </w:rPr>
      </w:pPr>
      <w:r>
        <w:rPr>
          <w:rFonts w:hint="cs"/>
          <w:rtl/>
        </w:rPr>
        <w:t>טו.</w:t>
      </w:r>
      <w:r>
        <w:rPr>
          <w:rFonts w:hint="cs"/>
          <w:rtl/>
        </w:rPr>
        <w:tab/>
        <w:t>ב</w:t>
      </w:r>
      <w:hyperlink r:id="rId64" w:history="1">
        <w:r w:rsidR="00521104" w:rsidRPr="00521104">
          <w:rPr>
            <w:color w:val="0000FF"/>
            <w:u w:val="single"/>
            <w:rtl/>
          </w:rPr>
          <w:t>ת"פ (פ"ת) 37340-06-12</w:t>
        </w:r>
      </w:hyperlink>
      <w:r>
        <w:rPr>
          <w:rFonts w:hint="cs"/>
          <w:rtl/>
        </w:rPr>
        <w:t xml:space="preserve"> </w:t>
      </w:r>
      <w:r>
        <w:rPr>
          <w:rFonts w:hint="cs"/>
          <w:b/>
          <w:bCs/>
          <w:rtl/>
        </w:rPr>
        <w:t>מדינת ישראל נ' ליאור בוחניק</w:t>
      </w:r>
      <w:r>
        <w:rPr>
          <w:rFonts w:hint="cs"/>
          <w:rtl/>
        </w:rPr>
        <w:t xml:space="preserve"> (ניתן ביום 4.2.2014) הורשע נאשם על יסוד הודאתו בביצוע עבירה של החזקת סמים שלא לצריכה עצמית והחזקת כלים, בכך שבמועדים שונים החזיק בסם מסוג חשיש, מחולק לכמויות שונות, בסך של 342.6 גר' נטו במועד אחד, ו-1.1 גר' נטו במועד אחר. נקבע </w:t>
      </w:r>
      <w:r>
        <w:rPr>
          <w:rFonts w:hint="cs"/>
          <w:b/>
          <w:bCs/>
          <w:rtl/>
        </w:rPr>
        <w:t>מתחם ענישה בגין עבירות החזקת סמים וכלים שלא לצריכה עצמית, בחשיש/קנבוס של מאות גרמים, שבין מאסר לריצוי בעבודות שירות לבין 12 חודשי מאסר בפועל</w:t>
      </w:r>
      <w:r>
        <w:rPr>
          <w:rFonts w:hint="cs"/>
          <w:rtl/>
        </w:rPr>
        <w:t xml:space="preserve">. בית המשפט סטה לקולה מהמתחם והטיל על הנאשם, בעל עבר פלילי, צו של"צ בהיקף של 120 שעות, צו מבחן לשנה, מאסרים מותנים, פסילה מותנית וקנס בסך 2,000 ₪. </w:t>
      </w:r>
    </w:p>
    <w:p w14:paraId="20728D70" w14:textId="77777777" w:rsidR="00CA7A0F" w:rsidRDefault="00CA7A0F" w:rsidP="00CA7A0F">
      <w:pPr>
        <w:tabs>
          <w:tab w:val="left" w:pos="749"/>
        </w:tabs>
        <w:spacing w:line="360" w:lineRule="auto"/>
        <w:ind w:left="749" w:hanging="425"/>
        <w:jc w:val="both"/>
        <w:rPr>
          <w:rtl/>
        </w:rPr>
      </w:pPr>
    </w:p>
    <w:p w14:paraId="65A8C559" w14:textId="77777777" w:rsidR="00CA7A0F" w:rsidRDefault="00CA7A0F" w:rsidP="00CA7A0F">
      <w:pPr>
        <w:tabs>
          <w:tab w:val="left" w:pos="749"/>
        </w:tabs>
        <w:spacing w:line="360" w:lineRule="auto"/>
        <w:ind w:left="749" w:hanging="425"/>
        <w:jc w:val="both"/>
        <w:rPr>
          <w:rFonts w:ascii="David" w:hAnsi="David"/>
          <w:rtl/>
        </w:rPr>
      </w:pPr>
      <w:r>
        <w:rPr>
          <w:rFonts w:hint="cs"/>
          <w:rtl/>
        </w:rPr>
        <w:t>טז.</w:t>
      </w:r>
      <w:r>
        <w:rPr>
          <w:rFonts w:hint="cs"/>
          <w:rtl/>
        </w:rPr>
        <w:tab/>
      </w:r>
      <w:r>
        <w:rPr>
          <w:rFonts w:ascii="David" w:hAnsi="David" w:hint="cs"/>
          <w:rtl/>
        </w:rPr>
        <w:t>ב</w:t>
      </w:r>
      <w:hyperlink r:id="rId65" w:history="1">
        <w:r w:rsidR="00521104" w:rsidRPr="00521104">
          <w:rPr>
            <w:rFonts w:ascii="David" w:hAnsi="David"/>
            <w:color w:val="0000FF"/>
            <w:u w:val="single"/>
            <w:rtl/>
          </w:rPr>
          <w:t>ת"פ (פ"ת) 38865-09-10</w:t>
        </w:r>
      </w:hyperlink>
      <w:r>
        <w:rPr>
          <w:rFonts w:ascii="David" w:hAnsi="David" w:hint="cs"/>
          <w:rtl/>
        </w:rPr>
        <w:t xml:space="preserve"> </w:t>
      </w:r>
      <w:r>
        <w:rPr>
          <w:rFonts w:ascii="David" w:hAnsi="David" w:hint="cs"/>
          <w:b/>
          <w:bCs/>
          <w:rtl/>
        </w:rPr>
        <w:t>מדינת ישראל נ' אופיר יחיאל</w:t>
      </w:r>
      <w:r>
        <w:rPr>
          <w:rFonts w:ascii="David" w:hAnsi="David" w:hint="cs"/>
          <w:rtl/>
        </w:rPr>
        <w:t xml:space="preserve"> (ניתן ביום 31.6.2012) הורשע נאשם על יסוד הודאתו בביצוע עבירה של החזקת סמים שלא לצריכה עצמית והסתייעות ברכב לביצוע עוון או פשע, בכך שהחזיק 481.48 גר' נטו חשיש המחולק ל-5 פלטות וסכום של 10,000 ₪. על הנאשם, בעל עבר פלילי, הוטלו</w:t>
      </w:r>
      <w:r>
        <w:rPr>
          <w:rFonts w:ascii="David" w:hAnsi="David" w:hint="cs"/>
          <w:b/>
          <w:bCs/>
          <w:rtl/>
        </w:rPr>
        <w:t xml:space="preserve"> 4 חודשי מאסר לריצוי בעבודות שירות</w:t>
      </w:r>
      <w:r>
        <w:rPr>
          <w:rFonts w:ascii="David" w:hAnsi="David" w:hint="cs"/>
          <w:rtl/>
        </w:rPr>
        <w:t>, מאסר מותנה, פסילת רישיון נהיגה, פסילה מותנית וקנס בסך 5,000 ₪.</w:t>
      </w:r>
    </w:p>
    <w:p w14:paraId="16A7C200" w14:textId="77777777" w:rsidR="00CA7A0F" w:rsidRDefault="00CA7A0F" w:rsidP="00CA7A0F">
      <w:pPr>
        <w:tabs>
          <w:tab w:val="left" w:pos="749"/>
        </w:tabs>
        <w:spacing w:line="360" w:lineRule="auto"/>
        <w:ind w:left="749" w:hanging="425"/>
        <w:jc w:val="both"/>
        <w:rPr>
          <w:rFonts w:ascii="David" w:hAnsi="David"/>
          <w:rtl/>
        </w:rPr>
      </w:pPr>
    </w:p>
    <w:p w14:paraId="3CCA253C" w14:textId="77777777" w:rsidR="00CA7A0F" w:rsidRDefault="00CA7A0F" w:rsidP="00CA7A0F">
      <w:pPr>
        <w:tabs>
          <w:tab w:val="left" w:pos="749"/>
        </w:tabs>
        <w:spacing w:line="360" w:lineRule="auto"/>
        <w:ind w:left="749" w:hanging="425"/>
        <w:jc w:val="both"/>
        <w:rPr>
          <w:rFonts w:ascii="David" w:hAnsi="David"/>
          <w:rtl/>
        </w:rPr>
      </w:pPr>
      <w:r>
        <w:rPr>
          <w:rFonts w:ascii="David" w:hAnsi="David" w:hint="cs"/>
          <w:rtl/>
        </w:rPr>
        <w:t>יז.</w:t>
      </w:r>
      <w:r>
        <w:rPr>
          <w:rFonts w:ascii="David" w:hAnsi="David" w:hint="cs"/>
          <w:rtl/>
        </w:rPr>
        <w:tab/>
        <w:t>ב</w:t>
      </w:r>
      <w:hyperlink r:id="rId66" w:history="1">
        <w:r w:rsidR="00521104" w:rsidRPr="00521104">
          <w:rPr>
            <w:rFonts w:ascii="David" w:hAnsi="David"/>
            <w:color w:val="0000FF"/>
            <w:u w:val="single"/>
            <w:rtl/>
          </w:rPr>
          <w:t>ת"פ (ראשל"צ) 19158-06-11</w:t>
        </w:r>
      </w:hyperlink>
      <w:r>
        <w:rPr>
          <w:rFonts w:ascii="David" w:hAnsi="David" w:hint="cs"/>
          <w:rtl/>
        </w:rPr>
        <w:t xml:space="preserve"> </w:t>
      </w:r>
      <w:r>
        <w:rPr>
          <w:rFonts w:ascii="David" w:hAnsi="David" w:hint="cs"/>
          <w:b/>
          <w:bCs/>
          <w:rtl/>
        </w:rPr>
        <w:t>מדינת ישראל נ' אלי ברנס ואח'</w:t>
      </w:r>
      <w:r>
        <w:rPr>
          <w:rFonts w:ascii="David" w:hAnsi="David" w:hint="cs"/>
          <w:rtl/>
        </w:rPr>
        <w:t xml:space="preserve"> (ניתן ביום 27.9.2011) הורשע נאשם על יסוד הודאתו במסגרת הסדר, בביצוע עבירה של החזקת סמים שלא לצריכה עצמית, בכך שהחזיק ברכב בו נהג, 2,357.53 גר' נטו חשיש המחולק ל-24 פלטות. בית המשפט כיבד את ההסדר המוצע, והטיל על הנאשם, בעל עבר פלילי, </w:t>
      </w:r>
      <w:r>
        <w:rPr>
          <w:rFonts w:ascii="David" w:hAnsi="David" w:hint="cs"/>
          <w:b/>
          <w:bCs/>
          <w:rtl/>
        </w:rPr>
        <w:t>5 חודשי מאסר בפועל</w:t>
      </w:r>
      <w:r>
        <w:rPr>
          <w:rFonts w:ascii="David" w:hAnsi="David" w:hint="cs"/>
          <w:rtl/>
        </w:rPr>
        <w:t>, מאסרים מותנים וקנס בסך 10,000 ₪.</w:t>
      </w:r>
    </w:p>
    <w:p w14:paraId="32034138" w14:textId="77777777" w:rsidR="00CA7A0F" w:rsidRDefault="00CA7A0F" w:rsidP="00CA7A0F">
      <w:pPr>
        <w:spacing w:line="360" w:lineRule="auto"/>
        <w:ind w:left="720" w:hanging="720"/>
        <w:jc w:val="both"/>
        <w:rPr>
          <w:rFonts w:ascii="David" w:hAnsi="David"/>
          <w:rtl/>
        </w:rPr>
      </w:pPr>
    </w:p>
    <w:p w14:paraId="41E9D3B1" w14:textId="77777777" w:rsidR="00CA7A0F" w:rsidRDefault="00CA7A0F" w:rsidP="00CA7A0F">
      <w:pPr>
        <w:tabs>
          <w:tab w:val="left" w:pos="368"/>
        </w:tabs>
        <w:spacing w:line="360" w:lineRule="auto"/>
        <w:ind w:left="368" w:hanging="324"/>
        <w:jc w:val="both"/>
        <w:rPr>
          <w:rFonts w:ascii="David" w:hAnsi="David"/>
          <w:rtl/>
        </w:rPr>
      </w:pPr>
      <w:r>
        <w:rPr>
          <w:rFonts w:ascii="David" w:hAnsi="David" w:hint="cs"/>
          <w:rtl/>
        </w:rPr>
        <w:t>18.</w:t>
      </w:r>
      <w:r>
        <w:rPr>
          <w:rFonts w:ascii="David" w:hAnsi="David" w:hint="cs"/>
          <w:rtl/>
        </w:rPr>
        <w:tab/>
        <w:t xml:space="preserve">לא מצאתי להביא לצורך קביעת המדיניות העונשית הנוהגת בעבירה דנא, את גזה"ד </w:t>
      </w:r>
      <w:r>
        <w:rPr>
          <w:rFonts w:hint="cs"/>
          <w:rtl/>
        </w:rPr>
        <w:t>ב</w:t>
      </w:r>
      <w:hyperlink r:id="rId67" w:history="1">
        <w:r w:rsidR="00521104" w:rsidRPr="00521104">
          <w:rPr>
            <w:rFonts w:ascii="David" w:hAnsi="David"/>
            <w:color w:val="0000FF"/>
            <w:u w:val="single"/>
            <w:rtl/>
          </w:rPr>
          <w:t>ת"פ (ב"ש) 1882-03-15</w:t>
        </w:r>
      </w:hyperlink>
      <w:r>
        <w:rPr>
          <w:rFonts w:ascii="David" w:hAnsi="David" w:hint="cs"/>
          <w:rtl/>
        </w:rPr>
        <w:t xml:space="preserve"> </w:t>
      </w:r>
      <w:r>
        <w:rPr>
          <w:rFonts w:ascii="David" w:hAnsi="David" w:hint="cs"/>
          <w:b/>
          <w:bCs/>
          <w:rtl/>
        </w:rPr>
        <w:t xml:space="preserve">מדינת ישראל נ' אחמד שהאב ואח' </w:t>
      </w:r>
      <w:r>
        <w:rPr>
          <w:rFonts w:ascii="David" w:hAnsi="David" w:hint="cs"/>
          <w:rtl/>
        </w:rPr>
        <w:t>(ניתן ביום 16.3.2016) אליו הפנתה המאשימה, היות ושם דובר בעבירה של הספקת סמים מסוג חשיש והרואין לתוך כתלי בית הסוהר. כך גם באשר לגזר הדין ב</w:t>
      </w:r>
      <w:hyperlink r:id="rId68" w:history="1">
        <w:r w:rsidR="00521104" w:rsidRPr="00521104">
          <w:rPr>
            <w:rFonts w:ascii="David" w:hAnsi="David"/>
            <w:color w:val="0000FF"/>
            <w:u w:val="single"/>
            <w:rtl/>
          </w:rPr>
          <w:t>ת"פ (ת"א) 29401-11-12</w:t>
        </w:r>
      </w:hyperlink>
      <w:r>
        <w:rPr>
          <w:rFonts w:ascii="David" w:hAnsi="David" w:hint="cs"/>
          <w:rtl/>
        </w:rPr>
        <w:t xml:space="preserve"> </w:t>
      </w:r>
      <w:r>
        <w:rPr>
          <w:rFonts w:ascii="David" w:hAnsi="David" w:hint="cs"/>
          <w:b/>
          <w:bCs/>
          <w:rtl/>
        </w:rPr>
        <w:t>מדינת ישראל נ' רונן לוין</w:t>
      </w:r>
      <w:r>
        <w:rPr>
          <w:rFonts w:ascii="David" w:hAnsi="David" w:hint="cs"/>
          <w:rtl/>
        </w:rPr>
        <w:t xml:space="preserve"> (ניתן ביום 25.2.2013), אליו הפנתה ההגנה, היות ושם נדונו עבירות של גידול ויצור סמים מסוג קנבוס במשקל של 24.4 ק"ג, החזקת סמים שלא לצריכה עצמית, החזקת כלים להכנת סם ונטילת חשמל במרמה.</w:t>
      </w:r>
    </w:p>
    <w:p w14:paraId="426AF8AE" w14:textId="77777777" w:rsidR="00CA7A0F" w:rsidRDefault="00CA7A0F" w:rsidP="00CA7A0F">
      <w:pPr>
        <w:spacing w:line="360" w:lineRule="auto"/>
        <w:ind w:left="720" w:hanging="720"/>
        <w:jc w:val="both"/>
        <w:rPr>
          <w:rFonts w:ascii="David" w:hAnsi="David"/>
          <w:rtl/>
        </w:rPr>
      </w:pPr>
    </w:p>
    <w:p w14:paraId="1CD2FAB6" w14:textId="77777777" w:rsidR="00CA7A0F" w:rsidRDefault="00CA7A0F" w:rsidP="00CA7A0F">
      <w:pPr>
        <w:tabs>
          <w:tab w:val="left" w:pos="368"/>
        </w:tabs>
        <w:spacing w:line="360" w:lineRule="auto"/>
        <w:ind w:left="368" w:hanging="324"/>
        <w:jc w:val="both"/>
        <w:rPr>
          <w:rFonts w:ascii="Calibri" w:hAnsi="Calibri"/>
          <w:b/>
          <w:bCs/>
          <w:rtl/>
        </w:rPr>
      </w:pPr>
      <w:r>
        <w:rPr>
          <w:rFonts w:ascii="David" w:hAnsi="David" w:hint="cs"/>
          <w:rtl/>
        </w:rPr>
        <w:t>19.</w:t>
      </w:r>
      <w:r>
        <w:rPr>
          <w:rFonts w:hint="cs"/>
          <w:rtl/>
        </w:rPr>
        <w:tab/>
        <w:t xml:space="preserve">מכל המקובץ, באתי למסקנה כי טווח הענישה שהוצע על ידי הצדדים הולם את נסיבות המקרה דנא, ועל כן אני קובע כי </w:t>
      </w:r>
      <w:r>
        <w:rPr>
          <w:rFonts w:hint="cs"/>
          <w:b/>
          <w:bCs/>
          <w:rtl/>
        </w:rPr>
        <w:t>מתחם הענישה ההולם לעבירה שביצע הנאשם הינו בין 5 חודשי מאסר בפועל שיכול וירוצו בעבודות שירות לבין 12 חודשי מאסר בפועל, לצד ענישה מותנית וענישה כלכלית.</w:t>
      </w:r>
    </w:p>
    <w:p w14:paraId="64E8E73D" w14:textId="77777777" w:rsidR="00CA7A0F" w:rsidRDefault="00CA7A0F" w:rsidP="00CA7A0F">
      <w:pPr>
        <w:spacing w:line="360" w:lineRule="auto"/>
        <w:ind w:left="720"/>
        <w:jc w:val="both"/>
        <w:rPr>
          <w:rtl/>
        </w:rPr>
      </w:pPr>
    </w:p>
    <w:p w14:paraId="55FC082B" w14:textId="77777777" w:rsidR="00CA7A0F" w:rsidRDefault="00CA7A0F" w:rsidP="00CA7A0F">
      <w:pPr>
        <w:spacing w:line="360" w:lineRule="auto"/>
        <w:ind w:left="720" w:hanging="676"/>
        <w:jc w:val="both"/>
        <w:rPr>
          <w:b/>
          <w:bCs/>
          <w:u w:val="single"/>
          <w:rtl/>
        </w:rPr>
      </w:pPr>
      <w:r>
        <w:rPr>
          <w:rFonts w:hint="cs"/>
          <w:b/>
          <w:bCs/>
          <w:u w:val="single"/>
          <w:rtl/>
        </w:rPr>
        <w:t>האם יש מקום לחריגה מגבולות מתחמי הענישה?</w:t>
      </w:r>
    </w:p>
    <w:p w14:paraId="40D240DF" w14:textId="77777777" w:rsidR="00CA7A0F" w:rsidRDefault="00CA7A0F" w:rsidP="00CA7A0F">
      <w:pPr>
        <w:spacing w:line="360" w:lineRule="auto"/>
        <w:jc w:val="both"/>
        <w:rPr>
          <w:rtl/>
        </w:rPr>
      </w:pPr>
    </w:p>
    <w:p w14:paraId="5D0F9063" w14:textId="77777777" w:rsidR="00CA7A0F" w:rsidRDefault="00CA7A0F" w:rsidP="00CA7A0F">
      <w:pPr>
        <w:tabs>
          <w:tab w:val="left" w:pos="368"/>
        </w:tabs>
        <w:spacing w:line="360" w:lineRule="auto"/>
        <w:ind w:left="368" w:hanging="324"/>
        <w:jc w:val="both"/>
        <w:rPr>
          <w:rtl/>
        </w:rPr>
      </w:pPr>
      <w:r>
        <w:rPr>
          <w:rFonts w:hint="cs"/>
          <w:rtl/>
        </w:rPr>
        <w:t>20.</w:t>
      </w:r>
      <w:r>
        <w:rPr>
          <w:rFonts w:hint="cs"/>
          <w:rtl/>
        </w:rPr>
        <w:tab/>
        <w:t>לא מצאתי הצדקה לחרוג ממתחם העונש ההולם מטעמי שיקום, היות והנאשם לא נמצא בשל להשתלב בהליך טיפולי בחסות שירות המבחן ובשל קשייו לעמוד על חומרת מעשיו. מנגד, לא מצאתי לחצות את רף מתחם הענישה לחומרה משיקולי הגנה על שלום הציבור. אי-לכך, מכלול השיקולים, לרבות שיקולי הרתעת הנאשם ואחרים כמותו ינחוני בקביעת העונש המתאים בגדר מתחם הענישה (</w:t>
      </w:r>
      <w:hyperlink r:id="rId69" w:history="1">
        <w:r w:rsidR="0093277F" w:rsidRPr="0093277F">
          <w:rPr>
            <w:color w:val="0000FF"/>
            <w:u w:val="single"/>
            <w:rtl/>
          </w:rPr>
          <w:t>סע' 40ו</w:t>
        </w:r>
      </w:hyperlink>
      <w:r>
        <w:rPr>
          <w:rFonts w:hint="cs"/>
          <w:rtl/>
        </w:rPr>
        <w:t xml:space="preserve"> ו-</w:t>
      </w:r>
      <w:hyperlink r:id="rId70" w:history="1">
        <w:r w:rsidR="0093277F" w:rsidRPr="0093277F">
          <w:rPr>
            <w:color w:val="0000FF"/>
            <w:u w:val="single"/>
            <w:rtl/>
          </w:rPr>
          <w:t>40ז</w:t>
        </w:r>
      </w:hyperlink>
      <w:r>
        <w:rPr>
          <w:rFonts w:hint="cs"/>
          <w:rtl/>
        </w:rPr>
        <w:t xml:space="preserve"> ל</w:t>
      </w:r>
      <w:hyperlink r:id="rId71" w:history="1">
        <w:r w:rsidR="00521104" w:rsidRPr="00521104">
          <w:rPr>
            <w:color w:val="0000FF"/>
            <w:u w:val="single"/>
            <w:rtl/>
          </w:rPr>
          <w:t>חוק העונשין</w:t>
        </w:r>
      </w:hyperlink>
      <w:r>
        <w:rPr>
          <w:rFonts w:hint="cs"/>
          <w:rtl/>
        </w:rPr>
        <w:t>).</w:t>
      </w:r>
    </w:p>
    <w:p w14:paraId="39231CF4" w14:textId="77777777" w:rsidR="00CA7A0F" w:rsidRDefault="00CA7A0F" w:rsidP="00CA7A0F">
      <w:pPr>
        <w:spacing w:line="360" w:lineRule="auto"/>
        <w:ind w:left="720" w:hanging="676"/>
        <w:jc w:val="both"/>
        <w:rPr>
          <w:rtl/>
        </w:rPr>
      </w:pPr>
    </w:p>
    <w:p w14:paraId="131A8134" w14:textId="77777777" w:rsidR="00CA7A0F" w:rsidRDefault="00CA7A0F" w:rsidP="00CA7A0F">
      <w:pPr>
        <w:spacing w:line="360" w:lineRule="auto"/>
        <w:ind w:left="405" w:hanging="360"/>
        <w:jc w:val="both"/>
        <w:rPr>
          <w:b/>
          <w:bCs/>
          <w:u w:val="single"/>
          <w:rtl/>
        </w:rPr>
      </w:pPr>
      <w:r>
        <w:rPr>
          <w:rFonts w:hint="cs"/>
          <w:b/>
          <w:bCs/>
          <w:u w:val="single"/>
          <w:rtl/>
        </w:rPr>
        <w:t>נסיבות שאינן קשורות בביצוע העבירה</w:t>
      </w:r>
    </w:p>
    <w:p w14:paraId="7ADB6315" w14:textId="77777777" w:rsidR="00CA7A0F" w:rsidRDefault="00CA7A0F" w:rsidP="00CA7A0F">
      <w:pPr>
        <w:spacing w:line="360" w:lineRule="auto"/>
        <w:ind w:left="405" w:hanging="360"/>
        <w:jc w:val="both"/>
        <w:rPr>
          <w:b/>
          <w:bCs/>
          <w:u w:val="single"/>
          <w:rtl/>
        </w:rPr>
      </w:pPr>
    </w:p>
    <w:p w14:paraId="4D750980" w14:textId="77777777" w:rsidR="00CA7A0F" w:rsidRDefault="00CA7A0F" w:rsidP="00CA7A0F">
      <w:pPr>
        <w:tabs>
          <w:tab w:val="left" w:pos="368"/>
        </w:tabs>
        <w:spacing w:line="360" w:lineRule="auto"/>
        <w:ind w:left="368" w:hanging="324"/>
        <w:jc w:val="both"/>
        <w:rPr>
          <w:rtl/>
        </w:rPr>
      </w:pPr>
      <w:r>
        <w:rPr>
          <w:rFonts w:hint="cs"/>
          <w:rtl/>
        </w:rPr>
        <w:t>21.</w:t>
      </w:r>
      <w:r>
        <w:rPr>
          <w:rFonts w:hint="cs"/>
          <w:rtl/>
        </w:rPr>
        <w:tab/>
        <w:t xml:space="preserve">בגזירת העונש המתאים לנאשם, בהתאם </w:t>
      </w:r>
      <w:hyperlink r:id="rId72" w:history="1">
        <w:r w:rsidR="0093277F" w:rsidRPr="0093277F">
          <w:rPr>
            <w:color w:val="0000FF"/>
            <w:u w:val="single"/>
            <w:rtl/>
          </w:rPr>
          <w:t>לסעיף 40יא</w:t>
        </w:r>
      </w:hyperlink>
      <w:r>
        <w:rPr>
          <w:rFonts w:hint="cs"/>
          <w:rtl/>
        </w:rPr>
        <w:t xml:space="preserve"> ל</w:t>
      </w:r>
      <w:hyperlink r:id="rId73" w:history="1">
        <w:r w:rsidR="00521104" w:rsidRPr="00521104">
          <w:rPr>
            <w:color w:val="0000FF"/>
            <w:u w:val="single"/>
            <w:rtl/>
          </w:rPr>
          <w:t>חוק העונשין</w:t>
        </w:r>
      </w:hyperlink>
      <w:r>
        <w:rPr>
          <w:rFonts w:hint="cs"/>
          <w:rtl/>
        </w:rPr>
        <w:t>, יובאו בכלל חשבון נסיבותיו האישיות, שאינן קשורות בביצוע העבירה. בדרך זו חידד תיקון מס' 113 ל</w:t>
      </w:r>
      <w:hyperlink r:id="rId74" w:history="1">
        <w:r w:rsidR="00521104" w:rsidRPr="00521104">
          <w:rPr>
            <w:color w:val="0000FF"/>
            <w:u w:val="single"/>
            <w:rtl/>
          </w:rPr>
          <w:t>חוק העונשין</w:t>
        </w:r>
      </w:hyperlink>
      <w:r>
        <w:rPr>
          <w:rFonts w:hint="cs"/>
          <w:rtl/>
        </w:rPr>
        <w:t xml:space="preserve"> את הצורך בהמשך נקיטת שיטת ענישה אינדיווידואלית, הבוחנת נסיבותיו של כל מקרה ואדם המובא לדין (</w:t>
      </w:r>
      <w:hyperlink r:id="rId75" w:history="1">
        <w:r w:rsidR="00521104" w:rsidRPr="00521104">
          <w:rPr>
            <w:color w:val="0000FF"/>
            <w:u w:val="single"/>
            <w:rtl/>
          </w:rPr>
          <w:t>ע"פ 433/89 אטיאס נ' מדינת ישראל, פ"ד מג</w:t>
        </w:r>
      </w:hyperlink>
      <w:r>
        <w:rPr>
          <w:rFonts w:hint="cs"/>
          <w:rtl/>
        </w:rPr>
        <w:t xml:space="preserve">(4) 170; </w:t>
      </w:r>
      <w:hyperlink r:id="rId76" w:history="1">
        <w:r w:rsidR="00521104" w:rsidRPr="00521104">
          <w:rPr>
            <w:color w:val="0000FF"/>
            <w:u w:val="single"/>
            <w:rtl/>
          </w:rPr>
          <w:t>ע"פ 5106/99 אבו ניג'מה נ' מדינת ישראל, פ"ד נד</w:t>
        </w:r>
      </w:hyperlink>
      <w:r>
        <w:rPr>
          <w:rFonts w:hint="cs"/>
          <w:rtl/>
        </w:rPr>
        <w:t xml:space="preserve">(1) 350; </w:t>
      </w:r>
      <w:hyperlink r:id="rId77" w:history="1">
        <w:r w:rsidR="00521104" w:rsidRPr="00521104">
          <w:rPr>
            <w:color w:val="0000FF"/>
            <w:u w:val="single"/>
            <w:rtl/>
          </w:rPr>
          <w:t>רע"פ 3173/09</w:t>
        </w:r>
      </w:hyperlink>
      <w:r>
        <w:rPr>
          <w:rFonts w:hint="cs"/>
          <w:rtl/>
        </w:rPr>
        <w:t xml:space="preserve"> </w:t>
      </w:r>
      <w:r>
        <w:rPr>
          <w:rFonts w:hint="cs"/>
          <w:b/>
          <w:bCs/>
          <w:rtl/>
        </w:rPr>
        <w:t>פראגין נ' מדינת ישרא</w:t>
      </w:r>
      <w:r>
        <w:rPr>
          <w:rFonts w:hint="cs"/>
          <w:rtl/>
        </w:rPr>
        <w:t>ל (ניתן ביום 5.5.2009)).</w:t>
      </w:r>
    </w:p>
    <w:p w14:paraId="1DFA4A7F" w14:textId="77777777" w:rsidR="00CA7A0F" w:rsidRDefault="00CA7A0F" w:rsidP="00CA7A0F">
      <w:pPr>
        <w:spacing w:line="360" w:lineRule="auto"/>
        <w:ind w:left="405" w:hanging="360"/>
        <w:jc w:val="both"/>
        <w:rPr>
          <w:rtl/>
        </w:rPr>
      </w:pPr>
    </w:p>
    <w:p w14:paraId="26089932" w14:textId="77777777" w:rsidR="00CA7A0F" w:rsidRDefault="00CA7A0F" w:rsidP="00CA7A0F">
      <w:pPr>
        <w:spacing w:line="360" w:lineRule="auto"/>
        <w:ind w:left="405" w:hanging="360"/>
        <w:jc w:val="both"/>
        <w:rPr>
          <w:u w:val="single"/>
          <w:rtl/>
        </w:rPr>
      </w:pPr>
      <w:r>
        <w:rPr>
          <w:rFonts w:hint="cs"/>
          <w:u w:val="single"/>
          <w:rtl/>
        </w:rPr>
        <w:t>תסקיר שירות מבחן</w:t>
      </w:r>
    </w:p>
    <w:p w14:paraId="32E9C957" w14:textId="77777777" w:rsidR="00CA7A0F" w:rsidRDefault="00CA7A0F" w:rsidP="00CA7A0F">
      <w:pPr>
        <w:spacing w:line="360" w:lineRule="auto"/>
        <w:ind w:left="405" w:hanging="360"/>
        <w:jc w:val="both"/>
        <w:rPr>
          <w:rtl/>
        </w:rPr>
      </w:pPr>
    </w:p>
    <w:p w14:paraId="4DDDCE98" w14:textId="77777777" w:rsidR="00CA7A0F" w:rsidRDefault="00CA7A0F" w:rsidP="00CA7A0F">
      <w:pPr>
        <w:tabs>
          <w:tab w:val="left" w:pos="368"/>
        </w:tabs>
        <w:spacing w:line="360" w:lineRule="auto"/>
        <w:ind w:left="368" w:hanging="324"/>
        <w:jc w:val="both"/>
        <w:rPr>
          <w:rtl/>
        </w:rPr>
      </w:pPr>
      <w:r>
        <w:rPr>
          <w:rFonts w:hint="cs"/>
          <w:rtl/>
        </w:rPr>
        <w:t>22.</w:t>
      </w:r>
      <w:r>
        <w:rPr>
          <w:rFonts w:hint="cs"/>
          <w:rtl/>
        </w:rPr>
        <w:tab/>
        <w:t>שירות המבחן ערך תסקיר בעניינו של הנאשם, במסגרתו נסקרו קורות חייו ורקעו המשפחתי, אך בשל צנעת הפרט אמנע מלפרט מעבר לנדרש. נמסר כי הנאשם, בן 22 נשוי ואב לפעוט, מתגורר בפזורה הבדואית ומתקיים מקצבת הבטחת הכנסה מהמוסד לביטוח הלאומי. דווח על העדר יציבות תעסוקתית, אך בשיחה עם אחד ממעסיקיו לשעבר, נמסר כי הנאשם היא עובד טוב ומסור. נמסר כי הנאשם גדל בתנאי מחייה קשים מאוד, ונמנעו ממנו צרכים בסיסיים. נמסר כי הנאשם נעדר עבר פלילי. הנאשם שלל שימוש בסמים והבדיקות שנערכו לו במסגרת השירות יצאו נקיות משרידי סם. הנאשם הודה בביצוע העבירה המיוחסת לו ולקח אחריות, אך הביע עמדות מקלות על חומרתה, והתקבל הרושם כי הצער שביטא קשור למחיר שעליו לשלם כתוצאה מביצוע העבירה. הנאשם הביע רצון בפני שירות המבחן לערוך שינוי בחייו וטען כי ביצע את המעשה להשגת כסף קל. הנאשם לא שיתף את שירות המבחן בזהות מכריו ולא רצה לגלות עם מי נמצא באינטראקציה חברתית. שירות המבחן התרשם מיכולות דלות ויכולת מוגבלת לשתף בעולמו הפנימי הרגשי. נמסר כי הנאשם מתקשה לקחת אחריות על ניהול חייו ולכוונם. הוצע לנאשם להשתלב בהליך טיפולי, אך נתקבל הרושם כי הוא אינו מבין את משמעות ההליך ובסופו של דבר לא נמצא בשל לכך בשלב זה. בנסיבות אלה, המליץ שירות המבחן להטיל על הנאשם עונש מאסר בפועל שירוצה בעבודות שירות לצד מאסר מותנה.</w:t>
      </w:r>
    </w:p>
    <w:p w14:paraId="514B7BB4" w14:textId="77777777" w:rsidR="00CA7A0F" w:rsidRDefault="00CA7A0F" w:rsidP="00CA7A0F">
      <w:pPr>
        <w:spacing w:line="360" w:lineRule="auto"/>
        <w:ind w:left="720" w:hanging="676"/>
        <w:jc w:val="both"/>
        <w:rPr>
          <w:rtl/>
        </w:rPr>
      </w:pPr>
    </w:p>
    <w:p w14:paraId="57D5841A" w14:textId="77777777" w:rsidR="00CA7A0F" w:rsidRDefault="00CA7A0F" w:rsidP="00CA7A0F">
      <w:pPr>
        <w:tabs>
          <w:tab w:val="left" w:pos="368"/>
        </w:tabs>
        <w:spacing w:line="360" w:lineRule="auto"/>
        <w:ind w:left="368" w:hanging="324"/>
        <w:jc w:val="both"/>
        <w:rPr>
          <w:rtl/>
        </w:rPr>
      </w:pPr>
      <w:r>
        <w:rPr>
          <w:rFonts w:hint="cs"/>
          <w:rtl/>
        </w:rPr>
        <w:t>23.</w:t>
      </w:r>
      <w:r>
        <w:rPr>
          <w:rFonts w:hint="cs"/>
          <w:rtl/>
        </w:rPr>
        <w:tab/>
        <w:t xml:space="preserve">הנאשם הופנה לממונה על עבודות שירות, אשר מצא אותו כשיר לבצע עבודות שירות. </w:t>
      </w:r>
    </w:p>
    <w:p w14:paraId="3539BFE0" w14:textId="77777777" w:rsidR="00CA7A0F" w:rsidRDefault="00CA7A0F" w:rsidP="00CA7A0F">
      <w:pPr>
        <w:spacing w:line="360" w:lineRule="auto"/>
        <w:ind w:left="702" w:hanging="709"/>
        <w:jc w:val="both"/>
        <w:rPr>
          <w:rtl/>
        </w:rPr>
      </w:pPr>
    </w:p>
    <w:p w14:paraId="0382B378" w14:textId="77777777" w:rsidR="00CA7A0F" w:rsidRDefault="00CA7A0F" w:rsidP="00CA7A0F">
      <w:pPr>
        <w:tabs>
          <w:tab w:val="left" w:pos="368"/>
        </w:tabs>
        <w:spacing w:line="360" w:lineRule="auto"/>
        <w:ind w:left="368" w:hanging="324"/>
        <w:jc w:val="both"/>
        <w:rPr>
          <w:rtl/>
        </w:rPr>
      </w:pPr>
      <w:r>
        <w:rPr>
          <w:rFonts w:hint="cs"/>
          <w:rtl/>
        </w:rPr>
        <w:t>24.</w:t>
      </w:r>
      <w:r>
        <w:rPr>
          <w:rFonts w:hint="cs"/>
          <w:rtl/>
        </w:rPr>
        <w:tab/>
      </w:r>
      <w:r>
        <w:rPr>
          <w:rFonts w:hint="cs"/>
          <w:b/>
          <w:bCs/>
          <w:rtl/>
        </w:rPr>
        <w:t xml:space="preserve">שיקולים לחומרה: </w:t>
      </w:r>
      <w:r>
        <w:rPr>
          <w:rFonts w:hint="cs"/>
          <w:rtl/>
        </w:rPr>
        <w:t>בבסיס השיקולים לחומרה ניצבת המדיניות המשפטית בעבירה בה הורשע הנאשם והצורך להגן על הערכים החברתיים שנפגעו מביצועה. בעניין זה, יש להביא בכלל חשבון את שיקולי הרתעת היחיד והרבים, בעיקר נוכח ההשלכות החברתיות הקשות הכרוכות בביצוע עבירות סמים. לא אחת נפסק כי בעבירות סמים יש לתן משקל בכורה לאינטרס הציבורי (</w:t>
      </w:r>
      <w:hyperlink r:id="rId78" w:history="1">
        <w:r w:rsidR="00521104" w:rsidRPr="00521104">
          <w:rPr>
            <w:color w:val="0000FF"/>
            <w:u w:val="single"/>
            <w:rtl/>
          </w:rPr>
          <w:t>ע"פ 5265/95</w:t>
        </w:r>
      </w:hyperlink>
      <w:r>
        <w:rPr>
          <w:rFonts w:hint="cs"/>
          <w:rtl/>
        </w:rPr>
        <w:t xml:space="preserve"> </w:t>
      </w:r>
      <w:r>
        <w:rPr>
          <w:rFonts w:hint="cs"/>
          <w:b/>
          <w:bCs/>
          <w:rtl/>
        </w:rPr>
        <w:t>מנשה נ' מדינת ישראל</w:t>
      </w:r>
      <w:r>
        <w:rPr>
          <w:rFonts w:hint="cs"/>
          <w:rtl/>
        </w:rPr>
        <w:t xml:space="preserve"> (ניתן ביום 23.1.1996)).לחובת הנאשם יש לציין את קשייו בנטילת אחריות למעשיו וקלות הראש בה התייחס לחומרת העבירה. </w:t>
      </w:r>
    </w:p>
    <w:p w14:paraId="482BB3D2" w14:textId="77777777" w:rsidR="00CA7A0F" w:rsidRDefault="00CA7A0F" w:rsidP="00CA7A0F">
      <w:pPr>
        <w:spacing w:line="360" w:lineRule="auto"/>
        <w:ind w:left="720" w:hanging="676"/>
        <w:jc w:val="both"/>
        <w:rPr>
          <w:rtl/>
        </w:rPr>
      </w:pPr>
    </w:p>
    <w:p w14:paraId="4F9E6617" w14:textId="77777777" w:rsidR="00CA7A0F" w:rsidRDefault="00CA7A0F" w:rsidP="00CA7A0F">
      <w:pPr>
        <w:tabs>
          <w:tab w:val="left" w:pos="368"/>
        </w:tabs>
        <w:spacing w:line="360" w:lineRule="auto"/>
        <w:ind w:left="368" w:hanging="324"/>
        <w:jc w:val="both"/>
        <w:rPr>
          <w:rtl/>
        </w:rPr>
      </w:pPr>
      <w:r>
        <w:rPr>
          <w:rFonts w:hint="cs"/>
          <w:rtl/>
        </w:rPr>
        <w:t>25.</w:t>
      </w:r>
      <w:r>
        <w:rPr>
          <w:rFonts w:hint="cs"/>
          <w:rtl/>
        </w:rPr>
        <w:tab/>
      </w:r>
      <w:r>
        <w:rPr>
          <w:rFonts w:hint="cs"/>
          <w:b/>
          <w:bCs/>
          <w:rtl/>
        </w:rPr>
        <w:t>שיקולים לקולא:</w:t>
      </w:r>
      <w:r>
        <w:rPr>
          <w:rFonts w:hint="cs"/>
          <w:rtl/>
        </w:rPr>
        <w:t xml:space="preserve"> הנאשם הודה במיוחס לו בהזדמנות הראשונה ובכך חסך זמן שיפוטי יקר. לזכות הנאשם הבאתי בחשבון את גילו הצעיר, עברו הפלילי הנקי, היותו אב טרי לתינוק. לא נודע על פתיחת תיקים נוספים נגד הנאשם. הנאשם שיתף פעולה עם שירות המבחן, הגיע למפגשים שנקבעו לו, הביע צער על מעשיו ומסר שהפיק את הלקחים מטעויותיו. בדיקות שנערכו לנאשם, במסגרת שירות המבחן, לא הצביעו על צריכת סמים. </w:t>
      </w:r>
    </w:p>
    <w:p w14:paraId="0ABF624A" w14:textId="77777777" w:rsidR="00CA7A0F" w:rsidRDefault="00CA7A0F" w:rsidP="00CA7A0F">
      <w:pPr>
        <w:spacing w:line="360" w:lineRule="auto"/>
        <w:jc w:val="both"/>
        <w:rPr>
          <w:rtl/>
        </w:rPr>
      </w:pPr>
    </w:p>
    <w:p w14:paraId="6B2A73DE" w14:textId="77777777" w:rsidR="00CA7A0F" w:rsidRDefault="00CA7A0F" w:rsidP="00CA7A0F">
      <w:pPr>
        <w:tabs>
          <w:tab w:val="left" w:pos="368"/>
        </w:tabs>
        <w:spacing w:line="360" w:lineRule="auto"/>
        <w:ind w:left="368" w:hanging="324"/>
        <w:jc w:val="both"/>
        <w:rPr>
          <w:rtl/>
        </w:rPr>
      </w:pPr>
      <w:r>
        <w:rPr>
          <w:rFonts w:hint="cs"/>
          <w:rtl/>
        </w:rPr>
        <w:t>26.</w:t>
      </w:r>
      <w:r>
        <w:rPr>
          <w:rFonts w:hint="cs"/>
          <w:rtl/>
        </w:rPr>
        <w:tab/>
        <w:t xml:space="preserve">הבאתי בחשבון כי הנאשם שהה במעצר מיום 18.9.2015 ועד ליום 24.9.2015, לאחר מכן שוחרר למעצר בית מלא עד ליום 19.10.2015, לאחריו צומצם מעצר הבית לשעות הערב והלילה בלבד. </w:t>
      </w:r>
    </w:p>
    <w:p w14:paraId="56ABF452" w14:textId="77777777" w:rsidR="00CA7A0F" w:rsidRDefault="00CA7A0F" w:rsidP="00CA7A0F">
      <w:pPr>
        <w:spacing w:line="360" w:lineRule="auto"/>
        <w:ind w:left="720"/>
        <w:jc w:val="both"/>
        <w:rPr>
          <w:rtl/>
        </w:rPr>
      </w:pPr>
    </w:p>
    <w:p w14:paraId="1DC8E48E" w14:textId="77777777" w:rsidR="00CA7A0F" w:rsidRDefault="00CA7A0F" w:rsidP="00CA7A0F">
      <w:pPr>
        <w:tabs>
          <w:tab w:val="left" w:pos="368"/>
        </w:tabs>
        <w:spacing w:line="360" w:lineRule="auto"/>
        <w:ind w:left="368" w:hanging="324"/>
        <w:jc w:val="both"/>
        <w:rPr>
          <w:rtl/>
        </w:rPr>
      </w:pPr>
      <w:r>
        <w:rPr>
          <w:rFonts w:hint="cs"/>
          <w:rtl/>
        </w:rPr>
        <w:t>27.</w:t>
      </w:r>
      <w:r>
        <w:rPr>
          <w:rFonts w:hint="cs"/>
          <w:rtl/>
        </w:rPr>
        <w:tab/>
        <w:t xml:space="preserve">מכל המקובץ, בהביאי בכלל חשבון את שיקולי הגמול, השיקום וההרתעה, ביחס לנאשם בנסיבותיו - הסלידה שחשה החברה נוכח מעשיו והוקעתם הנדרשת, הצורך בהמחשת חומרת מעשיו, הרתעתו והרתעת עבריינים כמותו, לצד צרכיי שיקומו, הרי שבגדר תפירת חליפתו העונשית, סבורני כי יש להטיל על הנאשם ענישה מוחשית שתרוצה בדרך של עבודות שירות לצד מאסרים מותנים וקנס כספי, כפי הסכמת הצדדים. </w:t>
      </w:r>
    </w:p>
    <w:p w14:paraId="3EF4CB3E" w14:textId="77777777" w:rsidR="00CA7A0F" w:rsidRDefault="00CA7A0F" w:rsidP="00CA7A0F">
      <w:pPr>
        <w:tabs>
          <w:tab w:val="left" w:pos="368"/>
        </w:tabs>
        <w:spacing w:line="360" w:lineRule="auto"/>
        <w:ind w:left="368" w:hanging="324"/>
        <w:jc w:val="both"/>
        <w:rPr>
          <w:rtl/>
        </w:rPr>
      </w:pPr>
    </w:p>
    <w:p w14:paraId="5025D114" w14:textId="77777777" w:rsidR="00CA7A0F" w:rsidRDefault="00CA7A0F" w:rsidP="00CA7A0F">
      <w:pPr>
        <w:spacing w:line="360" w:lineRule="auto"/>
        <w:ind w:left="720" w:hanging="676"/>
        <w:jc w:val="both"/>
        <w:rPr>
          <w:rtl/>
        </w:rPr>
      </w:pPr>
    </w:p>
    <w:p w14:paraId="55D2D803" w14:textId="77777777" w:rsidR="00CA7A0F" w:rsidRDefault="00CA7A0F" w:rsidP="00CA7A0F">
      <w:pPr>
        <w:spacing w:line="360" w:lineRule="auto"/>
        <w:ind w:left="-7"/>
        <w:jc w:val="both"/>
        <w:rPr>
          <w:b/>
          <w:bCs/>
          <w:rtl/>
        </w:rPr>
      </w:pPr>
      <w:r>
        <w:rPr>
          <w:rFonts w:hint="cs"/>
          <w:rtl/>
        </w:rPr>
        <w:tab/>
      </w:r>
      <w:r>
        <w:rPr>
          <w:rFonts w:hint="cs"/>
          <w:b/>
          <w:bCs/>
          <w:u w:val="single"/>
          <w:rtl/>
        </w:rPr>
        <w:t>העונש המתאים לנאשם</w:t>
      </w:r>
    </w:p>
    <w:p w14:paraId="14B5CC93" w14:textId="77777777" w:rsidR="00CA7A0F" w:rsidRDefault="00CA7A0F" w:rsidP="00CA7A0F">
      <w:pPr>
        <w:spacing w:line="360" w:lineRule="auto"/>
        <w:ind w:left="720" w:hanging="720"/>
        <w:jc w:val="both"/>
        <w:rPr>
          <w:rtl/>
        </w:rPr>
      </w:pPr>
    </w:p>
    <w:p w14:paraId="1D75E2F2" w14:textId="77777777" w:rsidR="00CA7A0F" w:rsidRDefault="00CA7A0F" w:rsidP="00CA7A0F">
      <w:pPr>
        <w:tabs>
          <w:tab w:val="left" w:pos="368"/>
        </w:tabs>
        <w:spacing w:line="360" w:lineRule="auto"/>
        <w:ind w:left="368" w:hanging="324"/>
        <w:jc w:val="both"/>
        <w:rPr>
          <w:rtl/>
        </w:rPr>
      </w:pPr>
      <w:r>
        <w:rPr>
          <w:rFonts w:hint="cs"/>
          <w:rtl/>
        </w:rPr>
        <w:t>28.</w:t>
      </w:r>
      <w:r>
        <w:rPr>
          <w:rFonts w:hint="cs"/>
          <w:rtl/>
        </w:rPr>
        <w:tab/>
        <w:t>מכל הנתונים והשיקולים שפירטתי לעיל, מצאתי להשית על הנאשם עונש כדלקמן:</w:t>
      </w:r>
    </w:p>
    <w:p w14:paraId="4E901297" w14:textId="77777777" w:rsidR="00CA7A0F" w:rsidRDefault="00CA7A0F" w:rsidP="00CA7A0F">
      <w:pPr>
        <w:tabs>
          <w:tab w:val="left" w:pos="368"/>
        </w:tabs>
        <w:spacing w:line="360" w:lineRule="auto"/>
        <w:ind w:left="368" w:hanging="324"/>
        <w:jc w:val="both"/>
        <w:rPr>
          <w:rtl/>
        </w:rPr>
      </w:pPr>
    </w:p>
    <w:p w14:paraId="0825F8EF" w14:textId="77777777" w:rsidR="00CA7A0F" w:rsidRDefault="00CA7A0F" w:rsidP="00CA7A0F">
      <w:pPr>
        <w:tabs>
          <w:tab w:val="left" w:pos="608"/>
        </w:tabs>
        <w:spacing w:line="360" w:lineRule="auto"/>
        <w:ind w:left="608" w:hanging="284"/>
        <w:jc w:val="both"/>
        <w:rPr>
          <w:rtl/>
        </w:rPr>
      </w:pPr>
      <w:r>
        <w:rPr>
          <w:rFonts w:hint="cs"/>
          <w:rtl/>
        </w:rPr>
        <w:t>א.</w:t>
      </w:r>
      <w:r>
        <w:rPr>
          <w:rFonts w:hint="cs"/>
          <w:rtl/>
        </w:rPr>
        <w:tab/>
      </w:r>
      <w:r>
        <w:rPr>
          <w:rFonts w:hint="cs"/>
          <w:u w:val="single"/>
          <w:rtl/>
        </w:rPr>
        <w:t>מאסר בפועל</w:t>
      </w:r>
      <w:r>
        <w:rPr>
          <w:rFonts w:hint="cs"/>
          <w:rtl/>
        </w:rPr>
        <w:t xml:space="preserve"> לתקופה של 6 חודשים. תקופת המאסר תרוצה בדרך של עבודות שירות בהתאם לחוות דעת הממונה מיום 10.2.2016. הנאשם מוזהר כי כל הפרה בתנאי עבודות השירות יכולה ותביא להפקעתן המנהלית ולריצוי העונש במתקן כליאה. הובהר לנאשם כי מקום השמתו לריצוי עבודות השירות הינו ב"בית החייל באר שבע".</w:t>
      </w:r>
    </w:p>
    <w:p w14:paraId="33CBA6A4" w14:textId="77777777" w:rsidR="00CA7A0F" w:rsidRDefault="00CA7A0F" w:rsidP="00CA7A0F">
      <w:pPr>
        <w:tabs>
          <w:tab w:val="left" w:pos="608"/>
        </w:tabs>
        <w:spacing w:line="360" w:lineRule="auto"/>
        <w:ind w:left="608" w:hanging="284"/>
        <w:jc w:val="both"/>
        <w:rPr>
          <w:u w:val="single"/>
          <w:rtl/>
        </w:rPr>
      </w:pPr>
      <w:r>
        <w:rPr>
          <w:rFonts w:hint="cs"/>
          <w:rtl/>
        </w:rPr>
        <w:tab/>
      </w:r>
      <w:r>
        <w:rPr>
          <w:rFonts w:hint="cs"/>
          <w:u w:val="single"/>
          <w:rtl/>
        </w:rPr>
        <w:t xml:space="preserve">היות והמועד שנקבע לתחילת ריצוי עבודות השירות חלף, יודיע הממונה על עבודות שירות על מועד חלופי. הודעה על כך תימסר לבית המשפט בתוך 14 יום. </w:t>
      </w:r>
    </w:p>
    <w:p w14:paraId="26C4B5CD" w14:textId="77777777" w:rsidR="00CA7A0F" w:rsidRDefault="00CA7A0F" w:rsidP="00CA7A0F">
      <w:pPr>
        <w:spacing w:line="360" w:lineRule="auto"/>
        <w:ind w:left="1076" w:hanging="283"/>
        <w:jc w:val="both"/>
        <w:rPr>
          <w:rtl/>
        </w:rPr>
      </w:pPr>
    </w:p>
    <w:p w14:paraId="637F333E" w14:textId="77777777" w:rsidR="00CA7A0F" w:rsidRDefault="00CA7A0F" w:rsidP="00CA7A0F">
      <w:pPr>
        <w:tabs>
          <w:tab w:val="left" w:pos="608"/>
        </w:tabs>
        <w:spacing w:line="360" w:lineRule="auto"/>
        <w:ind w:left="608" w:hanging="284"/>
        <w:jc w:val="both"/>
        <w:rPr>
          <w:rtl/>
        </w:rPr>
      </w:pPr>
      <w:r>
        <w:rPr>
          <w:rFonts w:hint="cs"/>
          <w:rtl/>
        </w:rPr>
        <w:t>ב.</w:t>
      </w:r>
      <w:r>
        <w:rPr>
          <w:rFonts w:hint="cs"/>
          <w:rtl/>
        </w:rPr>
        <w:tab/>
      </w:r>
      <w:r>
        <w:rPr>
          <w:rFonts w:hint="cs"/>
          <w:u w:val="single"/>
          <w:rtl/>
        </w:rPr>
        <w:t>מאסר מותנה</w:t>
      </w:r>
      <w:r>
        <w:rPr>
          <w:rFonts w:hint="cs"/>
          <w:rtl/>
        </w:rPr>
        <w:t xml:space="preserve"> לתקופה של 8 חודשים. הנאשם יישא בעונש זה אם בתקופה של שלוש שנים מהיום יעבור על כל עבירת סמים מסוג פשע.</w:t>
      </w:r>
    </w:p>
    <w:p w14:paraId="21DDAD17" w14:textId="77777777" w:rsidR="00CA7A0F" w:rsidRDefault="00CA7A0F" w:rsidP="00CA7A0F">
      <w:pPr>
        <w:spacing w:line="360" w:lineRule="auto"/>
        <w:ind w:left="1076" w:hanging="283"/>
        <w:jc w:val="both"/>
        <w:rPr>
          <w:rtl/>
        </w:rPr>
      </w:pPr>
    </w:p>
    <w:p w14:paraId="5045FD7B" w14:textId="77777777" w:rsidR="00CA7A0F" w:rsidRDefault="00CA7A0F" w:rsidP="00CA7A0F">
      <w:pPr>
        <w:tabs>
          <w:tab w:val="left" w:pos="608"/>
        </w:tabs>
        <w:spacing w:line="360" w:lineRule="auto"/>
        <w:ind w:left="608" w:hanging="284"/>
        <w:jc w:val="both"/>
        <w:rPr>
          <w:rtl/>
        </w:rPr>
      </w:pPr>
      <w:r>
        <w:rPr>
          <w:rFonts w:hint="cs"/>
          <w:rtl/>
        </w:rPr>
        <w:t>ג.</w:t>
      </w:r>
      <w:r>
        <w:rPr>
          <w:rFonts w:hint="cs"/>
          <w:rtl/>
        </w:rPr>
        <w:tab/>
      </w:r>
      <w:r>
        <w:rPr>
          <w:rFonts w:hint="cs"/>
          <w:u w:val="single"/>
          <w:rtl/>
        </w:rPr>
        <w:t>מאסר מותנה</w:t>
      </w:r>
      <w:r>
        <w:rPr>
          <w:rFonts w:hint="cs"/>
          <w:rtl/>
        </w:rPr>
        <w:t xml:space="preserve"> לתקופה של 5 חודשים. הנאשם יישא בעונש זה אם בתקופה של שלוש שנים מהיום יעבור על כל עבירת סמים מסוג עוון.</w:t>
      </w:r>
    </w:p>
    <w:p w14:paraId="281A4561" w14:textId="77777777" w:rsidR="00CA7A0F" w:rsidRDefault="00CA7A0F" w:rsidP="00CA7A0F">
      <w:pPr>
        <w:spacing w:line="360" w:lineRule="auto"/>
        <w:ind w:left="1076" w:hanging="283"/>
        <w:jc w:val="both"/>
        <w:rPr>
          <w:rtl/>
        </w:rPr>
      </w:pPr>
    </w:p>
    <w:p w14:paraId="12E47115" w14:textId="77777777" w:rsidR="00CA7A0F" w:rsidRDefault="00CA7A0F" w:rsidP="00CA7A0F">
      <w:pPr>
        <w:tabs>
          <w:tab w:val="left" w:pos="608"/>
        </w:tabs>
        <w:spacing w:line="360" w:lineRule="auto"/>
        <w:ind w:left="608" w:hanging="284"/>
        <w:jc w:val="both"/>
        <w:rPr>
          <w:u w:val="single"/>
          <w:rtl/>
        </w:rPr>
      </w:pPr>
      <w:r>
        <w:rPr>
          <w:rFonts w:hint="cs"/>
          <w:rtl/>
        </w:rPr>
        <w:t xml:space="preserve">ד. </w:t>
      </w:r>
      <w:r>
        <w:rPr>
          <w:rFonts w:hint="cs"/>
          <w:rtl/>
        </w:rPr>
        <w:tab/>
      </w:r>
      <w:r>
        <w:rPr>
          <w:rFonts w:hint="cs"/>
          <w:u w:val="single"/>
          <w:rtl/>
        </w:rPr>
        <w:t>קנס בסך 12,000 ₪</w:t>
      </w:r>
      <w:r>
        <w:rPr>
          <w:rFonts w:hint="cs"/>
          <w:rtl/>
        </w:rPr>
        <w:t xml:space="preserve">, אשר ישולם מדמי הפיקדון שהופקדו בהליך המעצר - </w:t>
      </w:r>
      <w:hyperlink r:id="rId79" w:history="1">
        <w:r w:rsidR="00521104" w:rsidRPr="00521104">
          <w:rPr>
            <w:color w:val="0000FF"/>
            <w:u w:val="single"/>
            <w:rtl/>
          </w:rPr>
          <w:t>מ"ת 41176-09-15</w:t>
        </w:r>
      </w:hyperlink>
      <w:r>
        <w:rPr>
          <w:rFonts w:hint="cs"/>
          <w:rtl/>
        </w:rPr>
        <w:t>, והיתרה תושב לנאשם.</w:t>
      </w:r>
    </w:p>
    <w:p w14:paraId="60D2FA1C" w14:textId="77777777" w:rsidR="00CA7A0F" w:rsidRDefault="00CA7A0F" w:rsidP="00CA7A0F">
      <w:pPr>
        <w:tabs>
          <w:tab w:val="left" w:pos="608"/>
        </w:tabs>
        <w:spacing w:line="360" w:lineRule="auto"/>
        <w:ind w:left="608" w:hanging="284"/>
        <w:jc w:val="both"/>
        <w:rPr>
          <w:u w:val="single"/>
          <w:rtl/>
        </w:rPr>
      </w:pPr>
    </w:p>
    <w:p w14:paraId="18D1E8F4" w14:textId="77777777" w:rsidR="00CA7A0F" w:rsidRPr="003F2139" w:rsidRDefault="00CA7A0F" w:rsidP="00CA7A0F">
      <w:pPr>
        <w:tabs>
          <w:tab w:val="left" w:pos="608"/>
        </w:tabs>
        <w:spacing w:line="360" w:lineRule="auto"/>
        <w:ind w:left="608" w:hanging="284"/>
        <w:jc w:val="both"/>
        <w:rPr>
          <w:rtl/>
        </w:rPr>
      </w:pPr>
      <w:r w:rsidRPr="003F2139">
        <w:rPr>
          <w:rFonts w:hint="cs"/>
          <w:rtl/>
        </w:rPr>
        <w:t>ה.</w:t>
      </w:r>
      <w:r w:rsidRPr="003F2139">
        <w:rPr>
          <w:rFonts w:hint="cs"/>
          <w:rtl/>
        </w:rPr>
        <w:tab/>
      </w:r>
      <w:r w:rsidRPr="003F2139">
        <w:rPr>
          <w:u w:val="single"/>
          <w:rtl/>
        </w:rPr>
        <w:t>פסילה על תנאי</w:t>
      </w:r>
      <w:r w:rsidRPr="003F2139">
        <w:rPr>
          <w:rtl/>
        </w:rPr>
        <w:t xml:space="preserve"> מלקבל או מלהחזיק ר</w:t>
      </w:r>
      <w:r>
        <w:rPr>
          <w:rFonts w:hint="cs"/>
          <w:rtl/>
        </w:rPr>
        <w:t>י</w:t>
      </w:r>
      <w:r w:rsidRPr="003F2139">
        <w:rPr>
          <w:rtl/>
        </w:rPr>
        <w:t>שיון נהיגה וזאת למשך</w:t>
      </w:r>
      <w:r>
        <w:rPr>
          <w:rFonts w:hint="cs"/>
          <w:rtl/>
        </w:rPr>
        <w:t xml:space="preserve"> 6 </w:t>
      </w:r>
      <w:r w:rsidRPr="003F2139">
        <w:rPr>
          <w:rtl/>
        </w:rPr>
        <w:t xml:space="preserve">חודשים. הנאשם </w:t>
      </w:r>
      <w:r>
        <w:rPr>
          <w:rFonts w:hint="cs"/>
          <w:rtl/>
        </w:rPr>
        <w:t>י</w:t>
      </w:r>
      <w:r w:rsidRPr="003F2139">
        <w:rPr>
          <w:rtl/>
        </w:rPr>
        <w:t>ישא בעונש זה אם בתקופה של ש</w:t>
      </w:r>
      <w:r>
        <w:rPr>
          <w:rFonts w:hint="cs"/>
          <w:rtl/>
        </w:rPr>
        <w:t>לוש שנים</w:t>
      </w:r>
      <w:r w:rsidRPr="003F2139">
        <w:rPr>
          <w:rtl/>
        </w:rPr>
        <w:t xml:space="preserve"> מהיום יעבור על </w:t>
      </w:r>
      <w:r>
        <w:rPr>
          <w:rFonts w:hint="cs"/>
          <w:rtl/>
        </w:rPr>
        <w:t>כל עבירת סמים</w:t>
      </w:r>
      <w:r w:rsidRPr="003F2139">
        <w:rPr>
          <w:rtl/>
        </w:rPr>
        <w:t>.</w:t>
      </w:r>
    </w:p>
    <w:p w14:paraId="47E297E1" w14:textId="77777777" w:rsidR="00CA7A0F" w:rsidRDefault="00CA7A0F" w:rsidP="00CA7A0F">
      <w:pPr>
        <w:spacing w:line="360" w:lineRule="auto"/>
        <w:ind w:left="720" w:hanging="720"/>
        <w:jc w:val="both"/>
        <w:rPr>
          <w:rtl/>
        </w:rPr>
      </w:pPr>
    </w:p>
    <w:p w14:paraId="5AE97844" w14:textId="77777777" w:rsidR="00CA7A0F" w:rsidRDefault="00CA7A0F" w:rsidP="00CA7A0F">
      <w:pPr>
        <w:spacing w:line="360" w:lineRule="auto"/>
        <w:ind w:left="720" w:hanging="720"/>
        <w:jc w:val="both"/>
        <w:rPr>
          <w:rtl/>
        </w:rPr>
      </w:pPr>
    </w:p>
    <w:p w14:paraId="49B7A743" w14:textId="77777777" w:rsidR="00CA7A0F" w:rsidRDefault="00CA7A0F" w:rsidP="00CA7A0F">
      <w:pPr>
        <w:tabs>
          <w:tab w:val="left" w:pos="368"/>
        </w:tabs>
        <w:spacing w:line="360" w:lineRule="auto"/>
        <w:ind w:left="368" w:hanging="324"/>
        <w:jc w:val="both"/>
        <w:rPr>
          <w:rtl/>
        </w:rPr>
      </w:pPr>
      <w:r>
        <w:rPr>
          <w:rFonts w:hint="cs"/>
          <w:rtl/>
        </w:rPr>
        <w:t>29.</w:t>
      </w:r>
      <w:r>
        <w:rPr>
          <w:rFonts w:hint="cs"/>
          <w:rtl/>
        </w:rPr>
        <w:tab/>
        <w:t>הסמים יושמדו באחריות המאשימה. יתר המוצגים יושבו/יחלטו/יושמדו לפי שיקול דעת המאשימה.</w:t>
      </w:r>
    </w:p>
    <w:p w14:paraId="25989806" w14:textId="77777777" w:rsidR="00CA7A0F" w:rsidRDefault="00CA7A0F" w:rsidP="00CA7A0F">
      <w:pPr>
        <w:spacing w:line="360" w:lineRule="auto"/>
        <w:ind w:left="720" w:hanging="720"/>
        <w:jc w:val="both"/>
        <w:rPr>
          <w:rtl/>
        </w:rPr>
      </w:pPr>
    </w:p>
    <w:p w14:paraId="6A0CDA1F" w14:textId="77777777" w:rsidR="00CA7A0F" w:rsidRDefault="00CA7A0F" w:rsidP="00CA7A0F">
      <w:pPr>
        <w:tabs>
          <w:tab w:val="left" w:pos="368"/>
        </w:tabs>
        <w:spacing w:line="360" w:lineRule="auto"/>
        <w:ind w:left="368" w:hanging="324"/>
        <w:jc w:val="both"/>
        <w:rPr>
          <w:rtl/>
        </w:rPr>
      </w:pPr>
    </w:p>
    <w:p w14:paraId="0A18BD18" w14:textId="77777777" w:rsidR="00CA7A0F" w:rsidRDefault="00CA7A0F" w:rsidP="00CA7A0F">
      <w:pPr>
        <w:tabs>
          <w:tab w:val="left" w:pos="368"/>
        </w:tabs>
        <w:spacing w:line="360" w:lineRule="auto"/>
        <w:ind w:left="368" w:hanging="324"/>
        <w:jc w:val="both"/>
        <w:rPr>
          <w:rtl/>
        </w:rPr>
      </w:pPr>
    </w:p>
    <w:p w14:paraId="721AEF6C" w14:textId="77777777" w:rsidR="00CA7A0F" w:rsidRDefault="00CA7A0F" w:rsidP="00CA7A0F">
      <w:pPr>
        <w:tabs>
          <w:tab w:val="left" w:pos="368"/>
        </w:tabs>
        <w:spacing w:line="360" w:lineRule="auto"/>
        <w:ind w:left="368" w:hanging="324"/>
        <w:jc w:val="both"/>
        <w:rPr>
          <w:rtl/>
        </w:rPr>
      </w:pPr>
      <w:r>
        <w:rPr>
          <w:rFonts w:hint="cs"/>
          <w:rtl/>
        </w:rPr>
        <w:t>30.</w:t>
      </w:r>
      <w:r>
        <w:rPr>
          <w:rFonts w:hint="cs"/>
          <w:rtl/>
        </w:rPr>
        <w:tab/>
        <w:t>המזכירות תמציא את גזר הדין לשירות המבחן ולממונה על עבודות שירות בשב"ס.</w:t>
      </w:r>
    </w:p>
    <w:p w14:paraId="0E5FFACC" w14:textId="77777777" w:rsidR="00CA7A0F" w:rsidRDefault="00CA7A0F" w:rsidP="00CA7A0F">
      <w:pPr>
        <w:spacing w:line="360" w:lineRule="auto"/>
        <w:ind w:left="720" w:hanging="720"/>
        <w:jc w:val="both"/>
        <w:rPr>
          <w:rtl/>
        </w:rPr>
      </w:pPr>
    </w:p>
    <w:p w14:paraId="132521A1" w14:textId="77777777" w:rsidR="00CA7A0F" w:rsidRDefault="00CA7A0F" w:rsidP="00CA7A0F">
      <w:pPr>
        <w:spacing w:line="360" w:lineRule="auto"/>
        <w:ind w:left="702" w:hanging="709"/>
        <w:jc w:val="both"/>
        <w:rPr>
          <w:rtl/>
        </w:rPr>
      </w:pPr>
      <w:r>
        <w:rPr>
          <w:rFonts w:hint="cs"/>
          <w:rtl/>
        </w:rPr>
        <w:t xml:space="preserve">זכות ערעור לבית המשפט המחוזי בתוך 45 יום מהיום. </w:t>
      </w:r>
    </w:p>
    <w:p w14:paraId="1287D5D6" w14:textId="77777777" w:rsidR="00CA7A0F" w:rsidRDefault="00CA7A0F" w:rsidP="00CA7A0F">
      <w:pPr>
        <w:rPr>
          <w:rFonts w:ascii="Arial" w:hAnsi="Arial"/>
          <w:rtl/>
        </w:rPr>
      </w:pPr>
    </w:p>
    <w:p w14:paraId="00233D00" w14:textId="77777777" w:rsidR="00CA7A0F" w:rsidRPr="00521104" w:rsidRDefault="00521104" w:rsidP="00CA7A0F">
      <w:pPr>
        <w:rPr>
          <w:color w:val="FFFFFF"/>
          <w:sz w:val="2"/>
          <w:szCs w:val="2"/>
          <w:rtl/>
        </w:rPr>
      </w:pPr>
      <w:r w:rsidRPr="00521104">
        <w:rPr>
          <w:color w:val="FFFFFF"/>
          <w:sz w:val="2"/>
          <w:szCs w:val="2"/>
          <w:rtl/>
        </w:rPr>
        <w:t>5129371</w:t>
      </w:r>
    </w:p>
    <w:p w14:paraId="62E7DCB3" w14:textId="77777777" w:rsidR="00CA7A0F" w:rsidRPr="00AC5805" w:rsidRDefault="00521104" w:rsidP="00CA7A0F">
      <w:pPr>
        <w:rPr>
          <w:rFonts w:cs="FrankRuehl"/>
          <w:sz w:val="28"/>
          <w:szCs w:val="28"/>
          <w:rtl/>
        </w:rPr>
      </w:pPr>
      <w:r w:rsidRPr="00521104">
        <w:rPr>
          <w:rFonts w:ascii="Arial" w:hAnsi="Arial"/>
          <w:color w:val="FFFFFF"/>
          <w:sz w:val="2"/>
          <w:szCs w:val="2"/>
          <w:rtl/>
        </w:rPr>
        <w:t>54678313</w:t>
      </w:r>
      <w:r>
        <w:rPr>
          <w:rFonts w:ascii="Arial" w:hAnsi="Arial"/>
          <w:rtl/>
        </w:rPr>
        <w:t xml:space="preserve">ניתן היום,  ז' תמוז תשע"ו, 13 יולי 2016, במעמד הצדדים. </w:t>
      </w:r>
    </w:p>
    <w:p w14:paraId="740AA59A" w14:textId="77777777" w:rsidR="00CA7A0F" w:rsidRDefault="00CA7A0F" w:rsidP="00CA7A0F">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78006B8" w14:textId="77777777" w:rsidR="00CA7A0F" w:rsidRDefault="00CA7A0F" w:rsidP="00CA7A0F">
      <w:pPr>
        <w:jc w:val="center"/>
        <w:rPr>
          <w:rFonts w:ascii="Arial" w:hAnsi="Arial" w:cs="FrankRuehl"/>
          <w:sz w:val="28"/>
          <w:szCs w:val="28"/>
          <w:rtl/>
        </w:rPr>
      </w:pPr>
    </w:p>
    <w:p w14:paraId="658EB1C2" w14:textId="77777777" w:rsidR="00CA7A0F" w:rsidRDefault="00CA7A0F" w:rsidP="00CA7A0F">
      <w:pPr>
        <w:rPr>
          <w:rFonts w:cs="FrankRuehl"/>
          <w:sz w:val="28"/>
          <w:szCs w:val="28"/>
          <w:rtl/>
        </w:rPr>
      </w:pPr>
    </w:p>
    <w:p w14:paraId="2E46556A" w14:textId="77777777" w:rsidR="00CA7A0F" w:rsidRPr="00D05141" w:rsidRDefault="00D05141" w:rsidP="00CA7A0F">
      <w:pPr>
        <w:pStyle w:val="a3"/>
        <w:jc w:val="center"/>
        <w:rPr>
          <w:color w:val="FFFFFF"/>
          <w:sz w:val="2"/>
          <w:szCs w:val="2"/>
          <w:rtl/>
        </w:rPr>
      </w:pPr>
      <w:r w:rsidRPr="00D05141">
        <w:rPr>
          <w:color w:val="FFFFFF"/>
          <w:sz w:val="2"/>
          <w:szCs w:val="2"/>
          <w:rtl/>
        </w:rPr>
        <w:t>5129371</w:t>
      </w:r>
    </w:p>
    <w:p w14:paraId="5B479999" w14:textId="77777777" w:rsidR="00521104" w:rsidRDefault="00521104" w:rsidP="00521104">
      <w:r w:rsidRPr="00521104">
        <w:rPr>
          <w:color w:val="000000"/>
          <w:rtl/>
        </w:rPr>
        <w:t>נוסח מסמך זה כפוף לשינויי ניסוח ועריכה</w:t>
      </w:r>
    </w:p>
    <w:p w14:paraId="64DC7778" w14:textId="77777777" w:rsidR="00521104" w:rsidRDefault="00521104" w:rsidP="00521104">
      <w:pPr>
        <w:rPr>
          <w:rtl/>
        </w:rPr>
      </w:pPr>
    </w:p>
    <w:p w14:paraId="78E01E37" w14:textId="77777777" w:rsidR="00521104" w:rsidRDefault="00521104" w:rsidP="00521104">
      <w:pPr>
        <w:jc w:val="center"/>
        <w:rPr>
          <w:color w:val="0000FF"/>
          <w:u w:val="single"/>
        </w:rPr>
      </w:pPr>
      <w:hyperlink r:id="rId80" w:history="1">
        <w:r>
          <w:rPr>
            <w:color w:val="0000FF"/>
            <w:u w:val="single"/>
            <w:rtl/>
          </w:rPr>
          <w:t>בעניין עריכה ושינויים במסמכי פסיקה, חקיקה ועוד באתר נבו – הקש כאן</w:t>
        </w:r>
      </w:hyperlink>
    </w:p>
    <w:p w14:paraId="48F42C33" w14:textId="77777777" w:rsidR="00D05141" w:rsidRPr="00D05141" w:rsidRDefault="00D05141" w:rsidP="00D05141">
      <w:pPr>
        <w:keepNext/>
        <w:rPr>
          <w:rFonts w:ascii="David" w:hAnsi="David"/>
          <w:color w:val="000000"/>
          <w:sz w:val="22"/>
          <w:szCs w:val="22"/>
          <w:rtl/>
        </w:rPr>
      </w:pPr>
    </w:p>
    <w:p w14:paraId="5A50830F" w14:textId="77777777" w:rsidR="00D05141" w:rsidRDefault="00D05141" w:rsidP="00D05141">
      <w:pPr>
        <w:keepNext/>
        <w:rPr>
          <w:rFonts w:ascii="David" w:hAnsi="David" w:hint="cs"/>
          <w:color w:val="000000"/>
          <w:sz w:val="22"/>
          <w:szCs w:val="22"/>
          <w:rtl/>
        </w:rPr>
      </w:pPr>
      <w:r w:rsidRPr="00D05141">
        <w:rPr>
          <w:rFonts w:ascii="David" w:hAnsi="David"/>
          <w:color w:val="000000"/>
          <w:sz w:val="22"/>
          <w:szCs w:val="22"/>
          <w:rtl/>
        </w:rPr>
        <w:t>יוסי טופף 54678313-/</w:t>
      </w:r>
    </w:p>
    <w:p w14:paraId="5DC0AAD1" w14:textId="77777777" w:rsidR="000264A8" w:rsidRPr="00D05141" w:rsidRDefault="000264A8" w:rsidP="00D05141">
      <w:pPr>
        <w:keepNext/>
        <w:rPr>
          <w:rFonts w:ascii="David" w:hAnsi="David"/>
          <w:color w:val="000000"/>
          <w:sz w:val="22"/>
          <w:szCs w:val="22"/>
          <w:rtl/>
        </w:rPr>
      </w:pPr>
    </w:p>
    <w:sectPr w:rsidR="000264A8" w:rsidRPr="00D05141" w:rsidSect="00D05141">
      <w:headerReference w:type="even" r:id="rId81"/>
      <w:headerReference w:type="default" r:id="rId82"/>
      <w:footerReference w:type="even" r:id="rId83"/>
      <w:footerReference w:type="default" r:id="rId84"/>
      <w:pgSz w:w="11907" w:h="16840" w:code="9"/>
      <w:pgMar w:top="1701" w:right="1701" w:bottom="2552" w:left="1134"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679445" w14:textId="77777777" w:rsidR="009446BC" w:rsidRDefault="009446BC">
      <w:r>
        <w:separator/>
      </w:r>
    </w:p>
  </w:endnote>
  <w:endnote w:type="continuationSeparator" w:id="0">
    <w:p w14:paraId="347AF59D" w14:textId="77777777" w:rsidR="009446BC" w:rsidRDefault="00944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3FC08" w14:textId="77777777" w:rsidR="00DC539C" w:rsidRDefault="00DC539C" w:rsidP="00D0514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C989EE3" w14:textId="77777777" w:rsidR="00DC539C" w:rsidRPr="00D05141" w:rsidRDefault="00DC539C" w:rsidP="00D05141">
    <w:pPr>
      <w:pStyle w:val="a4"/>
      <w:pBdr>
        <w:top w:val="single" w:sz="4" w:space="1" w:color="auto"/>
        <w:between w:val="single" w:sz="4" w:space="0" w:color="auto"/>
      </w:pBdr>
      <w:spacing w:after="60"/>
      <w:jc w:val="center"/>
      <w:rPr>
        <w:rFonts w:ascii="FrankRuehl" w:hAnsi="FrankRuehl" w:cs="FrankRuehl"/>
        <w:color w:val="000000"/>
      </w:rPr>
    </w:pPr>
    <w:r w:rsidRPr="00D0514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7868DF" w14:textId="77777777" w:rsidR="00DC539C" w:rsidRDefault="00DC539C" w:rsidP="00D0514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457C8">
      <w:rPr>
        <w:rFonts w:ascii="FrankRuehl" w:hAnsi="FrankRuehl" w:cs="FrankRuehl"/>
        <w:noProof/>
        <w:rtl/>
      </w:rPr>
      <w:t>1</w:t>
    </w:r>
    <w:r>
      <w:rPr>
        <w:rFonts w:ascii="FrankRuehl" w:hAnsi="FrankRuehl" w:cs="FrankRuehl"/>
        <w:rtl/>
      </w:rPr>
      <w:fldChar w:fldCharType="end"/>
    </w:r>
  </w:p>
  <w:p w14:paraId="145C1FF6" w14:textId="77777777" w:rsidR="00DC539C" w:rsidRPr="00D05141" w:rsidRDefault="00DC539C" w:rsidP="00D05141">
    <w:pPr>
      <w:pStyle w:val="a4"/>
      <w:pBdr>
        <w:top w:val="single" w:sz="4" w:space="1" w:color="auto"/>
        <w:between w:val="single" w:sz="4" w:space="0" w:color="auto"/>
      </w:pBdr>
      <w:spacing w:after="60"/>
      <w:jc w:val="center"/>
      <w:rPr>
        <w:rFonts w:ascii="FrankRuehl" w:hAnsi="FrankRuehl" w:cs="FrankRuehl"/>
        <w:color w:val="000000"/>
      </w:rPr>
    </w:pPr>
    <w:r w:rsidRPr="00D05141">
      <w:rPr>
        <w:rFonts w:ascii="FrankRuehl" w:hAnsi="FrankRuehl" w:cs="FrankRuehl"/>
        <w:color w:val="000000"/>
      </w:rPr>
      <w:pict w14:anchorId="3EB5AF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6766F5" w14:textId="77777777" w:rsidR="009446BC" w:rsidRDefault="009446BC">
      <w:r>
        <w:separator/>
      </w:r>
    </w:p>
  </w:footnote>
  <w:footnote w:type="continuationSeparator" w:id="0">
    <w:p w14:paraId="6BF4972C" w14:textId="77777777" w:rsidR="009446BC" w:rsidRDefault="009446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EE4D1C" w14:textId="77777777" w:rsidR="00DC539C" w:rsidRPr="00D05141" w:rsidRDefault="00DC539C" w:rsidP="00D0514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(אי') 41189-09-15</w:t>
    </w:r>
    <w:r>
      <w:rPr>
        <w:rFonts w:ascii="David" w:hAnsi="David"/>
        <w:color w:val="000000"/>
        <w:sz w:val="22"/>
        <w:szCs w:val="22"/>
        <w:rtl/>
      </w:rPr>
      <w:tab/>
      <w:t xml:space="preserve"> מדינת ישראל נ' תאופיק אלדהיני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E605E" w14:textId="77777777" w:rsidR="00DC539C" w:rsidRPr="00D05141" w:rsidRDefault="00DC539C" w:rsidP="00D0514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(אי') 41189-09-15</w:t>
    </w:r>
    <w:r>
      <w:rPr>
        <w:rFonts w:ascii="David" w:hAnsi="David"/>
        <w:color w:val="000000"/>
        <w:sz w:val="22"/>
        <w:szCs w:val="22"/>
        <w:rtl/>
      </w:rPr>
      <w:tab/>
      <w:t xml:space="preserve"> מדינת ישראל נ' תאופיק אלדהיני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A7A0F"/>
    <w:rsid w:val="000264A8"/>
    <w:rsid w:val="000457C8"/>
    <w:rsid w:val="000C6829"/>
    <w:rsid w:val="00174FB2"/>
    <w:rsid w:val="003B6624"/>
    <w:rsid w:val="00521104"/>
    <w:rsid w:val="005431AF"/>
    <w:rsid w:val="009165FF"/>
    <w:rsid w:val="0093277F"/>
    <w:rsid w:val="009446BC"/>
    <w:rsid w:val="00B10C9E"/>
    <w:rsid w:val="00B1215F"/>
    <w:rsid w:val="00B93933"/>
    <w:rsid w:val="00CA7A0F"/>
    <w:rsid w:val="00D05141"/>
    <w:rsid w:val="00DC53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40F77D8"/>
  <w15:chartTrackingRefBased/>
  <w15:docId w15:val="{130C9CAD-42AF-40E4-A0F2-6A82F9244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A7A0F"/>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CA7A0F"/>
    <w:pPr>
      <w:tabs>
        <w:tab w:val="center" w:pos="4153"/>
        <w:tab w:val="right" w:pos="8306"/>
      </w:tabs>
    </w:pPr>
  </w:style>
  <w:style w:type="paragraph" w:styleId="a4">
    <w:name w:val="footer"/>
    <w:basedOn w:val="a"/>
    <w:rsid w:val="00CA7A0F"/>
    <w:pPr>
      <w:tabs>
        <w:tab w:val="center" w:pos="4153"/>
        <w:tab w:val="right" w:pos="8306"/>
      </w:tabs>
    </w:pPr>
  </w:style>
  <w:style w:type="character" w:styleId="a5">
    <w:name w:val="page number"/>
    <w:basedOn w:val="a0"/>
    <w:rsid w:val="00CA7A0F"/>
  </w:style>
  <w:style w:type="character" w:customStyle="1" w:styleId="TimesNewRomanTimesNewRoman">
    <w:name w:val="סגנון (לטיני) Times New Roman (עברית ושפות אחרות) Times New Roman..."/>
    <w:rsid w:val="00CA7A0F"/>
    <w:rPr>
      <w:rFonts w:ascii="Times New Roman" w:hAnsi="Times New Roman" w:cs="David" w:hint="default"/>
      <w:b/>
      <w:bCs/>
      <w:sz w:val="26"/>
      <w:szCs w:val="26"/>
    </w:rPr>
  </w:style>
  <w:style w:type="character" w:styleId="Hyperlink">
    <w:name w:val="Hyperlink"/>
    <w:rsid w:val="005211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0c" TargetMode="External"/><Relationship Id="rId21" Type="http://schemas.openxmlformats.org/officeDocument/2006/relationships/hyperlink" Target="http://www.nevo.co.il/case/6950458" TargetMode="External"/><Relationship Id="rId42" Type="http://schemas.openxmlformats.org/officeDocument/2006/relationships/hyperlink" Target="http://www.nevo.co.il/case/5786821" TargetMode="External"/><Relationship Id="rId47" Type="http://schemas.openxmlformats.org/officeDocument/2006/relationships/hyperlink" Target="http://www.nevo.co.il/case/6061524" TargetMode="External"/><Relationship Id="rId63" Type="http://schemas.openxmlformats.org/officeDocument/2006/relationships/hyperlink" Target="http://www.nevo.co.il/case/5074126" TargetMode="External"/><Relationship Id="rId68" Type="http://schemas.openxmlformats.org/officeDocument/2006/relationships/hyperlink" Target="http://www.nevo.co.il/case/4044896" TargetMode="External"/><Relationship Id="rId84" Type="http://schemas.openxmlformats.org/officeDocument/2006/relationships/footer" Target="footer2.xml"/><Relationship Id="rId16" Type="http://schemas.openxmlformats.org/officeDocument/2006/relationships/hyperlink" Target="http://www.nevo.co.il/law/74903" TargetMode="External"/><Relationship Id="rId11" Type="http://schemas.openxmlformats.org/officeDocument/2006/relationships/hyperlink" Target="http://www.nevo.co.il/law/70301/40c.a" TargetMode="External"/><Relationship Id="rId32" Type="http://schemas.openxmlformats.org/officeDocument/2006/relationships/hyperlink" Target="http://www.nevo.co.il/safrut/book/15850" TargetMode="External"/><Relationship Id="rId37" Type="http://schemas.openxmlformats.org/officeDocument/2006/relationships/hyperlink" Target="http://www.nevo.co.il/case/161892" TargetMode="External"/><Relationship Id="rId53" Type="http://schemas.openxmlformats.org/officeDocument/2006/relationships/hyperlink" Target="http://www.nevo.co.il/case/6169989" TargetMode="External"/><Relationship Id="rId58" Type="http://schemas.openxmlformats.org/officeDocument/2006/relationships/hyperlink" Target="http://www.nevo.co.il/case/5730970" TargetMode="External"/><Relationship Id="rId74" Type="http://schemas.openxmlformats.org/officeDocument/2006/relationships/hyperlink" Target="http://www.nevo.co.il/law/70301" TargetMode="External"/><Relationship Id="rId79" Type="http://schemas.openxmlformats.org/officeDocument/2006/relationships/hyperlink" Target="http://www.nevo.co.il/case/20591774" TargetMode="External"/><Relationship Id="rId5" Type="http://schemas.openxmlformats.org/officeDocument/2006/relationships/endnotes" Target="endnotes.xml"/><Relationship Id="rId19" Type="http://schemas.openxmlformats.org/officeDocument/2006/relationships/hyperlink" Target="http://www.nevo.co.il/law/4216" TargetMode="External"/><Relationship Id="rId14" Type="http://schemas.openxmlformats.org/officeDocument/2006/relationships/hyperlink" Target="http://www.nevo.co.il/law/70301/40i" TargetMode="External"/><Relationship Id="rId22" Type="http://schemas.openxmlformats.org/officeDocument/2006/relationships/hyperlink" Target="http://www.nevo.co.il/case/6824952"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5068897"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5953822" TargetMode="External"/><Relationship Id="rId48" Type="http://schemas.openxmlformats.org/officeDocument/2006/relationships/hyperlink" Target="http://www.nevo.co.il/law/70301/40i" TargetMode="External"/><Relationship Id="rId56" Type="http://schemas.openxmlformats.org/officeDocument/2006/relationships/hyperlink" Target="http://www.nevo.co.il/case/11259435" TargetMode="External"/><Relationship Id="rId64" Type="http://schemas.openxmlformats.org/officeDocument/2006/relationships/hyperlink" Target="http://www.nevo.co.il/case/3505224" TargetMode="External"/><Relationship Id="rId69" Type="http://schemas.openxmlformats.org/officeDocument/2006/relationships/hyperlink" Target="http://www.nevo.co.il/law/70301/40f" TargetMode="External"/><Relationship Id="rId77" Type="http://schemas.openxmlformats.org/officeDocument/2006/relationships/hyperlink" Target="http://www.nevo.co.il/case/5880417" TargetMode="External"/><Relationship Id="rId8" Type="http://schemas.openxmlformats.org/officeDocument/2006/relationships/hyperlink" Target="http://www.nevo.co.il/law/4216/7.c" TargetMode="External"/><Relationship Id="rId51" Type="http://schemas.openxmlformats.org/officeDocument/2006/relationships/hyperlink" Target="http://www.nevo.co.il/case/5580841" TargetMode="External"/><Relationship Id="rId72" Type="http://schemas.openxmlformats.org/officeDocument/2006/relationships/hyperlink" Target="http://www.nevo.co.il/law/70301/40ja" TargetMode="External"/><Relationship Id="rId80" Type="http://schemas.openxmlformats.org/officeDocument/2006/relationships/hyperlink" Target="http://www.nevo.co.il/advertisements/nevo-100.doc" TargetMode="External"/><Relationship Id="rId85"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www.nevo.co.il/law/70301/40f" TargetMode="External"/><Relationship Id="rId17" Type="http://schemas.openxmlformats.org/officeDocument/2006/relationships/hyperlink" Target="http://www.nevo.co.il/law/4216/7.a"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0198052" TargetMode="External"/><Relationship Id="rId38" Type="http://schemas.openxmlformats.org/officeDocument/2006/relationships/hyperlink" Target="http://www.nevo.co.il/law/70301/40c.a" TargetMode="External"/><Relationship Id="rId46" Type="http://schemas.openxmlformats.org/officeDocument/2006/relationships/hyperlink" Target="http://www.nevo.co.il/law/70301" TargetMode="External"/><Relationship Id="rId59" Type="http://schemas.openxmlformats.org/officeDocument/2006/relationships/hyperlink" Target="http://www.nevo.co.il/case/2887374" TargetMode="External"/><Relationship Id="rId67" Type="http://schemas.openxmlformats.org/officeDocument/2006/relationships/hyperlink" Target="http://www.nevo.co.il/case/20071591"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5988308" TargetMode="External"/><Relationship Id="rId54" Type="http://schemas.openxmlformats.org/officeDocument/2006/relationships/hyperlink" Target="http://www.nevo.co.il/case/6128041" TargetMode="External"/><Relationship Id="rId62" Type="http://schemas.openxmlformats.org/officeDocument/2006/relationships/hyperlink" Target="http://www.nevo.co.il/case/18185061" TargetMode="External"/><Relationship Id="rId70" Type="http://schemas.openxmlformats.org/officeDocument/2006/relationships/hyperlink" Target="http://www.nevo.co.il/law/70301/40g" TargetMode="External"/><Relationship Id="rId75" Type="http://schemas.openxmlformats.org/officeDocument/2006/relationships/hyperlink" Target="http://www.nevo.co.il/case/17941073" TargetMode="External"/><Relationship Id="rId83"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5" Type="http://schemas.openxmlformats.org/officeDocument/2006/relationships/hyperlink" Target="http://www.nevo.co.il/law/70301/40ja" TargetMode="External"/><Relationship Id="rId23" Type="http://schemas.openxmlformats.org/officeDocument/2006/relationships/hyperlink" Target="http://www.nevo.co.il/case/6473037" TargetMode="External"/><Relationship Id="rId28" Type="http://schemas.openxmlformats.org/officeDocument/2006/relationships/hyperlink" Target="http://www.nevo.co.il/law/74903" TargetMode="External"/><Relationship Id="rId36" Type="http://schemas.openxmlformats.org/officeDocument/2006/relationships/hyperlink" Target="http://www.nevo.co.il/case/7029339" TargetMode="External"/><Relationship Id="rId49" Type="http://schemas.openxmlformats.org/officeDocument/2006/relationships/hyperlink" Target="http://www.nevo.co.il/law/70301" TargetMode="External"/><Relationship Id="rId57" Type="http://schemas.openxmlformats.org/officeDocument/2006/relationships/hyperlink" Target="http://www.nevo.co.il/case/5492557" TargetMode="External"/><Relationship Id="rId10" Type="http://schemas.openxmlformats.org/officeDocument/2006/relationships/hyperlink" Target="http://www.nevo.co.il/law/70301/40c" TargetMode="External"/><Relationship Id="rId31" Type="http://schemas.openxmlformats.org/officeDocument/2006/relationships/hyperlink" Target="http://www.nevo.co.il/case/4475138" TargetMode="External"/><Relationship Id="rId44" Type="http://schemas.openxmlformats.org/officeDocument/2006/relationships/hyperlink" Target="http://www.nevo.co.il/case/5698919" TargetMode="External"/><Relationship Id="rId52" Type="http://schemas.openxmlformats.org/officeDocument/2006/relationships/hyperlink" Target="http://www.nevo.co.il/case/6061524" TargetMode="External"/><Relationship Id="rId60" Type="http://schemas.openxmlformats.org/officeDocument/2006/relationships/hyperlink" Target="http://www.nevo.co.il/case/18144523" TargetMode="External"/><Relationship Id="rId65" Type="http://schemas.openxmlformats.org/officeDocument/2006/relationships/hyperlink" Target="http://www.nevo.co.il/case/4569822" TargetMode="External"/><Relationship Id="rId73" Type="http://schemas.openxmlformats.org/officeDocument/2006/relationships/hyperlink" Target="http://www.nevo.co.il/law/70301" TargetMode="External"/><Relationship Id="rId78" Type="http://schemas.openxmlformats.org/officeDocument/2006/relationships/hyperlink" Target="http://www.nevo.co.il/case/17926104" TargetMode="External"/><Relationship Id="rId81" Type="http://schemas.openxmlformats.org/officeDocument/2006/relationships/header" Target="header1.xml"/><Relationship Id="rId86"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 TargetMode="External"/><Relationship Id="rId13" Type="http://schemas.openxmlformats.org/officeDocument/2006/relationships/hyperlink" Target="http://www.nevo.co.il/law/70301/40g" TargetMode="External"/><Relationship Id="rId18" Type="http://schemas.openxmlformats.org/officeDocument/2006/relationships/hyperlink" Target="http://www.nevo.co.il/law/4216/7.c" TargetMode="External"/><Relationship Id="rId39" Type="http://schemas.openxmlformats.org/officeDocument/2006/relationships/hyperlink" Target="http://www.nevo.co.il/law/70301" TargetMode="External"/><Relationship Id="rId34" Type="http://schemas.openxmlformats.org/officeDocument/2006/relationships/hyperlink" Target="http://www.nevo.co.il/case/5569233" TargetMode="External"/><Relationship Id="rId50" Type="http://schemas.openxmlformats.org/officeDocument/2006/relationships/hyperlink" Target="http://www.nevo.co.il/case/21017469" TargetMode="External"/><Relationship Id="rId55" Type="http://schemas.openxmlformats.org/officeDocument/2006/relationships/hyperlink" Target="http://www.nevo.co.il/case/18090902" TargetMode="External"/><Relationship Id="rId76" Type="http://schemas.openxmlformats.org/officeDocument/2006/relationships/hyperlink" Target="http://www.nevo.co.il/case/5993616" TargetMode="External"/><Relationship Id="rId7" Type="http://schemas.openxmlformats.org/officeDocument/2006/relationships/hyperlink" Target="http://www.nevo.co.il/law/4216/7.a" TargetMode="External"/><Relationship Id="rId71" Type="http://schemas.openxmlformats.org/officeDocument/2006/relationships/hyperlink" Target="http://www.nevo.co.il/law/70301" TargetMode="External"/><Relationship Id="rId2" Type="http://schemas.openxmlformats.org/officeDocument/2006/relationships/settings" Target="settings.xml"/><Relationship Id="rId29" Type="http://schemas.openxmlformats.org/officeDocument/2006/relationships/hyperlink" Target="http://www.nevo.co.il/case/3293937" TargetMode="External"/><Relationship Id="rId24" Type="http://schemas.openxmlformats.org/officeDocument/2006/relationships/hyperlink" Target="http://www.nevo.co.il/law/70301/40i" TargetMode="External"/><Relationship Id="rId40" Type="http://schemas.openxmlformats.org/officeDocument/2006/relationships/hyperlink" Target="http://www.nevo.co.il/case/5573417" TargetMode="External"/><Relationship Id="rId45" Type="http://schemas.openxmlformats.org/officeDocument/2006/relationships/hyperlink" Target="http://www.nevo.co.il/case/5763166" TargetMode="External"/><Relationship Id="rId66" Type="http://schemas.openxmlformats.org/officeDocument/2006/relationships/hyperlink" Target="http://www.nevo.co.il/case/3606459" TargetMode="External"/><Relationship Id="rId61" Type="http://schemas.openxmlformats.org/officeDocument/2006/relationships/hyperlink" Target="http://www.nevo.co.il/case/18679901" TargetMode="External"/><Relationship Id="rId8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4691</Words>
  <Characters>23455</Characters>
  <Application>Microsoft Office Word</Application>
  <DocSecurity>0</DocSecurity>
  <Lines>195</Lines>
  <Paragraphs>56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28090</CharactersWithSpaces>
  <SharedDoc>false</SharedDoc>
  <HLinks>
    <vt:vector size="450" baseType="variant">
      <vt:variant>
        <vt:i4>393283</vt:i4>
      </vt:variant>
      <vt:variant>
        <vt:i4>222</vt:i4>
      </vt:variant>
      <vt:variant>
        <vt:i4>0</vt:i4>
      </vt:variant>
      <vt:variant>
        <vt:i4>5</vt:i4>
      </vt:variant>
      <vt:variant>
        <vt:lpwstr>http://www.nevo.co.il/advertisements/nevo-100.doc</vt:lpwstr>
      </vt:variant>
      <vt:variant>
        <vt:lpwstr/>
      </vt:variant>
      <vt:variant>
        <vt:i4>3211386</vt:i4>
      </vt:variant>
      <vt:variant>
        <vt:i4>219</vt:i4>
      </vt:variant>
      <vt:variant>
        <vt:i4>0</vt:i4>
      </vt:variant>
      <vt:variant>
        <vt:i4>5</vt:i4>
      </vt:variant>
      <vt:variant>
        <vt:lpwstr>http://www.nevo.co.il/case/20591774</vt:lpwstr>
      </vt:variant>
      <vt:variant>
        <vt:lpwstr/>
      </vt:variant>
      <vt:variant>
        <vt:i4>4063344</vt:i4>
      </vt:variant>
      <vt:variant>
        <vt:i4>216</vt:i4>
      </vt:variant>
      <vt:variant>
        <vt:i4>0</vt:i4>
      </vt:variant>
      <vt:variant>
        <vt:i4>5</vt:i4>
      </vt:variant>
      <vt:variant>
        <vt:lpwstr>http://www.nevo.co.il/case/17926104</vt:lpwstr>
      </vt:variant>
      <vt:variant>
        <vt:lpwstr/>
      </vt:variant>
      <vt:variant>
        <vt:i4>4063357</vt:i4>
      </vt:variant>
      <vt:variant>
        <vt:i4>213</vt:i4>
      </vt:variant>
      <vt:variant>
        <vt:i4>0</vt:i4>
      </vt:variant>
      <vt:variant>
        <vt:i4>5</vt:i4>
      </vt:variant>
      <vt:variant>
        <vt:lpwstr>http://www.nevo.co.il/case/5880417</vt:lpwstr>
      </vt:variant>
      <vt:variant>
        <vt:lpwstr/>
      </vt:variant>
      <vt:variant>
        <vt:i4>3932287</vt:i4>
      </vt:variant>
      <vt:variant>
        <vt:i4>210</vt:i4>
      </vt:variant>
      <vt:variant>
        <vt:i4>0</vt:i4>
      </vt:variant>
      <vt:variant>
        <vt:i4>5</vt:i4>
      </vt:variant>
      <vt:variant>
        <vt:lpwstr>http://www.nevo.co.il/case/5993616</vt:lpwstr>
      </vt:variant>
      <vt:variant>
        <vt:lpwstr/>
      </vt:variant>
      <vt:variant>
        <vt:i4>4063351</vt:i4>
      </vt:variant>
      <vt:variant>
        <vt:i4>207</vt:i4>
      </vt:variant>
      <vt:variant>
        <vt:i4>0</vt:i4>
      </vt:variant>
      <vt:variant>
        <vt:i4>5</vt:i4>
      </vt:variant>
      <vt:variant>
        <vt:lpwstr>http://www.nevo.co.il/case/17941073</vt:lpwstr>
      </vt:variant>
      <vt:variant>
        <vt:lpwstr/>
      </vt:variant>
      <vt:variant>
        <vt:i4>7995492</vt:i4>
      </vt:variant>
      <vt:variant>
        <vt:i4>204</vt:i4>
      </vt:variant>
      <vt:variant>
        <vt:i4>0</vt:i4>
      </vt:variant>
      <vt:variant>
        <vt:i4>5</vt:i4>
      </vt:variant>
      <vt:variant>
        <vt:lpwstr>http://www.nevo.co.il/law/70301</vt:lpwstr>
      </vt:variant>
      <vt:variant>
        <vt:lpwstr/>
      </vt:variant>
      <vt:variant>
        <vt:i4>7995492</vt:i4>
      </vt:variant>
      <vt:variant>
        <vt:i4>201</vt:i4>
      </vt:variant>
      <vt:variant>
        <vt:i4>0</vt:i4>
      </vt:variant>
      <vt:variant>
        <vt:i4>5</vt:i4>
      </vt:variant>
      <vt:variant>
        <vt:lpwstr>http://www.nevo.co.il/law/70301</vt:lpwstr>
      </vt:variant>
      <vt:variant>
        <vt:lpwstr/>
      </vt:variant>
      <vt:variant>
        <vt:i4>262155</vt:i4>
      </vt:variant>
      <vt:variant>
        <vt:i4>198</vt:i4>
      </vt:variant>
      <vt:variant>
        <vt:i4>0</vt:i4>
      </vt:variant>
      <vt:variant>
        <vt:i4>5</vt:i4>
      </vt:variant>
      <vt:variant>
        <vt:lpwstr>http://www.nevo.co.il/law/70301/40ja</vt:lpwstr>
      </vt:variant>
      <vt:variant>
        <vt:lpwstr/>
      </vt:variant>
      <vt:variant>
        <vt:i4>7995492</vt:i4>
      </vt:variant>
      <vt:variant>
        <vt:i4>195</vt:i4>
      </vt:variant>
      <vt:variant>
        <vt:i4>0</vt:i4>
      </vt:variant>
      <vt:variant>
        <vt:i4>5</vt:i4>
      </vt:variant>
      <vt:variant>
        <vt:lpwstr>http://www.nevo.co.il/law/70301</vt:lpwstr>
      </vt:variant>
      <vt:variant>
        <vt:lpwstr/>
      </vt:variant>
      <vt:variant>
        <vt:i4>6619233</vt:i4>
      </vt:variant>
      <vt:variant>
        <vt:i4>192</vt:i4>
      </vt:variant>
      <vt:variant>
        <vt:i4>0</vt:i4>
      </vt:variant>
      <vt:variant>
        <vt:i4>5</vt:i4>
      </vt:variant>
      <vt:variant>
        <vt:lpwstr>http://www.nevo.co.il/law/70301/40g</vt:lpwstr>
      </vt:variant>
      <vt:variant>
        <vt:lpwstr/>
      </vt:variant>
      <vt:variant>
        <vt:i4>6619233</vt:i4>
      </vt:variant>
      <vt:variant>
        <vt:i4>189</vt:i4>
      </vt:variant>
      <vt:variant>
        <vt:i4>0</vt:i4>
      </vt:variant>
      <vt:variant>
        <vt:i4>5</vt:i4>
      </vt:variant>
      <vt:variant>
        <vt:lpwstr>http://www.nevo.co.il/law/70301/40f</vt:lpwstr>
      </vt:variant>
      <vt:variant>
        <vt:lpwstr/>
      </vt:variant>
      <vt:variant>
        <vt:i4>4063353</vt:i4>
      </vt:variant>
      <vt:variant>
        <vt:i4>186</vt:i4>
      </vt:variant>
      <vt:variant>
        <vt:i4>0</vt:i4>
      </vt:variant>
      <vt:variant>
        <vt:i4>5</vt:i4>
      </vt:variant>
      <vt:variant>
        <vt:lpwstr>http://www.nevo.co.il/case/4044896</vt:lpwstr>
      </vt:variant>
      <vt:variant>
        <vt:lpwstr/>
      </vt:variant>
      <vt:variant>
        <vt:i4>3801206</vt:i4>
      </vt:variant>
      <vt:variant>
        <vt:i4>183</vt:i4>
      </vt:variant>
      <vt:variant>
        <vt:i4>0</vt:i4>
      </vt:variant>
      <vt:variant>
        <vt:i4>5</vt:i4>
      </vt:variant>
      <vt:variant>
        <vt:lpwstr>http://www.nevo.co.il/case/20071591</vt:lpwstr>
      </vt:variant>
      <vt:variant>
        <vt:lpwstr/>
      </vt:variant>
      <vt:variant>
        <vt:i4>4063345</vt:i4>
      </vt:variant>
      <vt:variant>
        <vt:i4>180</vt:i4>
      </vt:variant>
      <vt:variant>
        <vt:i4>0</vt:i4>
      </vt:variant>
      <vt:variant>
        <vt:i4>5</vt:i4>
      </vt:variant>
      <vt:variant>
        <vt:lpwstr>http://www.nevo.co.il/case/3606459</vt:lpwstr>
      </vt:variant>
      <vt:variant>
        <vt:lpwstr/>
      </vt:variant>
      <vt:variant>
        <vt:i4>3670138</vt:i4>
      </vt:variant>
      <vt:variant>
        <vt:i4>177</vt:i4>
      </vt:variant>
      <vt:variant>
        <vt:i4>0</vt:i4>
      </vt:variant>
      <vt:variant>
        <vt:i4>5</vt:i4>
      </vt:variant>
      <vt:variant>
        <vt:lpwstr>http://www.nevo.co.il/case/4569822</vt:lpwstr>
      </vt:variant>
      <vt:variant>
        <vt:lpwstr/>
      </vt:variant>
      <vt:variant>
        <vt:i4>3473526</vt:i4>
      </vt:variant>
      <vt:variant>
        <vt:i4>174</vt:i4>
      </vt:variant>
      <vt:variant>
        <vt:i4>0</vt:i4>
      </vt:variant>
      <vt:variant>
        <vt:i4>5</vt:i4>
      </vt:variant>
      <vt:variant>
        <vt:lpwstr>http://www.nevo.co.il/case/3505224</vt:lpwstr>
      </vt:variant>
      <vt:variant>
        <vt:lpwstr/>
      </vt:variant>
      <vt:variant>
        <vt:i4>3473522</vt:i4>
      </vt:variant>
      <vt:variant>
        <vt:i4>171</vt:i4>
      </vt:variant>
      <vt:variant>
        <vt:i4>0</vt:i4>
      </vt:variant>
      <vt:variant>
        <vt:i4>5</vt:i4>
      </vt:variant>
      <vt:variant>
        <vt:lpwstr>http://www.nevo.co.il/case/5074126</vt:lpwstr>
      </vt:variant>
      <vt:variant>
        <vt:lpwstr/>
      </vt:variant>
      <vt:variant>
        <vt:i4>3342452</vt:i4>
      </vt:variant>
      <vt:variant>
        <vt:i4>168</vt:i4>
      </vt:variant>
      <vt:variant>
        <vt:i4>0</vt:i4>
      </vt:variant>
      <vt:variant>
        <vt:i4>5</vt:i4>
      </vt:variant>
      <vt:variant>
        <vt:lpwstr>http://www.nevo.co.il/case/18185061</vt:lpwstr>
      </vt:variant>
      <vt:variant>
        <vt:lpwstr/>
      </vt:variant>
      <vt:variant>
        <vt:i4>4063346</vt:i4>
      </vt:variant>
      <vt:variant>
        <vt:i4>165</vt:i4>
      </vt:variant>
      <vt:variant>
        <vt:i4>0</vt:i4>
      </vt:variant>
      <vt:variant>
        <vt:i4>5</vt:i4>
      </vt:variant>
      <vt:variant>
        <vt:lpwstr>http://www.nevo.co.il/case/18679901</vt:lpwstr>
      </vt:variant>
      <vt:variant>
        <vt:lpwstr/>
      </vt:variant>
      <vt:variant>
        <vt:i4>3539069</vt:i4>
      </vt:variant>
      <vt:variant>
        <vt:i4>162</vt:i4>
      </vt:variant>
      <vt:variant>
        <vt:i4>0</vt:i4>
      </vt:variant>
      <vt:variant>
        <vt:i4>5</vt:i4>
      </vt:variant>
      <vt:variant>
        <vt:lpwstr>http://www.nevo.co.il/case/18144523</vt:lpwstr>
      </vt:variant>
      <vt:variant>
        <vt:lpwstr/>
      </vt:variant>
      <vt:variant>
        <vt:i4>3997820</vt:i4>
      </vt:variant>
      <vt:variant>
        <vt:i4>159</vt:i4>
      </vt:variant>
      <vt:variant>
        <vt:i4>0</vt:i4>
      </vt:variant>
      <vt:variant>
        <vt:i4>5</vt:i4>
      </vt:variant>
      <vt:variant>
        <vt:lpwstr>http://www.nevo.co.il/case/2887374</vt:lpwstr>
      </vt:variant>
      <vt:variant>
        <vt:lpwstr/>
      </vt:variant>
      <vt:variant>
        <vt:i4>4128884</vt:i4>
      </vt:variant>
      <vt:variant>
        <vt:i4>156</vt:i4>
      </vt:variant>
      <vt:variant>
        <vt:i4>0</vt:i4>
      </vt:variant>
      <vt:variant>
        <vt:i4>5</vt:i4>
      </vt:variant>
      <vt:variant>
        <vt:lpwstr>http://www.nevo.co.il/case/5730970</vt:lpwstr>
      </vt:variant>
      <vt:variant>
        <vt:lpwstr/>
      </vt:variant>
      <vt:variant>
        <vt:i4>4063351</vt:i4>
      </vt:variant>
      <vt:variant>
        <vt:i4>153</vt:i4>
      </vt:variant>
      <vt:variant>
        <vt:i4>0</vt:i4>
      </vt:variant>
      <vt:variant>
        <vt:i4>5</vt:i4>
      </vt:variant>
      <vt:variant>
        <vt:lpwstr>http://www.nevo.co.il/case/5492557</vt:lpwstr>
      </vt:variant>
      <vt:variant>
        <vt:lpwstr/>
      </vt:variant>
      <vt:variant>
        <vt:i4>3735668</vt:i4>
      </vt:variant>
      <vt:variant>
        <vt:i4>150</vt:i4>
      </vt:variant>
      <vt:variant>
        <vt:i4>0</vt:i4>
      </vt:variant>
      <vt:variant>
        <vt:i4>5</vt:i4>
      </vt:variant>
      <vt:variant>
        <vt:lpwstr>http://www.nevo.co.il/case/11259435</vt:lpwstr>
      </vt:variant>
      <vt:variant>
        <vt:lpwstr/>
      </vt:variant>
      <vt:variant>
        <vt:i4>3211388</vt:i4>
      </vt:variant>
      <vt:variant>
        <vt:i4>147</vt:i4>
      </vt:variant>
      <vt:variant>
        <vt:i4>0</vt:i4>
      </vt:variant>
      <vt:variant>
        <vt:i4>5</vt:i4>
      </vt:variant>
      <vt:variant>
        <vt:lpwstr>http://www.nevo.co.il/case/18090902</vt:lpwstr>
      </vt:variant>
      <vt:variant>
        <vt:lpwstr/>
      </vt:variant>
      <vt:variant>
        <vt:i4>3473529</vt:i4>
      </vt:variant>
      <vt:variant>
        <vt:i4>144</vt:i4>
      </vt:variant>
      <vt:variant>
        <vt:i4>0</vt:i4>
      </vt:variant>
      <vt:variant>
        <vt:i4>5</vt:i4>
      </vt:variant>
      <vt:variant>
        <vt:lpwstr>http://www.nevo.co.il/case/6128041</vt:lpwstr>
      </vt:variant>
      <vt:variant>
        <vt:lpwstr/>
      </vt:variant>
      <vt:variant>
        <vt:i4>3145844</vt:i4>
      </vt:variant>
      <vt:variant>
        <vt:i4>141</vt:i4>
      </vt:variant>
      <vt:variant>
        <vt:i4>0</vt:i4>
      </vt:variant>
      <vt:variant>
        <vt:i4>5</vt:i4>
      </vt:variant>
      <vt:variant>
        <vt:lpwstr>http://www.nevo.co.il/case/6169989</vt:lpwstr>
      </vt:variant>
      <vt:variant>
        <vt:lpwstr/>
      </vt:variant>
      <vt:variant>
        <vt:i4>3211383</vt:i4>
      </vt:variant>
      <vt:variant>
        <vt:i4>138</vt:i4>
      </vt:variant>
      <vt:variant>
        <vt:i4>0</vt:i4>
      </vt:variant>
      <vt:variant>
        <vt:i4>5</vt:i4>
      </vt:variant>
      <vt:variant>
        <vt:lpwstr>http://www.nevo.co.il/case/6061524</vt:lpwstr>
      </vt:variant>
      <vt:variant>
        <vt:lpwstr/>
      </vt:variant>
      <vt:variant>
        <vt:i4>3407989</vt:i4>
      </vt:variant>
      <vt:variant>
        <vt:i4>135</vt:i4>
      </vt:variant>
      <vt:variant>
        <vt:i4>0</vt:i4>
      </vt:variant>
      <vt:variant>
        <vt:i4>5</vt:i4>
      </vt:variant>
      <vt:variant>
        <vt:lpwstr>http://www.nevo.co.il/case/5580841</vt:lpwstr>
      </vt:variant>
      <vt:variant>
        <vt:lpwstr/>
      </vt:variant>
      <vt:variant>
        <vt:i4>3342448</vt:i4>
      </vt:variant>
      <vt:variant>
        <vt:i4>132</vt:i4>
      </vt:variant>
      <vt:variant>
        <vt:i4>0</vt:i4>
      </vt:variant>
      <vt:variant>
        <vt:i4>5</vt:i4>
      </vt:variant>
      <vt:variant>
        <vt:lpwstr>http://www.nevo.co.il/case/21017469</vt:lpwstr>
      </vt:variant>
      <vt:variant>
        <vt:lpwstr/>
      </vt:variant>
      <vt:variant>
        <vt:i4>7995492</vt:i4>
      </vt:variant>
      <vt:variant>
        <vt:i4>129</vt:i4>
      </vt:variant>
      <vt:variant>
        <vt:i4>0</vt:i4>
      </vt:variant>
      <vt:variant>
        <vt:i4>5</vt:i4>
      </vt:variant>
      <vt:variant>
        <vt:lpwstr>http://www.nevo.co.il/law/70301</vt:lpwstr>
      </vt:variant>
      <vt:variant>
        <vt:lpwstr/>
      </vt:variant>
      <vt:variant>
        <vt:i4>6619233</vt:i4>
      </vt:variant>
      <vt:variant>
        <vt:i4>126</vt:i4>
      </vt:variant>
      <vt:variant>
        <vt:i4>0</vt:i4>
      </vt:variant>
      <vt:variant>
        <vt:i4>5</vt:i4>
      </vt:variant>
      <vt:variant>
        <vt:lpwstr>http://www.nevo.co.il/law/70301/40i</vt:lpwstr>
      </vt:variant>
      <vt:variant>
        <vt:lpwstr/>
      </vt:variant>
      <vt:variant>
        <vt:i4>3211383</vt:i4>
      </vt:variant>
      <vt:variant>
        <vt:i4>123</vt:i4>
      </vt:variant>
      <vt:variant>
        <vt:i4>0</vt:i4>
      </vt:variant>
      <vt:variant>
        <vt:i4>5</vt:i4>
      </vt:variant>
      <vt:variant>
        <vt:lpwstr>http://www.nevo.co.il/case/6061524</vt:lpwstr>
      </vt:variant>
      <vt:variant>
        <vt:lpwstr/>
      </vt:variant>
      <vt:variant>
        <vt:i4>7995492</vt:i4>
      </vt:variant>
      <vt:variant>
        <vt:i4>120</vt:i4>
      </vt:variant>
      <vt:variant>
        <vt:i4>0</vt:i4>
      </vt:variant>
      <vt:variant>
        <vt:i4>5</vt:i4>
      </vt:variant>
      <vt:variant>
        <vt:lpwstr>http://www.nevo.co.il/law/70301</vt:lpwstr>
      </vt:variant>
      <vt:variant>
        <vt:lpwstr/>
      </vt:variant>
      <vt:variant>
        <vt:i4>3407990</vt:i4>
      </vt:variant>
      <vt:variant>
        <vt:i4>117</vt:i4>
      </vt:variant>
      <vt:variant>
        <vt:i4>0</vt:i4>
      </vt:variant>
      <vt:variant>
        <vt:i4>5</vt:i4>
      </vt:variant>
      <vt:variant>
        <vt:lpwstr>http://www.nevo.co.il/case/5763166</vt:lpwstr>
      </vt:variant>
      <vt:variant>
        <vt:lpwstr/>
      </vt:variant>
      <vt:variant>
        <vt:i4>3932283</vt:i4>
      </vt:variant>
      <vt:variant>
        <vt:i4>114</vt:i4>
      </vt:variant>
      <vt:variant>
        <vt:i4>0</vt:i4>
      </vt:variant>
      <vt:variant>
        <vt:i4>5</vt:i4>
      </vt:variant>
      <vt:variant>
        <vt:lpwstr>http://www.nevo.co.il/case/5698919</vt:lpwstr>
      </vt:variant>
      <vt:variant>
        <vt:lpwstr/>
      </vt:variant>
      <vt:variant>
        <vt:i4>3801212</vt:i4>
      </vt:variant>
      <vt:variant>
        <vt:i4>111</vt:i4>
      </vt:variant>
      <vt:variant>
        <vt:i4>0</vt:i4>
      </vt:variant>
      <vt:variant>
        <vt:i4>5</vt:i4>
      </vt:variant>
      <vt:variant>
        <vt:lpwstr>http://www.nevo.co.il/case/5953822</vt:lpwstr>
      </vt:variant>
      <vt:variant>
        <vt:lpwstr/>
      </vt:variant>
      <vt:variant>
        <vt:i4>3407991</vt:i4>
      </vt:variant>
      <vt:variant>
        <vt:i4>108</vt:i4>
      </vt:variant>
      <vt:variant>
        <vt:i4>0</vt:i4>
      </vt:variant>
      <vt:variant>
        <vt:i4>5</vt:i4>
      </vt:variant>
      <vt:variant>
        <vt:lpwstr>http://www.nevo.co.il/case/5786821</vt:lpwstr>
      </vt:variant>
      <vt:variant>
        <vt:lpwstr/>
      </vt:variant>
      <vt:variant>
        <vt:i4>3539061</vt:i4>
      </vt:variant>
      <vt:variant>
        <vt:i4>105</vt:i4>
      </vt:variant>
      <vt:variant>
        <vt:i4>0</vt:i4>
      </vt:variant>
      <vt:variant>
        <vt:i4>5</vt:i4>
      </vt:variant>
      <vt:variant>
        <vt:lpwstr>http://www.nevo.co.il/case/5988308</vt:lpwstr>
      </vt:variant>
      <vt:variant>
        <vt:lpwstr/>
      </vt:variant>
      <vt:variant>
        <vt:i4>3211379</vt:i4>
      </vt:variant>
      <vt:variant>
        <vt:i4>102</vt:i4>
      </vt:variant>
      <vt:variant>
        <vt:i4>0</vt:i4>
      </vt:variant>
      <vt:variant>
        <vt:i4>5</vt:i4>
      </vt:variant>
      <vt:variant>
        <vt:lpwstr>http://www.nevo.co.il/case/5573417</vt:lpwstr>
      </vt:variant>
      <vt:variant>
        <vt:lpwstr/>
      </vt:variant>
      <vt:variant>
        <vt:i4>7995492</vt:i4>
      </vt:variant>
      <vt:variant>
        <vt:i4>99</vt:i4>
      </vt:variant>
      <vt:variant>
        <vt:i4>0</vt:i4>
      </vt:variant>
      <vt:variant>
        <vt:i4>5</vt:i4>
      </vt:variant>
      <vt:variant>
        <vt:lpwstr>http://www.nevo.co.il/law/70301</vt:lpwstr>
      </vt:variant>
      <vt:variant>
        <vt:lpwstr/>
      </vt:variant>
      <vt:variant>
        <vt:i4>4915202</vt:i4>
      </vt:variant>
      <vt:variant>
        <vt:i4>96</vt:i4>
      </vt:variant>
      <vt:variant>
        <vt:i4>0</vt:i4>
      </vt:variant>
      <vt:variant>
        <vt:i4>5</vt:i4>
      </vt:variant>
      <vt:variant>
        <vt:lpwstr>http://www.nevo.co.il/law/70301/40c.a</vt:lpwstr>
      </vt:variant>
      <vt:variant>
        <vt:lpwstr/>
      </vt:variant>
      <vt:variant>
        <vt:i4>589898</vt:i4>
      </vt:variant>
      <vt:variant>
        <vt:i4>93</vt:i4>
      </vt:variant>
      <vt:variant>
        <vt:i4>0</vt:i4>
      </vt:variant>
      <vt:variant>
        <vt:i4>5</vt:i4>
      </vt:variant>
      <vt:variant>
        <vt:lpwstr>http://www.nevo.co.il/case/161892</vt:lpwstr>
      </vt:variant>
      <vt:variant>
        <vt:lpwstr/>
      </vt:variant>
      <vt:variant>
        <vt:i4>4128894</vt:i4>
      </vt:variant>
      <vt:variant>
        <vt:i4>90</vt:i4>
      </vt:variant>
      <vt:variant>
        <vt:i4>0</vt:i4>
      </vt:variant>
      <vt:variant>
        <vt:i4>5</vt:i4>
      </vt:variant>
      <vt:variant>
        <vt:lpwstr>http://www.nevo.co.il/case/7029339</vt:lpwstr>
      </vt:variant>
      <vt:variant>
        <vt:lpwstr/>
      </vt:variant>
      <vt:variant>
        <vt:i4>7995492</vt:i4>
      </vt:variant>
      <vt:variant>
        <vt:i4>87</vt:i4>
      </vt:variant>
      <vt:variant>
        <vt:i4>0</vt:i4>
      </vt:variant>
      <vt:variant>
        <vt:i4>5</vt:i4>
      </vt:variant>
      <vt:variant>
        <vt:lpwstr>http://www.nevo.co.il/law/70301</vt:lpwstr>
      </vt:variant>
      <vt:variant>
        <vt:lpwstr/>
      </vt:variant>
      <vt:variant>
        <vt:i4>3276923</vt:i4>
      </vt:variant>
      <vt:variant>
        <vt:i4>84</vt:i4>
      </vt:variant>
      <vt:variant>
        <vt:i4>0</vt:i4>
      </vt:variant>
      <vt:variant>
        <vt:i4>5</vt:i4>
      </vt:variant>
      <vt:variant>
        <vt:lpwstr>http://www.nevo.co.il/case/5569233</vt:lpwstr>
      </vt:variant>
      <vt:variant>
        <vt:lpwstr/>
      </vt:variant>
      <vt:variant>
        <vt:i4>4063357</vt:i4>
      </vt:variant>
      <vt:variant>
        <vt:i4>81</vt:i4>
      </vt:variant>
      <vt:variant>
        <vt:i4>0</vt:i4>
      </vt:variant>
      <vt:variant>
        <vt:i4>5</vt:i4>
      </vt:variant>
      <vt:variant>
        <vt:lpwstr>http://www.nevo.co.il/case/20198052</vt:lpwstr>
      </vt:variant>
      <vt:variant>
        <vt:lpwstr/>
      </vt:variant>
      <vt:variant>
        <vt:i4>7405625</vt:i4>
      </vt:variant>
      <vt:variant>
        <vt:i4>78</vt:i4>
      </vt:variant>
      <vt:variant>
        <vt:i4>0</vt:i4>
      </vt:variant>
      <vt:variant>
        <vt:i4>5</vt:i4>
      </vt:variant>
      <vt:variant>
        <vt:lpwstr>http://www.nevo.co.il/safrut/book/15850</vt:lpwstr>
      </vt:variant>
      <vt:variant>
        <vt:lpwstr/>
      </vt:variant>
      <vt:variant>
        <vt:i4>3801206</vt:i4>
      </vt:variant>
      <vt:variant>
        <vt:i4>75</vt:i4>
      </vt:variant>
      <vt:variant>
        <vt:i4>0</vt:i4>
      </vt:variant>
      <vt:variant>
        <vt:i4>5</vt:i4>
      </vt:variant>
      <vt:variant>
        <vt:lpwstr>http://www.nevo.co.il/case/4475138</vt:lpwstr>
      </vt:variant>
      <vt:variant>
        <vt:lpwstr/>
      </vt:variant>
      <vt:variant>
        <vt:i4>3932277</vt:i4>
      </vt:variant>
      <vt:variant>
        <vt:i4>72</vt:i4>
      </vt:variant>
      <vt:variant>
        <vt:i4>0</vt:i4>
      </vt:variant>
      <vt:variant>
        <vt:i4>5</vt:i4>
      </vt:variant>
      <vt:variant>
        <vt:lpwstr>http://www.nevo.co.il/case/5068897</vt:lpwstr>
      </vt:variant>
      <vt:variant>
        <vt:lpwstr/>
      </vt:variant>
      <vt:variant>
        <vt:i4>3407990</vt:i4>
      </vt:variant>
      <vt:variant>
        <vt:i4>69</vt:i4>
      </vt:variant>
      <vt:variant>
        <vt:i4>0</vt:i4>
      </vt:variant>
      <vt:variant>
        <vt:i4>5</vt:i4>
      </vt:variant>
      <vt:variant>
        <vt:lpwstr>http://www.nevo.co.il/case/3293937</vt:lpwstr>
      </vt:variant>
      <vt:variant>
        <vt:lpwstr/>
      </vt:variant>
      <vt:variant>
        <vt:i4>8257646</vt:i4>
      </vt:variant>
      <vt:variant>
        <vt:i4>66</vt:i4>
      </vt:variant>
      <vt:variant>
        <vt:i4>0</vt:i4>
      </vt:variant>
      <vt:variant>
        <vt:i4>5</vt:i4>
      </vt:variant>
      <vt:variant>
        <vt:lpwstr>http://www.nevo.co.il/law/74903</vt:lpwstr>
      </vt:variant>
      <vt:variant>
        <vt:lpwstr/>
      </vt:variant>
      <vt:variant>
        <vt:i4>7995492</vt:i4>
      </vt:variant>
      <vt:variant>
        <vt:i4>63</vt:i4>
      </vt:variant>
      <vt:variant>
        <vt:i4>0</vt:i4>
      </vt:variant>
      <vt:variant>
        <vt:i4>5</vt:i4>
      </vt:variant>
      <vt:variant>
        <vt:lpwstr>http://www.nevo.co.il/law/70301</vt:lpwstr>
      </vt:variant>
      <vt:variant>
        <vt:lpwstr/>
      </vt:variant>
      <vt:variant>
        <vt:i4>6619233</vt:i4>
      </vt:variant>
      <vt:variant>
        <vt:i4>60</vt:i4>
      </vt:variant>
      <vt:variant>
        <vt:i4>0</vt:i4>
      </vt:variant>
      <vt:variant>
        <vt:i4>5</vt:i4>
      </vt:variant>
      <vt:variant>
        <vt:lpwstr>http://www.nevo.co.il/law/70301/40c</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6619233</vt:i4>
      </vt:variant>
      <vt:variant>
        <vt:i4>54</vt:i4>
      </vt:variant>
      <vt:variant>
        <vt:i4>0</vt:i4>
      </vt:variant>
      <vt:variant>
        <vt:i4>5</vt:i4>
      </vt:variant>
      <vt:variant>
        <vt:lpwstr>http://www.nevo.co.il/law/70301/40i</vt:lpwstr>
      </vt:variant>
      <vt:variant>
        <vt:lpwstr/>
      </vt:variant>
      <vt:variant>
        <vt:i4>3539056</vt:i4>
      </vt:variant>
      <vt:variant>
        <vt:i4>51</vt:i4>
      </vt:variant>
      <vt:variant>
        <vt:i4>0</vt:i4>
      </vt:variant>
      <vt:variant>
        <vt:i4>5</vt:i4>
      </vt:variant>
      <vt:variant>
        <vt:lpwstr>http://www.nevo.co.il/case/6473037</vt:lpwstr>
      </vt:variant>
      <vt:variant>
        <vt:lpwstr/>
      </vt:variant>
      <vt:variant>
        <vt:i4>4128893</vt:i4>
      </vt:variant>
      <vt:variant>
        <vt:i4>48</vt:i4>
      </vt:variant>
      <vt:variant>
        <vt:i4>0</vt:i4>
      </vt:variant>
      <vt:variant>
        <vt:i4>5</vt:i4>
      </vt:variant>
      <vt:variant>
        <vt:lpwstr>http://www.nevo.co.il/case/6824952</vt:lpwstr>
      </vt:variant>
      <vt:variant>
        <vt:lpwstr/>
      </vt:variant>
      <vt:variant>
        <vt:i4>4128888</vt:i4>
      </vt:variant>
      <vt:variant>
        <vt:i4>45</vt:i4>
      </vt:variant>
      <vt:variant>
        <vt:i4>0</vt:i4>
      </vt:variant>
      <vt:variant>
        <vt:i4>5</vt:i4>
      </vt:variant>
      <vt:variant>
        <vt:lpwstr>http://www.nevo.co.il/case/6950458</vt:lpwstr>
      </vt:variant>
      <vt:variant>
        <vt:lpwstr/>
      </vt:variant>
      <vt:variant>
        <vt:i4>7995492</vt:i4>
      </vt:variant>
      <vt:variant>
        <vt:i4>42</vt:i4>
      </vt:variant>
      <vt:variant>
        <vt:i4>0</vt:i4>
      </vt:variant>
      <vt:variant>
        <vt:i4>5</vt:i4>
      </vt:variant>
      <vt:variant>
        <vt:lpwstr>http://www.nevo.co.il/law/70301</vt:lpwstr>
      </vt:variant>
      <vt:variant>
        <vt:lpwstr/>
      </vt:variant>
      <vt:variant>
        <vt:i4>8257637</vt:i4>
      </vt:variant>
      <vt:variant>
        <vt:i4>39</vt:i4>
      </vt:variant>
      <vt:variant>
        <vt:i4>0</vt:i4>
      </vt:variant>
      <vt:variant>
        <vt:i4>5</vt:i4>
      </vt:variant>
      <vt:variant>
        <vt:lpwstr>http://www.nevo.co.il/law/4216</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8257646</vt:i4>
      </vt:variant>
      <vt:variant>
        <vt:i4>30</vt:i4>
      </vt:variant>
      <vt:variant>
        <vt:i4>0</vt:i4>
      </vt:variant>
      <vt:variant>
        <vt:i4>5</vt:i4>
      </vt:variant>
      <vt:variant>
        <vt:lpwstr>http://www.nevo.co.il/law/74903</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6619233</vt:i4>
      </vt:variant>
      <vt:variant>
        <vt:i4>24</vt:i4>
      </vt:variant>
      <vt:variant>
        <vt:i4>0</vt:i4>
      </vt:variant>
      <vt:variant>
        <vt:i4>5</vt:i4>
      </vt:variant>
      <vt:variant>
        <vt:lpwstr>http://www.nevo.co.il/law/70301/40i</vt:lpwstr>
      </vt:variant>
      <vt:variant>
        <vt:lpwstr/>
      </vt:variant>
      <vt:variant>
        <vt:i4>6619233</vt:i4>
      </vt:variant>
      <vt:variant>
        <vt:i4>21</vt:i4>
      </vt:variant>
      <vt:variant>
        <vt:i4>0</vt:i4>
      </vt:variant>
      <vt:variant>
        <vt:i4>5</vt:i4>
      </vt:variant>
      <vt:variant>
        <vt:lpwstr>http://www.nevo.co.il/law/70301/40g</vt:lpwstr>
      </vt:variant>
      <vt:variant>
        <vt:lpwstr/>
      </vt:variant>
      <vt:variant>
        <vt:i4>6619233</vt:i4>
      </vt:variant>
      <vt:variant>
        <vt:i4>18</vt:i4>
      </vt:variant>
      <vt:variant>
        <vt:i4>0</vt:i4>
      </vt:variant>
      <vt:variant>
        <vt:i4>5</vt:i4>
      </vt:variant>
      <vt:variant>
        <vt:lpwstr>http://www.nevo.co.il/law/70301/40f</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6619233</vt:i4>
      </vt:variant>
      <vt:variant>
        <vt:i4>12</vt:i4>
      </vt:variant>
      <vt:variant>
        <vt:i4>0</vt:i4>
      </vt:variant>
      <vt:variant>
        <vt:i4>5</vt:i4>
      </vt:variant>
      <vt:variant>
        <vt:lpwstr>http://www.nevo.co.il/law/70301/40c</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2025-04-22T22:51:00Z</dcterms:created>
  <dcterms:modified xsi:type="dcterms:W3CDTF">2025-04-22T22:51:00Z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41189</vt:lpwstr>
  </property>
  <property fmtid="{D5CDD505-2E9C-101B-9397-08002B2CF9AE}" pid="6" name="NEWPARTB">
    <vt:lpwstr>09</vt:lpwstr>
  </property>
  <property fmtid="{D5CDD505-2E9C-101B-9397-08002B2CF9AE}" pid="7" name="NEWPARTC">
    <vt:lpwstr>15</vt:lpwstr>
  </property>
  <property fmtid="{D5CDD505-2E9C-101B-9397-08002B2CF9AE}" pid="8" name="APPELLANT">
    <vt:lpwstr>מדינת ישראל;שלוחת תביעות אילת</vt:lpwstr>
  </property>
  <property fmtid="{D5CDD505-2E9C-101B-9397-08002B2CF9AE}" pid="9" name="APPELLEE">
    <vt:lpwstr>תאופיק אלדהיני</vt:lpwstr>
  </property>
  <property fmtid="{D5CDD505-2E9C-101B-9397-08002B2CF9AE}" pid="10" name="LAWYER">
    <vt:lpwstr>שחר עידן ;אחמד סיף אלדין ותד;אלדהיני</vt:lpwstr>
  </property>
  <property fmtid="{D5CDD505-2E9C-101B-9397-08002B2CF9AE}" pid="11" name="JUDGE">
    <vt:lpwstr>יוסי טופף</vt:lpwstr>
  </property>
  <property fmtid="{D5CDD505-2E9C-101B-9397-08002B2CF9AE}" pid="12" name="CITY">
    <vt:lpwstr>אי'</vt:lpwstr>
  </property>
  <property fmtid="{D5CDD505-2E9C-101B-9397-08002B2CF9AE}" pid="13" name="DATE">
    <vt:lpwstr>20160713</vt:lpwstr>
  </property>
  <property fmtid="{D5CDD505-2E9C-101B-9397-08002B2CF9AE}" pid="14" name="TYPE_N_DATE">
    <vt:lpwstr>38020160713</vt:lpwstr>
  </property>
  <property fmtid="{D5CDD505-2E9C-101B-9397-08002B2CF9AE}" pid="15" name="BOOKLISTTMP1">
    <vt:lpwstr>15850</vt:lpwstr>
  </property>
  <property fmtid="{D5CDD505-2E9C-101B-9397-08002B2CF9AE}" pid="16" name="CASESLISTTMP1">
    <vt:lpwstr>6950458;6824952;6473037;3293937;5068897;4475138;20198052;5569233;7029339;161892;5573417;5988308;5786821;5953822;5698919;5763166;6061524:2;21017469;5580841;6169989;6128041;18090902;11259435;5492557;5730970;2887374;18144523;18679901;18185061;5074126</vt:lpwstr>
  </property>
  <property fmtid="{D5CDD505-2E9C-101B-9397-08002B2CF9AE}" pid="17" name="CASESLISTTMP2">
    <vt:lpwstr>3505224;4569822;3606459;20071591;4044896;17941073;5993616;5880417;17926104;20591774</vt:lpwstr>
  </property>
  <property fmtid="{D5CDD505-2E9C-101B-9397-08002B2CF9AE}" pid="18" name="ISABSTRACT">
    <vt:lpwstr>Y</vt:lpwstr>
  </property>
  <property fmtid="{D5CDD505-2E9C-101B-9397-08002B2CF9AE}" pid="19" name="WORDNUMPAGES">
    <vt:lpwstr>13</vt:lpwstr>
  </property>
  <property fmtid="{D5CDD505-2E9C-101B-9397-08002B2CF9AE}" pid="20" name="TYPE_ABS_DATE">
    <vt:lpwstr>380020160713</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4216/007.a;007.c</vt:lpwstr>
  </property>
  <property fmtid="{D5CDD505-2E9C-101B-9397-08002B2CF9AE}" pid="39" name="LAWLISTTMP2">
    <vt:lpwstr>70301/040i:2;040c;040c.a;040f;040g;40ja</vt:lpwstr>
  </property>
  <property fmtid="{D5CDD505-2E9C-101B-9397-08002B2CF9AE}" pid="40" name="LAWLISTTMP3">
    <vt:lpwstr>74903</vt:lpwstr>
  </property>
</Properties>
</file>