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7D527F" w:rsidRPr="00663B92" w14:paraId="5169FF5B" w14:textId="77777777" w:rsidTr="00603CDD">
        <w:trPr>
          <w:trHeight w:hRule="exact" w:val="418"/>
          <w:jc w:val="center"/>
        </w:trPr>
        <w:tc>
          <w:tcPr>
            <w:tcW w:w="8721" w:type="dxa"/>
            <w:gridSpan w:val="2"/>
          </w:tcPr>
          <w:p w14:paraId="028F6032" w14:textId="77777777" w:rsidR="007D527F" w:rsidRPr="00663B92" w:rsidRDefault="007D527F" w:rsidP="00663B92">
            <w:pPr>
              <w:pStyle w:val="a3"/>
              <w:jc w:val="center"/>
              <w:rPr>
                <w:rFonts w:ascii="Tahoma" w:hAnsi="Tahoma" w:cs="Tahoma"/>
                <w:color w:val="000080"/>
                <w:rtl/>
              </w:rPr>
            </w:pPr>
            <w:bookmarkStart w:id="0" w:name="LastJudge"/>
            <w:r w:rsidRPr="00663B92">
              <w:rPr>
                <w:rFonts w:ascii="Tahoma" w:hAnsi="Tahoma" w:cs="Tahoma"/>
                <w:b/>
                <w:bCs/>
                <w:color w:val="000080"/>
                <w:rtl/>
              </w:rPr>
              <w:t>בית משפט השלום בכפר סבא</w:t>
            </w:r>
          </w:p>
        </w:tc>
      </w:tr>
      <w:tr w:rsidR="007D527F" w:rsidRPr="00663B92" w14:paraId="18A967FD" w14:textId="77777777" w:rsidTr="00603CDD">
        <w:trPr>
          <w:trHeight w:val="337"/>
          <w:jc w:val="center"/>
        </w:trPr>
        <w:tc>
          <w:tcPr>
            <w:tcW w:w="5050" w:type="dxa"/>
          </w:tcPr>
          <w:p w14:paraId="6A7631CE" w14:textId="77777777" w:rsidR="007D527F" w:rsidRPr="00663B92" w:rsidRDefault="007D527F" w:rsidP="00663B92">
            <w:pPr>
              <w:rPr>
                <w:rFonts w:cs="FrankRuehl"/>
                <w:sz w:val="28"/>
                <w:szCs w:val="28"/>
                <w:rtl/>
              </w:rPr>
            </w:pPr>
            <w:r w:rsidRPr="00663B92">
              <w:rPr>
                <w:rFonts w:cs="FrankRuehl"/>
                <w:sz w:val="28"/>
                <w:szCs w:val="28"/>
                <w:rtl/>
              </w:rPr>
              <w:t>ת"פ</w:t>
            </w:r>
            <w:r w:rsidRPr="00663B92">
              <w:rPr>
                <w:rFonts w:cs="FrankRuehl" w:hint="cs"/>
                <w:sz w:val="28"/>
                <w:szCs w:val="28"/>
                <w:rtl/>
              </w:rPr>
              <w:t xml:space="preserve"> </w:t>
            </w:r>
            <w:r w:rsidRPr="00663B92">
              <w:rPr>
                <w:rFonts w:cs="FrankRuehl"/>
                <w:sz w:val="28"/>
                <w:szCs w:val="28"/>
                <w:rtl/>
              </w:rPr>
              <w:t>44220-09-15</w:t>
            </w:r>
            <w:r w:rsidRPr="00663B92">
              <w:rPr>
                <w:rFonts w:cs="FrankRuehl" w:hint="cs"/>
                <w:sz w:val="28"/>
                <w:szCs w:val="28"/>
                <w:rtl/>
              </w:rPr>
              <w:t xml:space="preserve"> </w:t>
            </w:r>
            <w:r w:rsidRPr="00663B92">
              <w:rPr>
                <w:rFonts w:cs="FrankRuehl"/>
                <w:sz w:val="28"/>
                <w:szCs w:val="28"/>
                <w:rtl/>
              </w:rPr>
              <w:t>מדינת ישראל נ' ססי</w:t>
            </w:r>
          </w:p>
          <w:p w14:paraId="5361A452" w14:textId="77777777" w:rsidR="007D527F" w:rsidRPr="00663B92" w:rsidRDefault="007D527F" w:rsidP="00663B92">
            <w:pPr>
              <w:pStyle w:val="a3"/>
              <w:rPr>
                <w:rFonts w:cs="FrankRuehl"/>
                <w:sz w:val="28"/>
                <w:szCs w:val="28"/>
                <w:rtl/>
              </w:rPr>
            </w:pPr>
          </w:p>
        </w:tc>
        <w:tc>
          <w:tcPr>
            <w:tcW w:w="3671" w:type="dxa"/>
          </w:tcPr>
          <w:p w14:paraId="63E9BAA0" w14:textId="77777777" w:rsidR="007D527F" w:rsidRPr="00663B92" w:rsidRDefault="007D527F" w:rsidP="00663B92">
            <w:pPr>
              <w:pStyle w:val="a3"/>
              <w:jc w:val="right"/>
              <w:rPr>
                <w:rFonts w:cs="FrankRuehl"/>
                <w:sz w:val="28"/>
                <w:szCs w:val="28"/>
                <w:rtl/>
              </w:rPr>
            </w:pPr>
            <w:r w:rsidRPr="00663B92">
              <w:rPr>
                <w:rFonts w:cs="FrankRuehl" w:hint="cs"/>
                <w:sz w:val="28"/>
                <w:szCs w:val="28"/>
                <w:rtl/>
              </w:rPr>
              <w:t>15 מרץ 2017</w:t>
            </w:r>
          </w:p>
        </w:tc>
      </w:tr>
    </w:tbl>
    <w:p w14:paraId="360722E9" w14:textId="77777777" w:rsidR="007D527F" w:rsidRPr="00663B92" w:rsidRDefault="007D527F" w:rsidP="007D527F">
      <w:pPr>
        <w:pStyle w:val="a3"/>
        <w:rPr>
          <w:rtl/>
        </w:rPr>
      </w:pPr>
      <w:r w:rsidRPr="00663B92">
        <w:rPr>
          <w:rFonts w:hint="cs"/>
          <w:rtl/>
        </w:rPr>
        <w:t xml:space="preserve"> </w:t>
      </w:r>
    </w:p>
    <w:p w14:paraId="4AD321DB" w14:textId="77777777" w:rsidR="007D527F" w:rsidRPr="00663B92" w:rsidRDefault="007D527F" w:rsidP="007D527F">
      <w:pPr>
        <w:pStyle w:val="a3"/>
      </w:pPr>
      <w:r w:rsidRPr="00663B92">
        <w:rPr>
          <w:rFonts w:cs="Times New Roman" w:hint="cs"/>
          <w:b/>
          <w:bCs/>
          <w:sz w:val="26"/>
          <w:szCs w:val="28"/>
          <w:rtl/>
        </w:rPr>
        <w:t xml:space="preserve"> </w:t>
      </w:r>
    </w:p>
    <w:p w14:paraId="20C6A6E7" w14:textId="77777777" w:rsidR="007D527F" w:rsidRPr="00663B92" w:rsidRDefault="007D527F" w:rsidP="007D527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
        <w:gridCol w:w="4098"/>
        <w:gridCol w:w="3743"/>
      </w:tblGrid>
      <w:tr w:rsidR="007D527F" w:rsidRPr="00663B92" w14:paraId="1B76E077" w14:textId="77777777" w:rsidTr="00663B92">
        <w:trPr>
          <w:trHeight w:val="295"/>
          <w:jc w:val="center"/>
        </w:trPr>
        <w:tc>
          <w:tcPr>
            <w:tcW w:w="923" w:type="dxa"/>
            <w:tcBorders>
              <w:top w:val="nil"/>
              <w:left w:val="nil"/>
              <w:bottom w:val="nil"/>
              <w:right w:val="nil"/>
            </w:tcBorders>
            <w:shd w:val="clear" w:color="auto" w:fill="auto"/>
          </w:tcPr>
          <w:p w14:paraId="7FFDA54F" w14:textId="77777777" w:rsidR="007D527F" w:rsidRPr="00663B92" w:rsidRDefault="007D527F" w:rsidP="00663B92">
            <w:pPr>
              <w:jc w:val="both"/>
              <w:rPr>
                <w:rFonts w:ascii="Arial" w:hAnsi="Arial"/>
                <w:sz w:val="26"/>
                <w:szCs w:val="26"/>
              </w:rPr>
            </w:pPr>
            <w:r w:rsidRPr="00663B92">
              <w:rPr>
                <w:rFonts w:ascii="Arial" w:hAnsi="Arial" w:hint="cs"/>
                <w:sz w:val="26"/>
                <w:szCs w:val="26"/>
                <w:rtl/>
              </w:rPr>
              <w:t>ל</w:t>
            </w:r>
            <w:r w:rsidRPr="00663B92">
              <w:rPr>
                <w:rFonts w:ascii="Arial" w:hAnsi="Arial"/>
                <w:sz w:val="26"/>
                <w:szCs w:val="26"/>
                <w:rtl/>
              </w:rPr>
              <w:t xml:space="preserve">פני </w:t>
            </w:r>
          </w:p>
        </w:tc>
        <w:tc>
          <w:tcPr>
            <w:tcW w:w="7897" w:type="dxa"/>
            <w:gridSpan w:val="2"/>
            <w:tcBorders>
              <w:top w:val="nil"/>
              <w:left w:val="nil"/>
              <w:bottom w:val="nil"/>
              <w:right w:val="nil"/>
            </w:tcBorders>
            <w:shd w:val="clear" w:color="auto" w:fill="auto"/>
          </w:tcPr>
          <w:p w14:paraId="40BBCD26" w14:textId="77777777" w:rsidR="007D527F" w:rsidRPr="00663B92" w:rsidRDefault="007D527F" w:rsidP="00663B92">
            <w:pPr>
              <w:rPr>
                <w:rFonts w:ascii="Arial" w:hAnsi="Arial"/>
                <w:b/>
                <w:bCs/>
                <w:sz w:val="26"/>
                <w:szCs w:val="26"/>
                <w:rtl/>
              </w:rPr>
            </w:pPr>
            <w:r w:rsidRPr="00663B92">
              <w:rPr>
                <w:rFonts w:ascii="Arial" w:hAnsi="Arial" w:hint="cs"/>
                <w:b/>
                <w:bCs/>
                <w:sz w:val="26"/>
                <w:szCs w:val="26"/>
                <w:rtl/>
              </w:rPr>
              <w:t>כב' ה</w:t>
            </w:r>
            <w:r w:rsidRPr="00663B92">
              <w:rPr>
                <w:rFonts w:hint="cs"/>
                <w:rtl/>
              </w:rPr>
              <w:t>שופט</w:t>
            </w:r>
            <w:r w:rsidRPr="00663B92">
              <w:rPr>
                <w:rFonts w:ascii="Arial" w:hAnsi="Arial" w:hint="cs"/>
                <w:b/>
                <w:bCs/>
                <w:sz w:val="26"/>
                <w:szCs w:val="26"/>
                <w:rtl/>
              </w:rPr>
              <w:t xml:space="preserve">  </w:t>
            </w:r>
            <w:r w:rsidRPr="00663B92">
              <w:rPr>
                <w:rFonts w:hint="cs"/>
                <w:rtl/>
              </w:rPr>
              <w:t>מיכאל קרשן</w:t>
            </w:r>
          </w:p>
          <w:p w14:paraId="7FB9F19C" w14:textId="77777777" w:rsidR="007D527F" w:rsidRPr="00663B92" w:rsidRDefault="007D527F" w:rsidP="00663B92">
            <w:pPr>
              <w:jc w:val="both"/>
              <w:rPr>
                <w:rFonts w:ascii="Arial" w:hAnsi="Arial"/>
                <w:sz w:val="26"/>
                <w:szCs w:val="26"/>
              </w:rPr>
            </w:pPr>
          </w:p>
        </w:tc>
      </w:tr>
      <w:tr w:rsidR="007D527F" w:rsidRPr="00663B92" w14:paraId="5D178801" w14:textId="77777777" w:rsidTr="00663B92">
        <w:trPr>
          <w:trHeight w:val="355"/>
          <w:jc w:val="center"/>
        </w:trPr>
        <w:tc>
          <w:tcPr>
            <w:tcW w:w="923" w:type="dxa"/>
            <w:tcBorders>
              <w:top w:val="nil"/>
              <w:left w:val="nil"/>
              <w:bottom w:val="nil"/>
              <w:right w:val="nil"/>
            </w:tcBorders>
            <w:shd w:val="clear" w:color="auto" w:fill="auto"/>
          </w:tcPr>
          <w:p w14:paraId="3A8DF332" w14:textId="77777777" w:rsidR="007D527F" w:rsidRPr="00663B92" w:rsidRDefault="007D527F" w:rsidP="00663B92">
            <w:pPr>
              <w:jc w:val="both"/>
              <w:rPr>
                <w:rFonts w:ascii="Arial" w:hAnsi="Arial"/>
                <w:sz w:val="26"/>
                <w:szCs w:val="26"/>
                <w:rtl/>
              </w:rPr>
            </w:pPr>
            <w:bookmarkStart w:id="1" w:name="FirstAppellant"/>
          </w:p>
          <w:p w14:paraId="72B7A751" w14:textId="77777777" w:rsidR="007D527F" w:rsidRPr="00663B92" w:rsidRDefault="007D527F" w:rsidP="00663B92">
            <w:pPr>
              <w:jc w:val="both"/>
              <w:rPr>
                <w:rFonts w:ascii="Arial" w:hAnsi="Arial"/>
                <w:sz w:val="26"/>
                <w:szCs w:val="26"/>
              </w:rPr>
            </w:pPr>
            <w:r w:rsidRPr="00663B92">
              <w:rPr>
                <w:rFonts w:ascii="Arial" w:hAnsi="Arial" w:hint="cs"/>
                <w:sz w:val="26"/>
                <w:szCs w:val="26"/>
                <w:rtl/>
              </w:rPr>
              <w:t>בעניין:</w:t>
            </w:r>
          </w:p>
        </w:tc>
        <w:tc>
          <w:tcPr>
            <w:tcW w:w="4126" w:type="dxa"/>
            <w:tcBorders>
              <w:top w:val="nil"/>
              <w:left w:val="nil"/>
              <w:bottom w:val="nil"/>
              <w:right w:val="nil"/>
            </w:tcBorders>
            <w:shd w:val="clear" w:color="auto" w:fill="auto"/>
          </w:tcPr>
          <w:p w14:paraId="0A9ACCAF" w14:textId="77777777" w:rsidR="007D527F" w:rsidRPr="00663B92" w:rsidRDefault="007D527F" w:rsidP="00663B92">
            <w:pPr>
              <w:jc w:val="both"/>
              <w:rPr>
                <w:rFonts w:ascii="Arial" w:hAnsi="Arial"/>
                <w:sz w:val="26"/>
                <w:szCs w:val="26"/>
                <w:rtl/>
              </w:rPr>
            </w:pPr>
          </w:p>
          <w:p w14:paraId="6FAB0B98" w14:textId="77777777" w:rsidR="007D527F" w:rsidRPr="00663B92" w:rsidRDefault="007D527F" w:rsidP="00663B92">
            <w:pPr>
              <w:rPr>
                <w:rFonts w:ascii="Arial" w:hAnsi="Arial"/>
                <w:sz w:val="26"/>
                <w:szCs w:val="26"/>
              </w:rPr>
            </w:pPr>
            <w:r w:rsidRPr="00663B92">
              <w:rPr>
                <w:rFonts w:ascii="Arial" w:hAnsi="Arial" w:hint="cs"/>
                <w:sz w:val="26"/>
                <w:szCs w:val="26"/>
                <w:rtl/>
              </w:rPr>
              <w:t>ה</w:t>
            </w:r>
            <w:r w:rsidRPr="00663B92">
              <w:rPr>
                <w:rFonts w:hint="cs"/>
                <w:rtl/>
              </w:rPr>
              <w:t>מאשימה</w:t>
            </w:r>
          </w:p>
        </w:tc>
        <w:tc>
          <w:tcPr>
            <w:tcW w:w="3771" w:type="dxa"/>
            <w:tcBorders>
              <w:top w:val="nil"/>
              <w:left w:val="nil"/>
              <w:bottom w:val="nil"/>
              <w:right w:val="nil"/>
            </w:tcBorders>
            <w:shd w:val="clear" w:color="auto" w:fill="auto"/>
          </w:tcPr>
          <w:p w14:paraId="0FE8C500" w14:textId="77777777" w:rsidR="007D527F" w:rsidRPr="00663B92" w:rsidRDefault="007D527F" w:rsidP="00663B92">
            <w:pPr>
              <w:rPr>
                <w:rFonts w:ascii="Arial" w:hAnsi="Arial"/>
                <w:sz w:val="26"/>
                <w:szCs w:val="26"/>
                <w:rtl/>
              </w:rPr>
            </w:pPr>
          </w:p>
          <w:p w14:paraId="6FDA515C" w14:textId="77777777" w:rsidR="007D527F" w:rsidRPr="00663B92" w:rsidRDefault="007D527F" w:rsidP="00663B92">
            <w:pPr>
              <w:rPr>
                <w:sz w:val="26"/>
                <w:szCs w:val="26"/>
              </w:rPr>
            </w:pPr>
            <w:r w:rsidRPr="00663B92">
              <w:rPr>
                <w:rFonts w:hint="cs"/>
                <w:rtl/>
              </w:rPr>
              <w:t>מדינת ישראל</w:t>
            </w:r>
          </w:p>
          <w:p w14:paraId="257037C0" w14:textId="77777777" w:rsidR="007D527F" w:rsidRPr="00663B92" w:rsidRDefault="007D527F" w:rsidP="00663B92">
            <w:pPr>
              <w:jc w:val="both"/>
              <w:rPr>
                <w:rFonts w:ascii="Arial" w:hAnsi="Arial"/>
                <w:sz w:val="26"/>
                <w:szCs w:val="26"/>
              </w:rPr>
            </w:pPr>
          </w:p>
        </w:tc>
      </w:tr>
      <w:bookmarkEnd w:id="1"/>
      <w:tr w:rsidR="007D527F" w:rsidRPr="00663B92" w14:paraId="7A5E8155" w14:textId="77777777" w:rsidTr="00663B92">
        <w:trPr>
          <w:trHeight w:val="355"/>
          <w:jc w:val="center"/>
        </w:trPr>
        <w:tc>
          <w:tcPr>
            <w:tcW w:w="923" w:type="dxa"/>
            <w:tcBorders>
              <w:top w:val="nil"/>
              <w:left w:val="nil"/>
              <w:bottom w:val="nil"/>
              <w:right w:val="nil"/>
            </w:tcBorders>
            <w:shd w:val="clear" w:color="auto" w:fill="auto"/>
          </w:tcPr>
          <w:p w14:paraId="6AC98499" w14:textId="77777777" w:rsidR="007D527F" w:rsidRPr="00663B92" w:rsidRDefault="007D527F" w:rsidP="00663B92">
            <w:pPr>
              <w:jc w:val="both"/>
              <w:rPr>
                <w:rFonts w:ascii="Arial" w:hAnsi="Arial"/>
                <w:sz w:val="26"/>
                <w:szCs w:val="26"/>
                <w:rtl/>
              </w:rPr>
            </w:pPr>
          </w:p>
        </w:tc>
        <w:tc>
          <w:tcPr>
            <w:tcW w:w="4126" w:type="dxa"/>
            <w:tcBorders>
              <w:top w:val="nil"/>
              <w:left w:val="nil"/>
              <w:bottom w:val="nil"/>
              <w:right w:val="nil"/>
            </w:tcBorders>
            <w:shd w:val="clear" w:color="auto" w:fill="auto"/>
          </w:tcPr>
          <w:p w14:paraId="4FF0D38C" w14:textId="77777777" w:rsidR="007D527F" w:rsidRPr="00663B92" w:rsidRDefault="007D527F" w:rsidP="00663B92">
            <w:pPr>
              <w:jc w:val="both"/>
              <w:rPr>
                <w:sz w:val="26"/>
                <w:szCs w:val="26"/>
                <w:rtl/>
              </w:rPr>
            </w:pPr>
          </w:p>
        </w:tc>
        <w:tc>
          <w:tcPr>
            <w:tcW w:w="3771" w:type="dxa"/>
            <w:tcBorders>
              <w:top w:val="nil"/>
              <w:left w:val="nil"/>
              <w:bottom w:val="nil"/>
              <w:right w:val="nil"/>
            </w:tcBorders>
            <w:shd w:val="clear" w:color="auto" w:fill="auto"/>
          </w:tcPr>
          <w:p w14:paraId="64F08656" w14:textId="77777777" w:rsidR="007D527F" w:rsidRPr="00663B92" w:rsidRDefault="007D527F" w:rsidP="00663B92">
            <w:pPr>
              <w:jc w:val="right"/>
              <w:rPr>
                <w:rFonts w:ascii="Arial" w:hAnsi="Arial"/>
                <w:sz w:val="26"/>
                <w:szCs w:val="26"/>
                <w:rtl/>
              </w:rPr>
            </w:pPr>
          </w:p>
        </w:tc>
      </w:tr>
      <w:tr w:rsidR="007D527F" w:rsidRPr="00663B92" w14:paraId="1C9E72DD" w14:textId="77777777" w:rsidTr="00663B92">
        <w:trPr>
          <w:trHeight w:val="355"/>
          <w:jc w:val="center"/>
        </w:trPr>
        <w:tc>
          <w:tcPr>
            <w:tcW w:w="923" w:type="dxa"/>
            <w:tcBorders>
              <w:top w:val="nil"/>
              <w:left w:val="nil"/>
              <w:bottom w:val="nil"/>
              <w:right w:val="nil"/>
            </w:tcBorders>
            <w:shd w:val="clear" w:color="auto" w:fill="auto"/>
          </w:tcPr>
          <w:p w14:paraId="16948FE5" w14:textId="77777777" w:rsidR="007D527F" w:rsidRPr="00663B92" w:rsidRDefault="007D527F" w:rsidP="00663B92">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5C60FAF6" w14:textId="77777777" w:rsidR="007D527F" w:rsidRPr="00663B92" w:rsidRDefault="007D527F" w:rsidP="00663B92">
            <w:pPr>
              <w:jc w:val="center"/>
              <w:rPr>
                <w:rFonts w:ascii="Arial" w:hAnsi="Arial"/>
                <w:b/>
                <w:bCs/>
                <w:sz w:val="26"/>
                <w:szCs w:val="26"/>
                <w:rtl/>
              </w:rPr>
            </w:pPr>
          </w:p>
          <w:p w14:paraId="0F88A71B" w14:textId="77777777" w:rsidR="007D527F" w:rsidRPr="00663B92" w:rsidRDefault="007D527F" w:rsidP="00663B92">
            <w:pPr>
              <w:jc w:val="center"/>
              <w:rPr>
                <w:rFonts w:ascii="Arial" w:hAnsi="Arial"/>
                <w:b/>
                <w:bCs/>
                <w:sz w:val="26"/>
                <w:szCs w:val="26"/>
                <w:rtl/>
              </w:rPr>
            </w:pPr>
            <w:r w:rsidRPr="00663B92">
              <w:rPr>
                <w:rFonts w:ascii="Arial" w:hAnsi="Arial"/>
                <w:b/>
                <w:bCs/>
                <w:sz w:val="26"/>
                <w:szCs w:val="26"/>
                <w:rtl/>
              </w:rPr>
              <w:t>נגד</w:t>
            </w:r>
          </w:p>
          <w:p w14:paraId="087F7454" w14:textId="77777777" w:rsidR="007D527F" w:rsidRPr="00663B92" w:rsidRDefault="007D527F" w:rsidP="00663B92">
            <w:pPr>
              <w:jc w:val="both"/>
              <w:rPr>
                <w:rFonts w:ascii="Arial" w:hAnsi="Arial"/>
                <w:sz w:val="26"/>
                <w:szCs w:val="26"/>
              </w:rPr>
            </w:pPr>
          </w:p>
        </w:tc>
      </w:tr>
      <w:tr w:rsidR="007D527F" w:rsidRPr="00663B92" w14:paraId="57694E12" w14:textId="77777777" w:rsidTr="00663B92">
        <w:trPr>
          <w:trHeight w:val="355"/>
          <w:jc w:val="center"/>
        </w:trPr>
        <w:tc>
          <w:tcPr>
            <w:tcW w:w="923" w:type="dxa"/>
            <w:tcBorders>
              <w:top w:val="nil"/>
              <w:left w:val="nil"/>
              <w:bottom w:val="nil"/>
              <w:right w:val="nil"/>
            </w:tcBorders>
            <w:shd w:val="clear" w:color="auto" w:fill="auto"/>
          </w:tcPr>
          <w:p w14:paraId="05A9528B" w14:textId="77777777" w:rsidR="007D527F" w:rsidRPr="00663B92" w:rsidRDefault="007D527F" w:rsidP="00663B92">
            <w:pPr>
              <w:jc w:val="both"/>
              <w:rPr>
                <w:rFonts w:ascii="Arial" w:hAnsi="Arial"/>
                <w:sz w:val="26"/>
                <w:szCs w:val="26"/>
                <w:rtl/>
              </w:rPr>
            </w:pPr>
          </w:p>
        </w:tc>
        <w:tc>
          <w:tcPr>
            <w:tcW w:w="4126" w:type="dxa"/>
            <w:tcBorders>
              <w:top w:val="nil"/>
              <w:left w:val="nil"/>
              <w:bottom w:val="nil"/>
              <w:right w:val="nil"/>
            </w:tcBorders>
            <w:shd w:val="clear" w:color="auto" w:fill="auto"/>
          </w:tcPr>
          <w:p w14:paraId="4BD05232" w14:textId="77777777" w:rsidR="007D527F" w:rsidRPr="00663B92" w:rsidRDefault="007D527F" w:rsidP="00663B92">
            <w:pPr>
              <w:jc w:val="both"/>
              <w:rPr>
                <w:sz w:val="26"/>
                <w:szCs w:val="26"/>
                <w:rtl/>
              </w:rPr>
            </w:pPr>
            <w:r w:rsidRPr="00663B92">
              <w:rPr>
                <w:rFonts w:ascii="Arial" w:hAnsi="Arial" w:hint="cs"/>
                <w:sz w:val="26"/>
                <w:szCs w:val="26"/>
                <w:rtl/>
              </w:rPr>
              <w:t>ה</w:t>
            </w:r>
            <w:r w:rsidRPr="00663B92">
              <w:rPr>
                <w:rFonts w:hint="cs"/>
                <w:rtl/>
              </w:rPr>
              <w:t>נאשם</w:t>
            </w:r>
          </w:p>
        </w:tc>
        <w:tc>
          <w:tcPr>
            <w:tcW w:w="3771" w:type="dxa"/>
            <w:tcBorders>
              <w:top w:val="nil"/>
              <w:left w:val="nil"/>
              <w:bottom w:val="nil"/>
              <w:right w:val="nil"/>
            </w:tcBorders>
            <w:shd w:val="clear" w:color="auto" w:fill="auto"/>
          </w:tcPr>
          <w:p w14:paraId="11EE2EBE" w14:textId="77777777" w:rsidR="007D527F" w:rsidRPr="00663B92" w:rsidRDefault="007D527F" w:rsidP="00663B92">
            <w:pPr>
              <w:jc w:val="both"/>
            </w:pPr>
            <w:r w:rsidRPr="00663B92">
              <w:rPr>
                <w:rFonts w:hint="cs"/>
                <w:rtl/>
              </w:rPr>
              <w:t>אלירן ססי</w:t>
            </w:r>
          </w:p>
          <w:p w14:paraId="7983FC0C" w14:textId="77777777" w:rsidR="007D527F" w:rsidRPr="00663B92" w:rsidRDefault="007D527F" w:rsidP="00663B92">
            <w:pPr>
              <w:jc w:val="right"/>
              <w:rPr>
                <w:rFonts w:ascii="Arial" w:hAnsi="Arial"/>
                <w:sz w:val="26"/>
                <w:szCs w:val="26"/>
              </w:rPr>
            </w:pPr>
          </w:p>
        </w:tc>
      </w:tr>
      <w:tr w:rsidR="007D527F" w:rsidRPr="00663B92" w14:paraId="340DC691" w14:textId="77777777" w:rsidTr="00663B92">
        <w:trPr>
          <w:trHeight w:val="355"/>
          <w:jc w:val="center"/>
        </w:trPr>
        <w:tc>
          <w:tcPr>
            <w:tcW w:w="923" w:type="dxa"/>
            <w:tcBorders>
              <w:top w:val="nil"/>
              <w:left w:val="nil"/>
              <w:bottom w:val="nil"/>
              <w:right w:val="nil"/>
            </w:tcBorders>
            <w:shd w:val="clear" w:color="auto" w:fill="auto"/>
          </w:tcPr>
          <w:p w14:paraId="7DE4F029" w14:textId="77777777" w:rsidR="007D527F" w:rsidRPr="00663B92" w:rsidRDefault="007D527F" w:rsidP="00663B92">
            <w:pPr>
              <w:jc w:val="both"/>
              <w:rPr>
                <w:rFonts w:ascii="Arial" w:hAnsi="Arial"/>
                <w:sz w:val="26"/>
                <w:szCs w:val="26"/>
                <w:rtl/>
              </w:rPr>
            </w:pPr>
            <w:bookmarkStart w:id="2" w:name="FirstLawyer"/>
            <w:r w:rsidRPr="00663B92">
              <w:rPr>
                <w:rFonts w:ascii="Arial" w:hAnsi="Arial" w:hint="cs"/>
                <w:sz w:val="26"/>
                <w:szCs w:val="26"/>
                <w:rtl/>
              </w:rPr>
              <w:t>נוכחים:</w:t>
            </w:r>
          </w:p>
        </w:tc>
        <w:tc>
          <w:tcPr>
            <w:tcW w:w="4126" w:type="dxa"/>
            <w:tcBorders>
              <w:top w:val="nil"/>
              <w:left w:val="nil"/>
              <w:bottom w:val="nil"/>
              <w:right w:val="nil"/>
            </w:tcBorders>
            <w:shd w:val="clear" w:color="auto" w:fill="auto"/>
          </w:tcPr>
          <w:p w14:paraId="52DE5D1D" w14:textId="77777777" w:rsidR="007D527F" w:rsidRPr="00663B92" w:rsidRDefault="007D527F" w:rsidP="00663B92">
            <w:pPr>
              <w:jc w:val="both"/>
              <w:rPr>
                <w:sz w:val="26"/>
                <w:szCs w:val="26"/>
                <w:rtl/>
              </w:rPr>
            </w:pPr>
            <w:r w:rsidRPr="00663B92">
              <w:rPr>
                <w:rFonts w:hint="cs"/>
                <w:sz w:val="26"/>
                <w:szCs w:val="26"/>
                <w:rtl/>
              </w:rPr>
              <w:t>ב"כ המאשימה עו"ד מוטי חבה</w:t>
            </w:r>
          </w:p>
          <w:p w14:paraId="37A70411" w14:textId="77777777" w:rsidR="007D527F" w:rsidRPr="00663B92" w:rsidRDefault="007D527F" w:rsidP="00663B92">
            <w:pPr>
              <w:jc w:val="both"/>
              <w:rPr>
                <w:sz w:val="26"/>
                <w:szCs w:val="26"/>
                <w:rtl/>
              </w:rPr>
            </w:pPr>
            <w:r w:rsidRPr="00663B92">
              <w:rPr>
                <w:rFonts w:hint="cs"/>
                <w:sz w:val="26"/>
                <w:szCs w:val="26"/>
                <w:rtl/>
              </w:rPr>
              <w:t xml:space="preserve">הנאשם בעצמו וב"כ עו"ד אלי כהן </w:t>
            </w:r>
          </w:p>
        </w:tc>
        <w:tc>
          <w:tcPr>
            <w:tcW w:w="3771" w:type="dxa"/>
            <w:tcBorders>
              <w:top w:val="nil"/>
              <w:left w:val="nil"/>
              <w:bottom w:val="nil"/>
              <w:right w:val="nil"/>
            </w:tcBorders>
            <w:shd w:val="clear" w:color="auto" w:fill="auto"/>
          </w:tcPr>
          <w:p w14:paraId="1D53D48C" w14:textId="77777777" w:rsidR="007D527F" w:rsidRPr="00663B92" w:rsidRDefault="007D527F" w:rsidP="00663B92">
            <w:pPr>
              <w:jc w:val="right"/>
              <w:rPr>
                <w:rFonts w:ascii="Arial" w:hAnsi="Arial"/>
                <w:sz w:val="26"/>
                <w:szCs w:val="26"/>
              </w:rPr>
            </w:pPr>
          </w:p>
        </w:tc>
      </w:tr>
      <w:tr w:rsidR="007D527F" w14:paraId="6BC3D1A3" w14:textId="77777777" w:rsidTr="00663B92">
        <w:trPr>
          <w:trHeight w:val="355"/>
          <w:jc w:val="center"/>
        </w:trPr>
        <w:tc>
          <w:tcPr>
            <w:tcW w:w="8820" w:type="dxa"/>
            <w:gridSpan w:val="3"/>
            <w:tcBorders>
              <w:top w:val="nil"/>
              <w:left w:val="nil"/>
              <w:bottom w:val="nil"/>
              <w:right w:val="nil"/>
            </w:tcBorders>
            <w:shd w:val="clear" w:color="auto" w:fill="auto"/>
          </w:tcPr>
          <w:p w14:paraId="0F877C00" w14:textId="77777777" w:rsidR="00603CDD" w:rsidRPr="00603CDD" w:rsidRDefault="00603CDD" w:rsidP="00603CDD">
            <w:pPr>
              <w:spacing w:after="120" w:line="240" w:lineRule="exact"/>
              <w:ind w:left="283" w:hanging="283"/>
              <w:jc w:val="both"/>
              <w:rPr>
                <w:rFonts w:ascii="FrankRuehl" w:hAnsi="FrankRuehl" w:cs="FrankRuehl"/>
                <w:rtl/>
              </w:rPr>
            </w:pPr>
            <w:bookmarkStart w:id="3" w:name="PsakDin" w:colFirst="0" w:colLast="0"/>
            <w:bookmarkStart w:id="4" w:name="LawTable"/>
            <w:bookmarkEnd w:id="0"/>
            <w:bookmarkEnd w:id="2"/>
            <w:bookmarkEnd w:id="4"/>
          </w:p>
          <w:p w14:paraId="5BACBEE0" w14:textId="77777777" w:rsidR="00603CDD" w:rsidRPr="00603CDD" w:rsidRDefault="00603CDD" w:rsidP="00603CDD">
            <w:pPr>
              <w:spacing w:after="120" w:line="240" w:lineRule="exact"/>
              <w:ind w:left="283" w:hanging="283"/>
              <w:jc w:val="both"/>
              <w:rPr>
                <w:rFonts w:ascii="FrankRuehl" w:hAnsi="FrankRuehl" w:cs="FrankRuehl"/>
                <w:rtl/>
              </w:rPr>
            </w:pPr>
            <w:r w:rsidRPr="00603CDD">
              <w:rPr>
                <w:rFonts w:ascii="FrankRuehl" w:hAnsi="FrankRuehl" w:cs="FrankRuehl"/>
                <w:rtl/>
              </w:rPr>
              <w:t xml:space="preserve">חקיקה שאוזכרה: </w:t>
            </w:r>
          </w:p>
          <w:p w14:paraId="0D237E08" w14:textId="77777777" w:rsidR="00603CDD" w:rsidRPr="00603CDD" w:rsidRDefault="00603CDD" w:rsidP="00603CDD">
            <w:pPr>
              <w:spacing w:after="120" w:line="240" w:lineRule="exact"/>
              <w:ind w:left="283" w:hanging="283"/>
              <w:jc w:val="both"/>
              <w:rPr>
                <w:rFonts w:ascii="FrankRuehl" w:hAnsi="FrankRuehl" w:cs="FrankRuehl"/>
                <w:rtl/>
              </w:rPr>
            </w:pPr>
            <w:hyperlink r:id="rId7" w:history="1">
              <w:r w:rsidRPr="00603CDD">
                <w:rPr>
                  <w:rFonts w:ascii="FrankRuehl" w:hAnsi="FrankRuehl" w:cs="FrankRuehl"/>
                  <w:color w:val="0000FF"/>
                  <w:u w:val="single"/>
                  <w:rtl/>
                </w:rPr>
                <w:t>פקודת הסמים המסוכנים [נוסח חדש], תשל"ג-1973</w:t>
              </w:r>
            </w:hyperlink>
          </w:p>
          <w:p w14:paraId="25A6A68A" w14:textId="77777777" w:rsidR="00603CDD" w:rsidRPr="00603CDD" w:rsidRDefault="00603CDD" w:rsidP="00603CDD">
            <w:pPr>
              <w:spacing w:after="120" w:line="240" w:lineRule="exact"/>
              <w:ind w:left="283" w:hanging="283"/>
              <w:jc w:val="both"/>
              <w:rPr>
                <w:rFonts w:ascii="FrankRuehl" w:hAnsi="FrankRuehl" w:cs="FrankRuehl"/>
                <w:rtl/>
              </w:rPr>
            </w:pPr>
            <w:hyperlink r:id="rId8" w:history="1">
              <w:r w:rsidRPr="00603CDD">
                <w:rPr>
                  <w:rFonts w:ascii="FrankRuehl" w:hAnsi="FrankRuehl" w:cs="FrankRuehl"/>
                  <w:color w:val="0000FF"/>
                  <w:u w:val="single"/>
                  <w:rtl/>
                </w:rPr>
                <w:t>חוק העונשין, תשל"ז-1977</w:t>
              </w:r>
            </w:hyperlink>
            <w:r w:rsidRPr="00603CDD">
              <w:rPr>
                <w:rFonts w:ascii="FrankRuehl" w:hAnsi="FrankRuehl" w:cs="FrankRuehl"/>
                <w:rtl/>
              </w:rPr>
              <w:t xml:space="preserve">: סע'  </w:t>
            </w:r>
            <w:hyperlink r:id="rId9" w:history="1">
              <w:r w:rsidRPr="00603CDD">
                <w:rPr>
                  <w:rFonts w:ascii="FrankRuehl" w:hAnsi="FrankRuehl" w:cs="FrankRuehl"/>
                  <w:color w:val="0000FF"/>
                  <w:u w:val="single"/>
                  <w:rtl/>
                </w:rPr>
                <w:t>85</w:t>
              </w:r>
            </w:hyperlink>
            <w:r w:rsidRPr="00603CDD">
              <w:rPr>
                <w:rFonts w:ascii="FrankRuehl" w:hAnsi="FrankRuehl" w:cs="FrankRuehl"/>
                <w:rtl/>
              </w:rPr>
              <w:t xml:space="preserve">, </w:t>
            </w:r>
            <w:hyperlink r:id="rId10" w:history="1">
              <w:r w:rsidRPr="00603CDD">
                <w:rPr>
                  <w:rFonts w:ascii="FrankRuehl" w:hAnsi="FrankRuehl" w:cs="FrankRuehl"/>
                  <w:color w:val="0000FF"/>
                  <w:u w:val="single"/>
                  <w:rtl/>
                </w:rPr>
                <w:t>85(ד)</w:t>
              </w:r>
            </w:hyperlink>
          </w:p>
          <w:p w14:paraId="054FC75D" w14:textId="77777777" w:rsidR="00603CDD" w:rsidRPr="00603CDD" w:rsidRDefault="00603CDD" w:rsidP="00603CDD">
            <w:pPr>
              <w:spacing w:after="120" w:line="240" w:lineRule="exact"/>
              <w:ind w:left="283" w:hanging="283"/>
              <w:jc w:val="both"/>
              <w:rPr>
                <w:rFonts w:ascii="FrankRuehl" w:hAnsi="FrankRuehl" w:cs="FrankRuehl"/>
                <w:rtl/>
              </w:rPr>
            </w:pPr>
            <w:hyperlink r:id="rId11" w:history="1">
              <w:r w:rsidRPr="00603CDD">
                <w:rPr>
                  <w:rFonts w:ascii="FrankRuehl" w:hAnsi="FrankRuehl" w:cs="FrankRuehl"/>
                  <w:color w:val="0000FF"/>
                  <w:u w:val="single"/>
                  <w:rtl/>
                </w:rPr>
                <w:t>חוק הפיקוח על מוסדות לטיפול במשתמשים בסמים, תשנ"ג-1993</w:t>
              </w:r>
            </w:hyperlink>
            <w:r w:rsidRPr="00603CDD">
              <w:rPr>
                <w:rFonts w:ascii="FrankRuehl" w:hAnsi="FrankRuehl" w:cs="FrankRuehl"/>
                <w:rtl/>
              </w:rPr>
              <w:t xml:space="preserve">: סע'  </w:t>
            </w:r>
            <w:hyperlink r:id="rId12" w:history="1">
              <w:r w:rsidRPr="00603CDD">
                <w:rPr>
                  <w:rFonts w:ascii="FrankRuehl" w:hAnsi="FrankRuehl" w:cs="FrankRuehl"/>
                  <w:color w:val="0000FF"/>
                  <w:u w:val="single"/>
                  <w:rtl/>
                </w:rPr>
                <w:t>1</w:t>
              </w:r>
            </w:hyperlink>
          </w:p>
          <w:p w14:paraId="609FFC59" w14:textId="77777777" w:rsidR="00603CDD" w:rsidRPr="00603CDD" w:rsidRDefault="00603CDD" w:rsidP="00603CDD">
            <w:pPr>
              <w:spacing w:after="120" w:line="240" w:lineRule="exact"/>
              <w:ind w:left="283" w:hanging="283"/>
              <w:jc w:val="both"/>
              <w:rPr>
                <w:rFonts w:ascii="FrankRuehl" w:hAnsi="FrankRuehl" w:cs="FrankRuehl"/>
                <w:rtl/>
              </w:rPr>
            </w:pPr>
            <w:hyperlink r:id="rId13" w:history="1">
              <w:r w:rsidRPr="00603CDD">
                <w:rPr>
                  <w:rFonts w:ascii="FrankRuehl" w:hAnsi="FrankRuehl" w:cs="FrankRuehl"/>
                  <w:color w:val="0000FF"/>
                  <w:u w:val="single"/>
                  <w:rtl/>
                </w:rPr>
                <w:t>פקודת התעבורה [נוסח חדש]</w:t>
              </w:r>
            </w:hyperlink>
            <w:r w:rsidRPr="00603CDD">
              <w:rPr>
                <w:rFonts w:ascii="FrankRuehl" w:hAnsi="FrankRuehl" w:cs="FrankRuehl"/>
                <w:rtl/>
              </w:rPr>
              <w:t xml:space="preserve">: סע'  </w:t>
            </w:r>
            <w:hyperlink r:id="rId14" w:history="1">
              <w:r w:rsidRPr="00603CDD">
                <w:rPr>
                  <w:rFonts w:ascii="FrankRuehl" w:hAnsi="FrankRuehl" w:cs="FrankRuehl"/>
                  <w:color w:val="0000FF"/>
                  <w:u w:val="single"/>
                  <w:rtl/>
                </w:rPr>
                <w:t>36(ו)</w:t>
              </w:r>
            </w:hyperlink>
          </w:p>
          <w:p w14:paraId="74A0B9B2" w14:textId="77777777" w:rsidR="00603CDD" w:rsidRPr="00603CDD" w:rsidRDefault="00603CDD" w:rsidP="00603CDD">
            <w:pPr>
              <w:spacing w:after="120" w:line="240" w:lineRule="exact"/>
              <w:ind w:left="283" w:hanging="283"/>
              <w:jc w:val="both"/>
              <w:rPr>
                <w:rFonts w:ascii="FrankRuehl" w:hAnsi="FrankRuehl" w:cs="FrankRuehl"/>
                <w:rtl/>
              </w:rPr>
            </w:pPr>
          </w:p>
          <w:p w14:paraId="5500D9EC" w14:textId="77777777" w:rsidR="00663B92" w:rsidRPr="00663B92" w:rsidRDefault="00663B92" w:rsidP="00663B92">
            <w:pPr>
              <w:jc w:val="center"/>
              <w:rPr>
                <w:rFonts w:ascii="Arial" w:hAnsi="Arial"/>
                <w:b/>
                <w:bCs/>
                <w:sz w:val="32"/>
                <w:szCs w:val="32"/>
                <w:u w:val="single"/>
                <w:rtl/>
              </w:rPr>
            </w:pPr>
            <w:bookmarkStart w:id="5" w:name="LawTable_End"/>
            <w:bookmarkEnd w:id="5"/>
            <w:r w:rsidRPr="00663B92">
              <w:rPr>
                <w:rFonts w:ascii="Arial" w:hAnsi="Arial"/>
                <w:b/>
                <w:bCs/>
                <w:sz w:val="32"/>
                <w:szCs w:val="32"/>
                <w:u w:val="single"/>
                <w:rtl/>
              </w:rPr>
              <w:t>גזר דין</w:t>
            </w:r>
          </w:p>
          <w:p w14:paraId="1CB5211B" w14:textId="77777777" w:rsidR="007D527F" w:rsidRPr="00663B92" w:rsidRDefault="007D527F" w:rsidP="00663B92">
            <w:pPr>
              <w:jc w:val="center"/>
              <w:rPr>
                <w:rFonts w:ascii="Arial" w:hAnsi="Arial"/>
                <w:bCs/>
                <w:sz w:val="32"/>
                <w:szCs w:val="32"/>
                <w:u w:val="single"/>
                <w:rtl/>
              </w:rPr>
            </w:pPr>
          </w:p>
        </w:tc>
      </w:tr>
      <w:bookmarkEnd w:id="3"/>
    </w:tbl>
    <w:p w14:paraId="524E4955" w14:textId="77777777" w:rsidR="007D527F" w:rsidRPr="00D16BE6" w:rsidRDefault="007D527F" w:rsidP="007D527F">
      <w:pPr>
        <w:rPr>
          <w:rFonts w:ascii="Arial" w:hAnsi="Arial"/>
          <w:sz w:val="26"/>
          <w:szCs w:val="26"/>
          <w:rtl/>
        </w:rPr>
      </w:pPr>
    </w:p>
    <w:p w14:paraId="20602A1B" w14:textId="77777777" w:rsidR="007D527F" w:rsidRDefault="007D527F" w:rsidP="007D527F">
      <w:pPr>
        <w:pStyle w:val="ListParagraph"/>
        <w:numPr>
          <w:ilvl w:val="0"/>
          <w:numId w:val="1"/>
        </w:numPr>
        <w:spacing w:line="360" w:lineRule="auto"/>
        <w:ind w:left="0" w:firstLine="0"/>
        <w:jc w:val="both"/>
        <w:rPr>
          <w:rFonts w:ascii="Arial" w:hAnsi="Arial"/>
        </w:rPr>
      </w:pPr>
      <w:bookmarkStart w:id="6" w:name="ABSTRACT_START"/>
      <w:bookmarkEnd w:id="6"/>
      <w:r>
        <w:rPr>
          <w:rFonts w:ascii="Arial" w:hAnsi="Arial" w:hint="cs"/>
          <w:rtl/>
        </w:rPr>
        <w:t xml:space="preserve">הנאשם, יליד 1983, הורשע על יסוד הודאתו בעובדות כתב אישום מתוקן, במסגרת הסדר דיוני שלא כלל הסכמה לעניין העונש, בביצוע עבירות של </w:t>
      </w:r>
      <w:r w:rsidRPr="00A45B0D">
        <w:rPr>
          <w:rFonts w:ascii="Arial" w:hAnsi="Arial" w:hint="cs"/>
          <w:b/>
          <w:bCs/>
          <w:rtl/>
        </w:rPr>
        <w:t>גידול סם</w:t>
      </w:r>
      <w:r>
        <w:rPr>
          <w:rFonts w:ascii="Arial" w:hAnsi="Arial" w:hint="cs"/>
          <w:rtl/>
        </w:rPr>
        <w:t xml:space="preserve"> ו</w:t>
      </w:r>
      <w:r w:rsidRPr="00A45B0D">
        <w:rPr>
          <w:rFonts w:ascii="Arial" w:hAnsi="Arial" w:hint="cs"/>
          <w:b/>
          <w:bCs/>
          <w:rtl/>
        </w:rPr>
        <w:t>החזקת סם לצריכה עצמית בלבד</w:t>
      </w:r>
      <w:r>
        <w:rPr>
          <w:rFonts w:ascii="Arial" w:hAnsi="Arial" w:hint="cs"/>
          <w:rtl/>
        </w:rPr>
        <w:t xml:space="preserve">. </w:t>
      </w:r>
    </w:p>
    <w:p w14:paraId="243C1AB0" w14:textId="77777777" w:rsidR="007D527F" w:rsidRPr="00A45B0D" w:rsidRDefault="007D527F" w:rsidP="007D527F">
      <w:pPr>
        <w:pStyle w:val="ListParagraph"/>
        <w:spacing w:line="360" w:lineRule="auto"/>
        <w:ind w:left="0"/>
        <w:jc w:val="both"/>
        <w:rPr>
          <w:rFonts w:ascii="Arial" w:hAnsi="Arial"/>
        </w:rPr>
      </w:pPr>
      <w:bookmarkStart w:id="7" w:name="ABSTRACT_END"/>
      <w:bookmarkEnd w:id="7"/>
    </w:p>
    <w:p w14:paraId="30D8935A" w14:textId="77777777" w:rsidR="007D527F" w:rsidRDefault="007D527F" w:rsidP="007D527F">
      <w:pPr>
        <w:pStyle w:val="ListParagraph"/>
        <w:spacing w:line="360" w:lineRule="auto"/>
        <w:ind w:left="0" w:firstLine="720"/>
        <w:jc w:val="both"/>
        <w:rPr>
          <w:rFonts w:ascii="Arial" w:hAnsi="Arial"/>
          <w:rtl/>
        </w:rPr>
      </w:pPr>
      <w:r>
        <w:rPr>
          <w:rFonts w:ascii="Arial" w:hAnsi="Arial" w:hint="cs"/>
          <w:rtl/>
        </w:rPr>
        <w:t>לפי עובדות כתב האישום המתוקן, ביום 21.9.2015 גידל הנאשם בחלקו האחורי של מבנה נטוש בהוד השרון סם מסוכן מסוג קנבוס במשקל של 650 גרם נטו. באותן נסיבות החזיק הנאשם בביתו בהוד השרון חשיש במשקל 0.51 גרם לצריכתו העצמית.</w:t>
      </w:r>
    </w:p>
    <w:p w14:paraId="7F99AD1F" w14:textId="77777777" w:rsidR="007D527F" w:rsidRDefault="007D527F" w:rsidP="007D527F">
      <w:pPr>
        <w:pStyle w:val="ListParagraph"/>
        <w:spacing w:line="360" w:lineRule="auto"/>
        <w:ind w:left="0" w:firstLine="720"/>
        <w:jc w:val="both"/>
        <w:rPr>
          <w:rFonts w:ascii="Arial" w:hAnsi="Arial"/>
          <w:rtl/>
        </w:rPr>
      </w:pPr>
    </w:p>
    <w:p w14:paraId="45937EC4" w14:textId="77777777" w:rsidR="007D527F" w:rsidRDefault="007D527F" w:rsidP="007D527F">
      <w:pPr>
        <w:pStyle w:val="ListParagraph"/>
        <w:numPr>
          <w:ilvl w:val="0"/>
          <w:numId w:val="1"/>
        </w:numPr>
        <w:spacing w:line="360" w:lineRule="auto"/>
        <w:ind w:left="0" w:firstLine="0"/>
        <w:jc w:val="both"/>
        <w:rPr>
          <w:rFonts w:ascii="Arial" w:hAnsi="Arial"/>
        </w:rPr>
      </w:pPr>
      <w:r>
        <w:rPr>
          <w:rFonts w:ascii="Arial" w:hAnsi="Arial" w:hint="cs"/>
          <w:rtl/>
        </w:rPr>
        <w:t xml:space="preserve">לחובת הנאשם ארבע הרשעות קודמות. בשנת 2011 הורשע הנאשם לראשונה בעבירה של החזקת סם לצריכה עצמית בלבד, ונדון, בין היתר, למאסר על-תנאי בן 6 חודשים למשך שלוש שנים </w:t>
      </w:r>
      <w:r>
        <w:rPr>
          <w:rFonts w:ascii="Arial" w:hAnsi="Arial" w:hint="cs"/>
          <w:rtl/>
        </w:rPr>
        <w:lastRenderedPageBreak/>
        <w:t xml:space="preserve">שלא יעבור עבירה לפי </w:t>
      </w:r>
      <w:hyperlink r:id="rId15" w:history="1">
        <w:r w:rsidR="00663B92" w:rsidRPr="00663B92">
          <w:rPr>
            <w:rStyle w:val="Hyperlink"/>
            <w:rFonts w:ascii="Arial" w:hAnsi="Arial" w:hint="eastAsia"/>
            <w:rtl/>
          </w:rPr>
          <w:t>פקודת</w:t>
        </w:r>
        <w:r w:rsidR="00663B92" w:rsidRPr="00663B92">
          <w:rPr>
            <w:rStyle w:val="Hyperlink"/>
            <w:rFonts w:ascii="Arial" w:hAnsi="Arial"/>
            <w:rtl/>
          </w:rPr>
          <w:t xml:space="preserve"> הסמים המסוכנים</w:t>
        </w:r>
      </w:hyperlink>
      <w:r>
        <w:rPr>
          <w:rFonts w:ascii="Arial" w:hAnsi="Arial" w:hint="cs"/>
          <w:rtl/>
        </w:rPr>
        <w:t xml:space="preserve">. בשנת 2014 הורשע הנאשם פעם נוספת בעבירה של החזקת סם לצריכה עצמית בלבד, ובין היתר האריך בית המשפט את המאסר על-תנאי האמור למשך שנתיים. </w:t>
      </w:r>
      <w:r w:rsidRPr="00256B24">
        <w:rPr>
          <w:rFonts w:ascii="Arial" w:hAnsi="Arial" w:hint="cs"/>
          <w:u w:val="single"/>
          <w:rtl/>
        </w:rPr>
        <w:t xml:space="preserve">לפיכך לחובתו של הנאשם מאסר על-תנאי </w:t>
      </w:r>
      <w:r>
        <w:rPr>
          <w:rFonts w:ascii="Arial" w:hAnsi="Arial" w:hint="cs"/>
          <w:u w:val="single"/>
          <w:rtl/>
        </w:rPr>
        <w:t>חב</w:t>
      </w:r>
      <w:r w:rsidRPr="00256B24">
        <w:rPr>
          <w:rFonts w:ascii="Arial" w:hAnsi="Arial" w:hint="cs"/>
          <w:u w:val="single"/>
          <w:rtl/>
        </w:rPr>
        <w:t xml:space="preserve"> הפעלה בן 6 חודשים</w:t>
      </w:r>
      <w:r>
        <w:rPr>
          <w:rFonts w:ascii="Arial" w:hAnsi="Arial" w:hint="cs"/>
          <w:rtl/>
        </w:rPr>
        <w:t>.</w:t>
      </w:r>
    </w:p>
    <w:p w14:paraId="4672EC76" w14:textId="77777777" w:rsidR="007D527F" w:rsidRDefault="007D527F" w:rsidP="007D527F">
      <w:pPr>
        <w:pStyle w:val="ListParagraph"/>
        <w:spacing w:line="360" w:lineRule="auto"/>
        <w:ind w:left="0"/>
        <w:jc w:val="both"/>
        <w:rPr>
          <w:rFonts w:ascii="Arial" w:hAnsi="Arial"/>
        </w:rPr>
      </w:pPr>
    </w:p>
    <w:p w14:paraId="41E63ABE" w14:textId="77777777" w:rsidR="007D527F" w:rsidRDefault="007D527F" w:rsidP="007D527F">
      <w:pPr>
        <w:pStyle w:val="ListParagraph"/>
        <w:numPr>
          <w:ilvl w:val="0"/>
          <w:numId w:val="1"/>
        </w:numPr>
        <w:spacing w:line="360" w:lineRule="auto"/>
        <w:ind w:left="0" w:firstLine="0"/>
        <w:jc w:val="both"/>
        <w:rPr>
          <w:rFonts w:ascii="Arial" w:hAnsi="Arial"/>
        </w:rPr>
      </w:pPr>
      <w:r>
        <w:rPr>
          <w:rFonts w:ascii="Arial" w:hAnsi="Arial" w:hint="cs"/>
          <w:rtl/>
        </w:rPr>
        <w:t>הוגשו בעניינו של הנאשם שני תסקירים מהם עולה התמונה הבאה:</w:t>
      </w:r>
    </w:p>
    <w:p w14:paraId="386856A0" w14:textId="77777777" w:rsidR="007D527F" w:rsidRDefault="007D527F" w:rsidP="007D527F">
      <w:pPr>
        <w:pStyle w:val="ListParagraph"/>
        <w:spacing w:line="360" w:lineRule="auto"/>
        <w:ind w:left="0"/>
        <w:jc w:val="both"/>
        <w:rPr>
          <w:rFonts w:ascii="Arial" w:hAnsi="Arial"/>
          <w:rtl/>
        </w:rPr>
      </w:pPr>
    </w:p>
    <w:p w14:paraId="15D01C88" w14:textId="77777777" w:rsidR="007D527F" w:rsidRDefault="007D527F" w:rsidP="007D527F">
      <w:pPr>
        <w:pStyle w:val="ListParagraph"/>
        <w:spacing w:line="360" w:lineRule="auto"/>
        <w:ind w:left="0" w:firstLine="720"/>
        <w:jc w:val="both"/>
        <w:rPr>
          <w:rFonts w:ascii="Arial" w:hAnsi="Arial"/>
        </w:rPr>
      </w:pPr>
      <w:r>
        <w:rPr>
          <w:rFonts w:ascii="Arial" w:hAnsi="Arial" w:hint="cs"/>
          <w:rtl/>
        </w:rPr>
        <w:t xml:space="preserve">הנאשם, רווק המתגורר עם בת זוג, מצוי בתנאים מגבילים זה למעלה משנה. הנאשם סיים 12 שנות לימוד, ומהצבא שוחרר לאחר 11 חודשים בלבד על רקע רפואי. הנאשם עובד בעסק עצמאי של אחזקת מבנים. </w:t>
      </w:r>
    </w:p>
    <w:p w14:paraId="6BE3502A" w14:textId="77777777" w:rsidR="007D527F" w:rsidRDefault="007D527F" w:rsidP="007D527F">
      <w:pPr>
        <w:pStyle w:val="ListParagraph"/>
        <w:spacing w:line="360" w:lineRule="auto"/>
        <w:ind w:left="0"/>
        <w:jc w:val="both"/>
        <w:rPr>
          <w:rFonts w:ascii="Arial" w:hAnsi="Arial"/>
          <w:rtl/>
        </w:rPr>
      </w:pPr>
    </w:p>
    <w:p w14:paraId="0A875565" w14:textId="77777777" w:rsidR="007D527F" w:rsidRPr="00967CD1" w:rsidRDefault="007D527F" w:rsidP="007D527F">
      <w:pPr>
        <w:pStyle w:val="ListParagraph"/>
        <w:spacing w:line="360" w:lineRule="auto"/>
        <w:ind w:left="0" w:firstLine="720"/>
        <w:jc w:val="both"/>
        <w:rPr>
          <w:rFonts w:ascii="Arial" w:hAnsi="Arial"/>
          <w:rtl/>
        </w:rPr>
      </w:pPr>
      <w:r>
        <w:rPr>
          <w:rFonts w:ascii="Arial" w:hAnsi="Arial" w:hint="cs"/>
          <w:rtl/>
        </w:rPr>
        <w:t xml:space="preserve">הנאשם סובל מהתמכרות לסמים ונעשה ניסיון להפנותו לטיפול במסגרת היחידה לטיפול בנפגעי סמים, שלא צלח משום שלא נמצאה מסגרת פנויה מתאימה במקום מגוריו ואף בעיר אחרת. לפיכך פנה הנאשם למסגרת טיפולית פרטית "התחלה חדשה", בה השתלב החל מחודש פברואר 2016 והוא מוסר שם בדיקות שתן שבועיות נקיות משרידי סם. הפרוגנוזה הטיפולית הוערכה כחיובית, חרף הקשיים בהם נתקל הנאשם. הנאשם נתבקש למסור בדיקת שתן בשירות המבחן ובה נמצאו שרידי קנבוס. הנאשם הסביר זאת בכך שנמצא בקרבת אנשים שצרכו סם וביקש למסור בדיקה נוספת. </w:t>
      </w:r>
      <w:r>
        <w:rPr>
          <w:rFonts w:ascii="Arial" w:hAnsi="Arial" w:hint="cs"/>
          <w:u w:val="single"/>
          <w:rtl/>
        </w:rPr>
        <w:t>במהלך תקופת הדחיה מסר הנאשם בדיקות שתן נקיות בשירות המבחן</w:t>
      </w:r>
      <w:r>
        <w:rPr>
          <w:rFonts w:ascii="Arial" w:hAnsi="Arial" w:hint="cs"/>
          <w:rtl/>
        </w:rPr>
        <w:t>.</w:t>
      </w:r>
    </w:p>
    <w:p w14:paraId="04E3BA2B" w14:textId="77777777" w:rsidR="007D527F" w:rsidRDefault="007D527F" w:rsidP="007D527F">
      <w:pPr>
        <w:pStyle w:val="ListParagraph"/>
        <w:spacing w:line="360" w:lineRule="auto"/>
        <w:ind w:left="0" w:firstLine="720"/>
        <w:jc w:val="both"/>
        <w:rPr>
          <w:rFonts w:ascii="Arial" w:hAnsi="Arial"/>
          <w:rtl/>
        </w:rPr>
      </w:pPr>
    </w:p>
    <w:p w14:paraId="2F69B91F" w14:textId="77777777" w:rsidR="007D527F" w:rsidRDefault="007D527F" w:rsidP="007D527F">
      <w:pPr>
        <w:pStyle w:val="ListParagraph"/>
        <w:spacing w:line="360" w:lineRule="auto"/>
        <w:ind w:left="0" w:firstLine="720"/>
        <w:jc w:val="both"/>
        <w:rPr>
          <w:rFonts w:ascii="Arial" w:hAnsi="Arial"/>
          <w:rtl/>
        </w:rPr>
      </w:pPr>
      <w:r>
        <w:rPr>
          <w:rFonts w:ascii="Arial" w:hAnsi="Arial" w:hint="cs"/>
          <w:rtl/>
        </w:rPr>
        <w:t xml:space="preserve">במקביל שולב הנאשם במסגרת קבוצתית לעצורי בית במסגרת שירות המבחן. הוא מקפיד להגיע לכל הפגישות אך ההתרשמות היא שהתקשה לשתף בקשייו ובדפוסיו הבעייתיים המוכרים לשירות המבחן מאבחונים קודמים. </w:t>
      </w:r>
    </w:p>
    <w:p w14:paraId="05EFA844" w14:textId="77777777" w:rsidR="007D527F" w:rsidRDefault="007D527F" w:rsidP="007D527F">
      <w:pPr>
        <w:pStyle w:val="ListParagraph"/>
        <w:spacing w:line="360" w:lineRule="auto"/>
        <w:ind w:left="0" w:firstLine="720"/>
        <w:jc w:val="both"/>
        <w:rPr>
          <w:rFonts w:ascii="Arial" w:hAnsi="Arial"/>
          <w:rtl/>
        </w:rPr>
      </w:pPr>
    </w:p>
    <w:p w14:paraId="5616EF8D" w14:textId="77777777" w:rsidR="007D527F" w:rsidRDefault="007D527F" w:rsidP="007D527F">
      <w:pPr>
        <w:pStyle w:val="ListParagraph"/>
        <w:spacing w:line="360" w:lineRule="auto"/>
        <w:ind w:left="0" w:firstLine="720"/>
        <w:jc w:val="both"/>
        <w:rPr>
          <w:rFonts w:ascii="Arial" w:hAnsi="Arial"/>
          <w:rtl/>
        </w:rPr>
      </w:pPr>
      <w:r>
        <w:rPr>
          <w:rFonts w:ascii="Arial" w:hAnsi="Arial" w:hint="cs"/>
          <w:rtl/>
        </w:rPr>
        <w:t xml:space="preserve">הנאשם הודה בביצוע העבירות. לדבריו ביצע אותן על רקע התמכרותו לסמים וקשייו להיגמל. לדברי הנאשם בחר שלא לקיים מפגשים עם חברה שולית על מנת להשיג את הסם והחליט לגדלו בעצמו. הנאשם מכיר בפסול שבמעשיו ומבין את השלכותיהם. </w:t>
      </w:r>
    </w:p>
    <w:p w14:paraId="48F0CC90" w14:textId="77777777" w:rsidR="007D527F" w:rsidRDefault="007D527F" w:rsidP="007D527F">
      <w:pPr>
        <w:pStyle w:val="ListParagraph"/>
        <w:spacing w:line="360" w:lineRule="auto"/>
        <w:ind w:left="0" w:firstLine="720"/>
        <w:jc w:val="both"/>
        <w:rPr>
          <w:rFonts w:ascii="Arial" w:hAnsi="Arial"/>
          <w:rtl/>
        </w:rPr>
      </w:pPr>
    </w:p>
    <w:p w14:paraId="58E49012" w14:textId="77777777" w:rsidR="007D527F" w:rsidRDefault="007D527F" w:rsidP="007D527F">
      <w:pPr>
        <w:pStyle w:val="ListParagraph"/>
        <w:spacing w:line="360" w:lineRule="auto"/>
        <w:ind w:left="0" w:firstLine="720"/>
        <w:jc w:val="both"/>
        <w:rPr>
          <w:rFonts w:ascii="Arial" w:hAnsi="Arial"/>
          <w:rtl/>
        </w:rPr>
      </w:pPr>
      <w:r>
        <w:rPr>
          <w:rFonts w:ascii="Arial" w:hAnsi="Arial" w:hint="cs"/>
          <w:rtl/>
        </w:rPr>
        <w:t>למרות ההערכה כי המוטיבציה של הנאשם לטיפול הינה חיצונית, ואף כי הנאשם התקשה להעביר את הטיפול בו למסגרת ציבורית מוכרת (בין היתר בשל הקושי להגיע עם תחבורה ציבורית למקום טיפול מרוחק ממקום מגוריו), בא שירות המבחן בסופו של דבר לכלל מסקנה כי בעיתוי הנוכחי ראוי לאפשר לנאשם להמשיך בטיפול אותו הוא עובר במסגרת הפרטית ובחסות שירות המבחן. נאמר כי כליאתו כעת תביא לרגרסיה במצבו ועל כן הומלץ להפעיל את המאסר על-תנאי העומד לחובתו בדרך של עבודות שירות וזאת לצד צו מבחן למשך שנה וחצי.</w:t>
      </w:r>
    </w:p>
    <w:p w14:paraId="5377E19F" w14:textId="77777777" w:rsidR="007D527F" w:rsidRDefault="007D527F" w:rsidP="007D527F">
      <w:pPr>
        <w:pStyle w:val="ListParagraph"/>
        <w:spacing w:line="360" w:lineRule="auto"/>
        <w:ind w:left="0" w:firstLine="720"/>
        <w:jc w:val="both"/>
        <w:rPr>
          <w:rFonts w:ascii="Arial" w:hAnsi="Arial"/>
          <w:rtl/>
        </w:rPr>
      </w:pPr>
    </w:p>
    <w:p w14:paraId="39177DDC" w14:textId="77777777" w:rsidR="007D527F" w:rsidRDefault="007D527F" w:rsidP="007D527F">
      <w:pPr>
        <w:pStyle w:val="ListParagraph"/>
        <w:numPr>
          <w:ilvl w:val="0"/>
          <w:numId w:val="1"/>
        </w:numPr>
        <w:spacing w:line="360" w:lineRule="auto"/>
        <w:ind w:left="0" w:firstLine="0"/>
        <w:jc w:val="both"/>
        <w:rPr>
          <w:rFonts w:ascii="Arial" w:hAnsi="Arial"/>
          <w:rtl/>
        </w:rPr>
      </w:pPr>
      <w:r>
        <w:rPr>
          <w:rFonts w:ascii="Arial" w:hAnsi="Arial" w:hint="cs"/>
          <w:rtl/>
        </w:rPr>
        <w:t xml:space="preserve">הנאשם העיד בשלב העונש את העובד הסוציאלי מר דני גולד, המטפל של הנאשם במסגרת הפרטית "התחלה חדשה". מר גולד העיד אודות הטיפול הממושך שעבר הנאשם במסגרת זו, הביע </w:t>
      </w:r>
      <w:r>
        <w:rPr>
          <w:rFonts w:ascii="Arial" w:hAnsi="Arial" w:hint="cs"/>
          <w:rtl/>
        </w:rPr>
        <w:lastRenderedPageBreak/>
        <w:t>דעתו כי הנאשם עבר תהליך חיובי מאוד והתקדם משמעותית בטיפול. מאדם מופנם שהתקשה לשתף בקשייו הפך הנאשם בחודשים האחרונים לדומיננטי יותר, הוא משתף יותר ומסייע לחבריו לקבוצה.</w:t>
      </w:r>
    </w:p>
    <w:p w14:paraId="55442661" w14:textId="77777777" w:rsidR="007D527F" w:rsidRDefault="007D527F" w:rsidP="007D527F">
      <w:pPr>
        <w:pStyle w:val="ListParagraph"/>
        <w:spacing w:line="360" w:lineRule="auto"/>
        <w:ind w:left="0" w:firstLine="720"/>
        <w:jc w:val="both"/>
        <w:rPr>
          <w:rFonts w:ascii="Arial" w:hAnsi="Arial"/>
          <w:rtl/>
        </w:rPr>
      </w:pPr>
    </w:p>
    <w:p w14:paraId="32813FB1" w14:textId="77777777" w:rsidR="007D527F" w:rsidRPr="00184626" w:rsidRDefault="007D527F" w:rsidP="007D527F">
      <w:pPr>
        <w:spacing w:line="360" w:lineRule="auto"/>
        <w:jc w:val="both"/>
        <w:rPr>
          <w:rFonts w:ascii="Arial" w:hAnsi="Arial"/>
          <w:u w:val="single"/>
          <w:rtl/>
        </w:rPr>
      </w:pPr>
      <w:r w:rsidRPr="00184626">
        <w:rPr>
          <w:rFonts w:ascii="Arial" w:hAnsi="Arial" w:hint="cs"/>
          <w:u w:val="single"/>
          <w:rtl/>
        </w:rPr>
        <w:t>תמצית טיעוני הצדדים לעונש</w:t>
      </w:r>
    </w:p>
    <w:p w14:paraId="237524B9" w14:textId="77777777" w:rsidR="007D527F" w:rsidRDefault="007D527F" w:rsidP="007D527F">
      <w:pPr>
        <w:pStyle w:val="ListParagraph"/>
        <w:numPr>
          <w:ilvl w:val="0"/>
          <w:numId w:val="1"/>
        </w:numPr>
        <w:spacing w:line="360" w:lineRule="auto"/>
        <w:ind w:left="0" w:firstLine="0"/>
        <w:jc w:val="both"/>
        <w:rPr>
          <w:rFonts w:ascii="Arial" w:hAnsi="Arial"/>
          <w:rtl/>
        </w:rPr>
      </w:pPr>
      <w:r>
        <w:rPr>
          <w:rFonts w:ascii="Arial" w:hAnsi="Arial" w:hint="cs"/>
          <w:rtl/>
        </w:rPr>
        <w:t>ב"כ המאשימה, עו"ד דנית שושן, עמדה על חומרת מעשי הנאשם. לדעתה, לא ניתן לקבוע כי הנאשם עבר תהליך טיפולי מוצלח משום שלא עבר אותו במסגרת מוכרת. המאשימה בקשה לגזור על הנאשם עונש באמצעיתו של מתחם שנע בין מספר חודשי מאסר בפועל לשנת מאסר בפועל, ועתרה להפעיל את המאסר על-תנאי במצטבר. כן עתרה המאשימה לרכיבי ענישה נוספים.</w:t>
      </w:r>
    </w:p>
    <w:p w14:paraId="600E8241" w14:textId="77777777" w:rsidR="007D527F" w:rsidRDefault="007D527F" w:rsidP="007D527F">
      <w:pPr>
        <w:pStyle w:val="ListParagraph"/>
        <w:spacing w:line="360" w:lineRule="auto"/>
        <w:ind w:left="0"/>
        <w:jc w:val="both"/>
        <w:rPr>
          <w:rFonts w:ascii="Arial" w:hAnsi="Arial"/>
        </w:rPr>
      </w:pPr>
    </w:p>
    <w:p w14:paraId="27A7E888" w14:textId="77777777" w:rsidR="007D527F" w:rsidRDefault="007D527F" w:rsidP="007D527F">
      <w:pPr>
        <w:pStyle w:val="ListParagraph"/>
        <w:numPr>
          <w:ilvl w:val="0"/>
          <w:numId w:val="1"/>
        </w:numPr>
        <w:spacing w:line="360" w:lineRule="auto"/>
        <w:ind w:left="0" w:firstLine="0"/>
        <w:jc w:val="both"/>
        <w:rPr>
          <w:rFonts w:ascii="Arial" w:hAnsi="Arial"/>
        </w:rPr>
      </w:pPr>
      <w:r>
        <w:rPr>
          <w:rFonts w:ascii="Arial" w:hAnsi="Arial" w:hint="cs"/>
          <w:rtl/>
        </w:rPr>
        <w:t xml:space="preserve">ב"כ הנאשם, עו"ד חיה ציון זכאי, עתרה להפעיל בעניינו של הנאשם את </w:t>
      </w:r>
      <w:hyperlink r:id="rId16" w:history="1">
        <w:r w:rsidR="00603CDD" w:rsidRPr="00603CDD">
          <w:rPr>
            <w:rFonts w:ascii="Arial" w:hAnsi="Arial"/>
            <w:color w:val="0000FF"/>
            <w:u w:val="single"/>
            <w:rtl/>
          </w:rPr>
          <w:t>סעיף 85</w:t>
        </w:r>
      </w:hyperlink>
      <w:r>
        <w:rPr>
          <w:rFonts w:ascii="Arial" w:hAnsi="Arial" w:hint="cs"/>
          <w:rtl/>
        </w:rPr>
        <w:t xml:space="preserve"> ל</w:t>
      </w:r>
      <w:hyperlink r:id="rId17" w:history="1">
        <w:r w:rsidR="00663B92" w:rsidRPr="00663B92">
          <w:rPr>
            <w:rStyle w:val="Hyperlink"/>
            <w:rFonts w:ascii="Arial" w:hAnsi="Arial" w:hint="eastAsia"/>
            <w:rtl/>
          </w:rPr>
          <w:t>חוק</w:t>
        </w:r>
        <w:r w:rsidR="00663B92" w:rsidRPr="00663B92">
          <w:rPr>
            <w:rStyle w:val="Hyperlink"/>
            <w:rFonts w:ascii="Arial" w:hAnsi="Arial"/>
            <w:rtl/>
          </w:rPr>
          <w:t xml:space="preserve"> העונשין</w:t>
        </w:r>
      </w:hyperlink>
      <w:r>
        <w:rPr>
          <w:rFonts w:ascii="Arial" w:hAnsi="Arial" w:hint="cs"/>
          <w:rtl/>
        </w:rPr>
        <w:t xml:space="preserve">, התשל"ז-1977 (להלן </w:t>
      </w:r>
      <w:r>
        <w:rPr>
          <w:rFonts w:ascii="Arial" w:hAnsi="Arial"/>
          <w:rtl/>
        </w:rPr>
        <w:t>–</w:t>
      </w:r>
      <w:r>
        <w:rPr>
          <w:rFonts w:ascii="Arial" w:hAnsi="Arial" w:hint="cs"/>
          <w:rtl/>
        </w:rPr>
        <w:t xml:space="preserve"> "</w:t>
      </w:r>
      <w:r>
        <w:rPr>
          <w:rFonts w:ascii="Arial" w:hAnsi="Arial" w:hint="cs"/>
          <w:b/>
          <w:bCs/>
          <w:rtl/>
        </w:rPr>
        <w:t>חוק העונשין</w:t>
      </w:r>
      <w:r>
        <w:rPr>
          <w:rFonts w:ascii="Arial" w:hAnsi="Arial" w:hint="cs"/>
          <w:rtl/>
        </w:rPr>
        <w:t xml:space="preserve">"), המאפשר לבית המשפט להאריך מאסר על-תנאי חב הפעלה בעניינו של מי שעובר טיפול למשתמשים בסמים. לדברי הסנגורית, בענייננו אין חולק כי הנאשם גידל את הסם למטרת שימוש עצמי בלבד, ובהינתן הליך השיקום הממושך והמוצלח שעבר </w:t>
      </w:r>
      <w:r>
        <w:rPr>
          <w:rFonts w:ascii="Arial" w:hAnsi="Arial"/>
          <w:rtl/>
        </w:rPr>
        <w:t>–</w:t>
      </w:r>
      <w:r>
        <w:rPr>
          <w:rFonts w:ascii="Arial" w:hAnsi="Arial" w:hint="cs"/>
          <w:rtl/>
        </w:rPr>
        <w:t xml:space="preserve"> מן הראוי לגזור עליו עונש שיקומי. ההגנה אף ביקשה להאריך את הפסילה המותנית שנגזרה על הנאשם בהליך קודם.</w:t>
      </w:r>
    </w:p>
    <w:p w14:paraId="6F9078FA" w14:textId="77777777" w:rsidR="007D527F" w:rsidRDefault="007D527F" w:rsidP="007D527F">
      <w:pPr>
        <w:pStyle w:val="ListParagraph"/>
        <w:spacing w:line="360" w:lineRule="auto"/>
        <w:ind w:left="0"/>
        <w:jc w:val="both"/>
        <w:rPr>
          <w:rFonts w:ascii="Arial" w:hAnsi="Arial"/>
          <w:rtl/>
        </w:rPr>
      </w:pPr>
    </w:p>
    <w:p w14:paraId="147E0B47" w14:textId="77777777" w:rsidR="007D527F" w:rsidRDefault="007D527F" w:rsidP="007D527F">
      <w:pPr>
        <w:pStyle w:val="ListParagraph"/>
        <w:spacing w:line="360" w:lineRule="auto"/>
        <w:ind w:left="0" w:firstLine="720"/>
        <w:jc w:val="both"/>
        <w:rPr>
          <w:rFonts w:ascii="Arial" w:hAnsi="Arial"/>
          <w:rtl/>
        </w:rPr>
      </w:pPr>
      <w:r>
        <w:rPr>
          <w:rFonts w:ascii="Arial" w:hAnsi="Arial" w:hint="cs"/>
          <w:rtl/>
        </w:rPr>
        <w:t>הנאשם בדברו האחרון לעונש אמר כי נותן את כולו בהליך הטיפול הקבוצתי במסגרת "התחלה חדשה".</w:t>
      </w:r>
    </w:p>
    <w:p w14:paraId="42837165" w14:textId="77777777" w:rsidR="007D527F" w:rsidRDefault="007D527F" w:rsidP="007D527F">
      <w:pPr>
        <w:spacing w:line="360" w:lineRule="auto"/>
        <w:jc w:val="both"/>
        <w:rPr>
          <w:rFonts w:ascii="Arial" w:hAnsi="Arial"/>
          <w:b/>
          <w:bCs/>
          <w:u w:val="single"/>
          <w:rtl/>
        </w:rPr>
      </w:pPr>
    </w:p>
    <w:p w14:paraId="47A1F7EC" w14:textId="77777777" w:rsidR="007D527F" w:rsidRPr="00FB1C52" w:rsidRDefault="007D527F" w:rsidP="007D527F">
      <w:pPr>
        <w:spacing w:line="360" w:lineRule="auto"/>
        <w:jc w:val="both"/>
        <w:rPr>
          <w:rFonts w:ascii="Arial" w:hAnsi="Arial"/>
          <w:rtl/>
        </w:rPr>
      </w:pPr>
      <w:r w:rsidRPr="00FB1C52">
        <w:rPr>
          <w:rFonts w:ascii="Arial" w:hAnsi="Arial" w:hint="cs"/>
          <w:b/>
          <w:bCs/>
          <w:u w:val="single"/>
          <w:rtl/>
        </w:rPr>
        <w:t>דיון</w:t>
      </w:r>
    </w:p>
    <w:p w14:paraId="2BB0F679" w14:textId="77777777" w:rsidR="007D527F" w:rsidRDefault="007D527F" w:rsidP="007D527F">
      <w:pPr>
        <w:pStyle w:val="ListParagraph"/>
        <w:numPr>
          <w:ilvl w:val="0"/>
          <w:numId w:val="1"/>
        </w:numPr>
        <w:spacing w:line="360" w:lineRule="auto"/>
        <w:ind w:left="0" w:firstLine="0"/>
        <w:jc w:val="both"/>
        <w:rPr>
          <w:rFonts w:ascii="Arial" w:hAnsi="Arial"/>
        </w:rPr>
      </w:pPr>
      <w:r>
        <w:rPr>
          <w:rFonts w:ascii="Arial" w:hAnsi="Arial" w:hint="cs"/>
          <w:rtl/>
        </w:rPr>
        <w:t>הנאשם גידל קנבוס במשקל 650 גרם במבנה נטוש סמוך לביתו והחזיק בביתו חשיש במשקל מזערי לצריכה עצמית בלבד. טענת הנאשם כי הגידול היה לצריכה עצמית בלבד אינה סותרת את עובדות כתב האישום בהן הודה ולא נסתרה בשום דרך על ידי המאשימה.</w:t>
      </w:r>
    </w:p>
    <w:p w14:paraId="3EEC3C5A" w14:textId="77777777" w:rsidR="007D527F" w:rsidRDefault="007D527F" w:rsidP="007D527F">
      <w:pPr>
        <w:pStyle w:val="ListParagraph"/>
        <w:spacing w:line="360" w:lineRule="auto"/>
        <w:ind w:left="0"/>
        <w:jc w:val="both"/>
        <w:rPr>
          <w:rFonts w:ascii="Arial" w:hAnsi="Arial"/>
        </w:rPr>
      </w:pPr>
    </w:p>
    <w:p w14:paraId="07D40B9C" w14:textId="77777777" w:rsidR="007D527F" w:rsidRDefault="007D527F" w:rsidP="007D527F">
      <w:pPr>
        <w:pStyle w:val="ListParagraph"/>
        <w:numPr>
          <w:ilvl w:val="0"/>
          <w:numId w:val="1"/>
        </w:numPr>
        <w:spacing w:line="360" w:lineRule="auto"/>
        <w:ind w:left="0" w:firstLine="0"/>
        <w:jc w:val="both"/>
        <w:rPr>
          <w:rFonts w:ascii="Arial" w:hAnsi="Arial"/>
        </w:rPr>
      </w:pPr>
      <w:r>
        <w:rPr>
          <w:rFonts w:ascii="Arial" w:hAnsi="Arial" w:hint="cs"/>
          <w:rtl/>
        </w:rPr>
        <w:t xml:space="preserve">בהתחשב בעקרון ההלימה בין מעשה לעונש, בערך המוגן העומד ביסוד העבירה של החזקה בסם (הגנה על בריאות הציבור ובריאותו של המשתמש בסם), בסיבה בגינה גידל הנאשם את הסם וברמת הענישה הנוהגת המוכרת לבית המשפט, אני קובע כי מתחם העונש ההולם את מעשי הנאשם כאן נע </w:t>
      </w:r>
      <w:r w:rsidRPr="00633E34">
        <w:rPr>
          <w:rFonts w:ascii="Arial" w:hAnsi="Arial" w:hint="cs"/>
          <w:u w:val="single"/>
          <w:rtl/>
        </w:rPr>
        <w:t>בין מאסר על-תנאי למספר חודשי מאסר בפועל</w:t>
      </w:r>
      <w:r>
        <w:rPr>
          <w:rFonts w:ascii="Arial" w:hAnsi="Arial" w:hint="cs"/>
          <w:rtl/>
        </w:rPr>
        <w:t>, וזאת כעונש עיקרי.</w:t>
      </w:r>
    </w:p>
    <w:p w14:paraId="6CCE1B03" w14:textId="77777777" w:rsidR="007D527F" w:rsidRDefault="007D527F" w:rsidP="007D527F">
      <w:pPr>
        <w:pStyle w:val="ListParagraph"/>
        <w:spacing w:line="360" w:lineRule="auto"/>
        <w:ind w:left="0"/>
        <w:jc w:val="both"/>
        <w:rPr>
          <w:rFonts w:ascii="Arial" w:hAnsi="Arial"/>
        </w:rPr>
      </w:pPr>
    </w:p>
    <w:p w14:paraId="39EF3CE6" w14:textId="77777777" w:rsidR="007D527F" w:rsidRDefault="007D527F" w:rsidP="007D527F">
      <w:pPr>
        <w:pStyle w:val="ListParagraph"/>
        <w:numPr>
          <w:ilvl w:val="0"/>
          <w:numId w:val="1"/>
        </w:numPr>
        <w:spacing w:line="360" w:lineRule="auto"/>
        <w:ind w:left="0" w:firstLine="0"/>
        <w:jc w:val="both"/>
        <w:rPr>
          <w:rFonts w:ascii="Arial" w:hAnsi="Arial"/>
        </w:rPr>
      </w:pPr>
      <w:r>
        <w:rPr>
          <w:rFonts w:ascii="Arial" w:hAnsi="Arial" w:hint="cs"/>
          <w:rtl/>
        </w:rPr>
        <w:t>לחובתו של הנאשם מאסר על תנאי חב הפעלה בן ששה חודשים. שירות המבחן ממליץ להפעיל את המאסר על-תנאי האמור כך שהנאשם יוכל לרצות את עונשו בעבודות שירות. המאשימה מבקשת לגזור על הנאשם עונש מאסר קצר ולהפעיל את המאסר על-תנאי במצטבר. ההגנה מבקשת להאריך את המאסר על-תנאי פעם נוספת.</w:t>
      </w:r>
    </w:p>
    <w:p w14:paraId="2A00124E" w14:textId="77777777" w:rsidR="007D527F" w:rsidRDefault="007D527F" w:rsidP="007D527F">
      <w:pPr>
        <w:pStyle w:val="ListParagraph"/>
        <w:spacing w:line="360" w:lineRule="auto"/>
        <w:ind w:left="0"/>
        <w:jc w:val="both"/>
        <w:rPr>
          <w:rFonts w:ascii="Arial" w:hAnsi="Arial"/>
          <w:rtl/>
        </w:rPr>
      </w:pPr>
    </w:p>
    <w:p w14:paraId="5FCB1080" w14:textId="77777777" w:rsidR="007D527F" w:rsidRDefault="007D527F" w:rsidP="007D527F">
      <w:pPr>
        <w:pStyle w:val="ListParagraph"/>
        <w:numPr>
          <w:ilvl w:val="0"/>
          <w:numId w:val="1"/>
        </w:numPr>
        <w:spacing w:line="360" w:lineRule="auto"/>
        <w:ind w:left="0" w:firstLine="0"/>
        <w:jc w:val="both"/>
        <w:rPr>
          <w:rFonts w:ascii="Arial" w:hAnsi="Arial"/>
        </w:rPr>
      </w:pPr>
      <w:r>
        <w:rPr>
          <w:rFonts w:ascii="Arial" w:hAnsi="Arial" w:hint="cs"/>
          <w:rtl/>
        </w:rPr>
        <w:t>לא אוכל לקבל את עמדת המאשימה בעניינו של נאשם זה. עניין לנו בנאשם מכור לסמים שגידל כאמור צמחי קנבוס במשקל לא רב במיוחד (בהתחשב בכך שמדובר בצמח) לצרכים פרטיים בלבד. נאשם כזה אינו ראוי לרצות עונש מאחורי סורג ובריח ויעיד שינוי מדיניות האכיפה שיזם המשרד לביטחון הפנים ואישרה לאחרונה הממשלה.</w:t>
      </w:r>
    </w:p>
    <w:p w14:paraId="0C44FA5C" w14:textId="77777777" w:rsidR="007D527F" w:rsidRDefault="007D527F" w:rsidP="007D527F">
      <w:pPr>
        <w:pStyle w:val="ListParagraph"/>
        <w:spacing w:line="360" w:lineRule="auto"/>
        <w:ind w:left="0"/>
        <w:jc w:val="both"/>
        <w:rPr>
          <w:rFonts w:ascii="Arial" w:hAnsi="Arial"/>
          <w:rtl/>
        </w:rPr>
      </w:pPr>
    </w:p>
    <w:p w14:paraId="4D455890" w14:textId="77777777" w:rsidR="007D527F" w:rsidRPr="00633E34" w:rsidRDefault="007D527F" w:rsidP="007D527F">
      <w:pPr>
        <w:pStyle w:val="ListParagraph"/>
        <w:numPr>
          <w:ilvl w:val="0"/>
          <w:numId w:val="1"/>
        </w:numPr>
        <w:spacing w:line="360" w:lineRule="auto"/>
        <w:ind w:left="0" w:firstLine="0"/>
        <w:jc w:val="both"/>
        <w:rPr>
          <w:rFonts w:ascii="Arial" w:hAnsi="Arial"/>
          <w:rtl/>
        </w:rPr>
      </w:pPr>
      <w:r>
        <w:rPr>
          <w:rFonts w:ascii="Arial" w:hAnsi="Arial" w:hint="cs"/>
          <w:rtl/>
        </w:rPr>
        <w:t xml:space="preserve">לפיכך השאלה העיקרית העומדת לדיון היא האם יש לקבל את המלצת שירות המבחן ולגזור על הנאשם עונש מאסר בן ששה חודשים שירוצה ככל הניתן בעבודות שירות, או שמא ראוי להאריך את תקופת התנאי פעם נוספת בהתאם לתנאי </w:t>
      </w:r>
      <w:hyperlink r:id="rId18" w:history="1">
        <w:r w:rsidR="00603CDD" w:rsidRPr="00603CDD">
          <w:rPr>
            <w:rFonts w:ascii="Arial" w:hAnsi="Arial"/>
            <w:color w:val="0000FF"/>
            <w:u w:val="single"/>
            <w:rtl/>
          </w:rPr>
          <w:t>סעיף 85</w:t>
        </w:r>
      </w:hyperlink>
      <w:r>
        <w:rPr>
          <w:rFonts w:ascii="Arial" w:hAnsi="Arial" w:hint="cs"/>
          <w:rtl/>
        </w:rPr>
        <w:t xml:space="preserve"> ל</w:t>
      </w:r>
      <w:hyperlink r:id="rId19" w:history="1">
        <w:r w:rsidR="00663B92" w:rsidRPr="00663B92">
          <w:rPr>
            <w:rStyle w:val="Hyperlink"/>
            <w:rFonts w:ascii="Arial" w:hAnsi="Arial" w:hint="eastAsia"/>
            <w:rtl/>
          </w:rPr>
          <w:t>חוק</w:t>
        </w:r>
        <w:r w:rsidR="00663B92" w:rsidRPr="00663B92">
          <w:rPr>
            <w:rStyle w:val="Hyperlink"/>
            <w:rFonts w:ascii="Arial" w:hAnsi="Arial"/>
            <w:rtl/>
          </w:rPr>
          <w:t xml:space="preserve"> העונשין</w:t>
        </w:r>
      </w:hyperlink>
      <w:r>
        <w:rPr>
          <w:rFonts w:ascii="Arial" w:hAnsi="Arial" w:hint="cs"/>
          <w:rtl/>
        </w:rPr>
        <w:t>, בשים לב בין היתר לכך שהטיפול אותו עובר הנאשם מבוצע בעיקרו במסגרת פרטית וששירות המבחן אינו ממליץ על הארכת תקופת התנאי.</w:t>
      </w:r>
    </w:p>
    <w:p w14:paraId="78636E8A" w14:textId="77777777" w:rsidR="007D527F" w:rsidRDefault="007D527F" w:rsidP="007D527F">
      <w:pPr>
        <w:pStyle w:val="ListParagraph"/>
        <w:spacing w:line="360" w:lineRule="auto"/>
        <w:ind w:left="0" w:firstLine="720"/>
        <w:jc w:val="both"/>
        <w:rPr>
          <w:rFonts w:ascii="Arial" w:hAnsi="Arial"/>
          <w:rtl/>
        </w:rPr>
      </w:pPr>
    </w:p>
    <w:p w14:paraId="1994A95C" w14:textId="77777777" w:rsidR="007D527F" w:rsidRDefault="00603CDD" w:rsidP="007D527F">
      <w:pPr>
        <w:pStyle w:val="ListParagraph"/>
        <w:numPr>
          <w:ilvl w:val="0"/>
          <w:numId w:val="1"/>
        </w:numPr>
        <w:spacing w:line="360" w:lineRule="auto"/>
        <w:ind w:left="0" w:firstLine="0"/>
        <w:jc w:val="both"/>
        <w:rPr>
          <w:rFonts w:ascii="Arial" w:hAnsi="Arial"/>
          <w:rtl/>
        </w:rPr>
      </w:pPr>
      <w:hyperlink r:id="rId20" w:history="1">
        <w:r w:rsidRPr="00603CDD">
          <w:rPr>
            <w:rFonts w:ascii="Arial" w:hAnsi="Arial"/>
            <w:color w:val="0000FF"/>
            <w:u w:val="single"/>
            <w:rtl/>
          </w:rPr>
          <w:t>סעיף 85</w:t>
        </w:r>
      </w:hyperlink>
      <w:r w:rsidR="007D527F">
        <w:rPr>
          <w:rFonts w:ascii="Arial" w:hAnsi="Arial" w:hint="cs"/>
          <w:rtl/>
        </w:rPr>
        <w:t xml:space="preserve"> ל</w:t>
      </w:r>
      <w:hyperlink r:id="rId21" w:history="1">
        <w:r w:rsidR="00663B92" w:rsidRPr="00663B92">
          <w:rPr>
            <w:rStyle w:val="Hyperlink"/>
            <w:rFonts w:ascii="Arial" w:hAnsi="Arial" w:hint="eastAsia"/>
            <w:rtl/>
          </w:rPr>
          <w:t>חוק</w:t>
        </w:r>
        <w:r w:rsidR="00663B92" w:rsidRPr="00663B92">
          <w:rPr>
            <w:rStyle w:val="Hyperlink"/>
            <w:rFonts w:ascii="Arial" w:hAnsi="Arial"/>
            <w:rtl/>
          </w:rPr>
          <w:t xml:space="preserve"> העונשין</w:t>
        </w:r>
      </w:hyperlink>
      <w:r w:rsidR="007D527F">
        <w:rPr>
          <w:rFonts w:ascii="Arial" w:hAnsi="Arial" w:hint="cs"/>
          <w:rtl/>
        </w:rPr>
        <w:t xml:space="preserve"> קובע כדלקמן:</w:t>
      </w:r>
    </w:p>
    <w:p w14:paraId="7731E065" w14:textId="77777777" w:rsidR="007D527F" w:rsidRDefault="007D527F" w:rsidP="007D527F">
      <w:pPr>
        <w:pStyle w:val="ListParagraph"/>
        <w:spacing w:line="360" w:lineRule="auto"/>
        <w:ind w:left="0" w:firstLine="720"/>
        <w:jc w:val="both"/>
        <w:rPr>
          <w:rFonts w:ascii="Arial" w:hAnsi="Arial"/>
          <w:rtl/>
        </w:rPr>
      </w:pPr>
    </w:p>
    <w:p w14:paraId="4F7A88D0" w14:textId="77777777" w:rsidR="007D527F" w:rsidRDefault="007D527F" w:rsidP="007D527F">
      <w:pPr>
        <w:pStyle w:val="P00"/>
        <w:spacing w:before="0"/>
        <w:ind w:left="720" w:right="1134"/>
        <w:rPr>
          <w:rStyle w:val="default"/>
          <w:rFonts w:cs="FrankRuehl"/>
        </w:rPr>
      </w:pPr>
      <w:r>
        <w:rPr>
          <w:rStyle w:val="big-number"/>
          <w:rFonts w:cs="Miriam" w:hint="cs"/>
          <w:rtl/>
        </w:rPr>
        <w:t>85.</w:t>
      </w:r>
      <w:r>
        <w:rPr>
          <w:rStyle w:val="big-number"/>
          <w:rFonts w:cs="Miriam" w:hint="cs"/>
          <w:rtl/>
        </w:rPr>
        <w:tab/>
      </w:r>
      <w:r>
        <w:rPr>
          <w:rStyle w:val="default"/>
          <w:rFonts w:cs="FrankRuehl" w:hint="cs"/>
          <w:rtl/>
        </w:rPr>
        <w:t>(א)</w:t>
      </w:r>
      <w:r>
        <w:rPr>
          <w:rStyle w:val="default"/>
          <w:rFonts w:cs="FrankRuehl" w:hint="cs"/>
          <w:rtl/>
        </w:rPr>
        <w:tab/>
        <w:t>על אף הוראות סעיף 56(ב), רשאי בית המשפט שהרשיע אדם העובר טיפול למשתמשים בסמים, או שסיים טיפול כאמור, להשתמש בסמכותו לפי סעיף 56 יותר מפעם אחת, אם שוכנע כי לא יהיה זה צודק להפעיל את המאסר על תנאי משום שיש סיכוי לשיקומו של האדם, כי הפעלת המאסר על תנאי תסב לו נזק חמור, וכי אין סיכון לשלום הציבור בשל הארכת התנאי.</w:t>
      </w:r>
    </w:p>
    <w:p w14:paraId="2ADF72CC" w14:textId="77777777" w:rsidR="007D527F" w:rsidRDefault="007D527F" w:rsidP="007D527F">
      <w:pPr>
        <w:pStyle w:val="P00"/>
        <w:spacing w:before="72"/>
        <w:ind w:left="720" w:right="1134"/>
        <w:rPr>
          <w:rStyle w:val="default"/>
          <w:rFonts w:cs="FrankRuehl"/>
          <w:rtl/>
        </w:rPr>
      </w:pPr>
      <w:r>
        <w:rPr>
          <w:rFonts w:cs="FrankRuehl" w:hint="cs"/>
          <w:sz w:val="26"/>
          <w:rtl/>
        </w:rPr>
        <w:tab/>
      </w:r>
      <w:r>
        <w:rPr>
          <w:rStyle w:val="default"/>
          <w:rFonts w:cs="FrankRuehl" w:hint="cs"/>
          <w:rtl/>
        </w:rPr>
        <w:t>(ב)</w:t>
      </w:r>
      <w:r>
        <w:rPr>
          <w:rStyle w:val="default"/>
          <w:rFonts w:cs="FrankRuehl" w:hint="cs"/>
          <w:rtl/>
        </w:rPr>
        <w:tab/>
        <w:t>בטרם יחליט על הארכה נוספת של תקופת התנאי, יבקש בית המשפט תסקיר של קצין מבחן על הנאשם, על מצב התקדמותו בטיפול, וכן, אם הוא מקבל טיפול במוסד, על המוסד שבו הוא מטופל.</w:t>
      </w:r>
    </w:p>
    <w:p w14:paraId="5943D0C7" w14:textId="77777777" w:rsidR="007D527F" w:rsidRDefault="007D527F" w:rsidP="007D527F">
      <w:pPr>
        <w:pStyle w:val="P00"/>
        <w:spacing w:before="72"/>
        <w:ind w:left="720" w:right="1134"/>
        <w:rPr>
          <w:rStyle w:val="default"/>
          <w:rFonts w:cs="FrankRuehl"/>
          <w:rtl/>
        </w:rPr>
      </w:pPr>
      <w:r>
        <w:rPr>
          <w:rFonts w:cs="FrankRuehl" w:hint="cs"/>
          <w:sz w:val="26"/>
          <w:rtl/>
        </w:rPr>
        <w:tab/>
      </w:r>
      <w:r>
        <w:rPr>
          <w:rStyle w:val="default"/>
          <w:rFonts w:cs="FrankRuehl" w:hint="cs"/>
          <w:rtl/>
        </w:rPr>
        <w:t>(ג)</w:t>
      </w:r>
      <w:r>
        <w:rPr>
          <w:rStyle w:val="default"/>
          <w:rFonts w:cs="FrankRuehl" w:hint="cs"/>
          <w:rtl/>
        </w:rPr>
        <w:tab/>
        <w:t>הארכה נוספת של תקופת התנאי, לפי סעיף זה, תלווה בצו מבחן כאמור בסימן זה ובתנאים האמורים בו; על ההארכה הנוספת יחולו הוראות סעיף 56(ג).</w:t>
      </w:r>
    </w:p>
    <w:p w14:paraId="19AD45E0" w14:textId="77777777" w:rsidR="007D527F" w:rsidRDefault="007D527F" w:rsidP="007D527F">
      <w:pPr>
        <w:pStyle w:val="P00"/>
        <w:spacing w:before="72"/>
        <w:ind w:left="720" w:right="1134"/>
        <w:rPr>
          <w:rStyle w:val="default"/>
          <w:rFonts w:cs="FrankRuehl"/>
          <w:rtl/>
        </w:rPr>
      </w:pPr>
      <w:r>
        <w:rPr>
          <w:rFonts w:cs="FrankRuehl" w:hint="cs"/>
          <w:sz w:val="26"/>
          <w:rtl/>
        </w:rPr>
        <w:tab/>
      </w:r>
      <w:r>
        <w:rPr>
          <w:rStyle w:val="default"/>
          <w:rFonts w:cs="FrankRuehl" w:hint="cs"/>
          <w:rtl/>
        </w:rPr>
        <w:t>(ד)</w:t>
      </w:r>
      <w:r>
        <w:rPr>
          <w:rStyle w:val="default"/>
          <w:rFonts w:cs="FrankRuehl" w:hint="cs"/>
          <w:rtl/>
        </w:rPr>
        <w:tab/>
        <w:t>לענין סעיף זה –</w:t>
      </w:r>
    </w:p>
    <w:p w14:paraId="275E6536" w14:textId="77777777" w:rsidR="007D527F" w:rsidRDefault="007D527F" w:rsidP="007D527F">
      <w:pPr>
        <w:pStyle w:val="P00"/>
        <w:spacing w:before="72"/>
        <w:ind w:left="720" w:right="1134"/>
        <w:rPr>
          <w:rtl/>
        </w:rPr>
      </w:pPr>
      <w:r>
        <w:rPr>
          <w:rFonts w:cs="FrankRuehl" w:hint="cs"/>
          <w:sz w:val="26"/>
          <w:rtl/>
        </w:rPr>
        <w:tab/>
        <w:t>"טיפול למשתמשים בסמים" - "טיפול סוציאלי", "טיפול רפואי" או "טיפול משולב", כהגדרתם ב</w:t>
      </w:r>
      <w:hyperlink r:id="rId22" w:history="1">
        <w:r w:rsidR="00663B92" w:rsidRPr="00663B92">
          <w:rPr>
            <w:rStyle w:val="Hyperlink"/>
            <w:rFonts w:cs="FrankRuehl" w:hint="eastAsia"/>
            <w:sz w:val="26"/>
            <w:rtl/>
          </w:rPr>
          <w:t>חוק</w:t>
        </w:r>
        <w:r w:rsidR="00663B92" w:rsidRPr="00663B92">
          <w:rPr>
            <w:rStyle w:val="Hyperlink"/>
            <w:rFonts w:cs="FrankRuehl"/>
            <w:sz w:val="26"/>
            <w:rtl/>
          </w:rPr>
          <w:t xml:space="preserve"> הפיקוח על מוסדות לטיפול במשתמשים בסמים</w:t>
        </w:r>
      </w:hyperlink>
      <w:r>
        <w:rPr>
          <w:rFonts w:cs="FrankRuehl" w:hint="cs"/>
          <w:sz w:val="26"/>
          <w:rtl/>
        </w:rPr>
        <w:t>, תשנ"ג-1993, הניתן למשתמשים בסמים;</w:t>
      </w:r>
    </w:p>
    <w:p w14:paraId="6B5DA35A" w14:textId="77777777" w:rsidR="007D527F" w:rsidRDefault="007D527F" w:rsidP="007D527F">
      <w:pPr>
        <w:pStyle w:val="P00"/>
        <w:spacing w:before="72"/>
        <w:ind w:left="720" w:right="1134"/>
        <w:rPr>
          <w:rFonts w:cs="FrankRuehl"/>
          <w:sz w:val="26"/>
          <w:rtl/>
        </w:rPr>
      </w:pPr>
      <w:r>
        <w:rPr>
          <w:rFonts w:cs="FrankRuehl" w:hint="cs"/>
          <w:sz w:val="26"/>
          <w:rtl/>
        </w:rPr>
        <w:tab/>
        <w:t>"מוסד" - כהגדרתו בחוק האמור.</w:t>
      </w:r>
    </w:p>
    <w:p w14:paraId="0250B2A1" w14:textId="77777777" w:rsidR="007D527F" w:rsidRDefault="007D527F" w:rsidP="007D527F">
      <w:pPr>
        <w:pStyle w:val="ListParagraph"/>
        <w:spacing w:line="360" w:lineRule="auto"/>
        <w:ind w:left="0" w:firstLine="720"/>
        <w:jc w:val="both"/>
        <w:rPr>
          <w:rFonts w:ascii="Arial" w:hAnsi="Arial"/>
          <w:rtl/>
        </w:rPr>
      </w:pPr>
    </w:p>
    <w:p w14:paraId="6CE17293" w14:textId="77777777" w:rsidR="007D527F" w:rsidRDefault="007D527F" w:rsidP="007D527F">
      <w:pPr>
        <w:pStyle w:val="ListParagraph"/>
        <w:spacing w:line="360" w:lineRule="auto"/>
        <w:ind w:left="0" w:firstLine="720"/>
        <w:jc w:val="both"/>
        <w:rPr>
          <w:rFonts w:ascii="Arial" w:hAnsi="Arial"/>
          <w:rtl/>
        </w:rPr>
      </w:pPr>
    </w:p>
    <w:p w14:paraId="1FF55211" w14:textId="77777777" w:rsidR="007D527F" w:rsidRDefault="007D527F" w:rsidP="007D527F">
      <w:pPr>
        <w:pStyle w:val="ListParagraph"/>
        <w:numPr>
          <w:ilvl w:val="0"/>
          <w:numId w:val="1"/>
        </w:numPr>
        <w:spacing w:line="360" w:lineRule="auto"/>
        <w:ind w:left="0" w:firstLine="0"/>
        <w:jc w:val="both"/>
        <w:rPr>
          <w:rFonts w:ascii="Arial" w:hAnsi="Arial"/>
        </w:rPr>
      </w:pPr>
      <w:r>
        <w:rPr>
          <w:rFonts w:ascii="Arial" w:hAnsi="Arial" w:hint="cs"/>
          <w:rtl/>
        </w:rPr>
        <w:t xml:space="preserve">אין חולק כי הנאשם עובר טיפול למשתמשים בסמים, אלא שבטיפול פרטי עסקינן וכאמור שירות המבחן לא המליץ על הארכת התנאי. </w:t>
      </w:r>
    </w:p>
    <w:p w14:paraId="215A0682" w14:textId="77777777" w:rsidR="007D527F" w:rsidRDefault="007D527F" w:rsidP="007D527F">
      <w:pPr>
        <w:pStyle w:val="ListParagraph"/>
        <w:spacing w:line="360" w:lineRule="auto"/>
        <w:ind w:left="0"/>
        <w:jc w:val="both"/>
        <w:rPr>
          <w:rFonts w:ascii="Arial" w:hAnsi="Arial"/>
          <w:rtl/>
        </w:rPr>
      </w:pPr>
    </w:p>
    <w:p w14:paraId="15B862C6" w14:textId="77777777" w:rsidR="007D527F" w:rsidRDefault="007D527F" w:rsidP="007D527F">
      <w:pPr>
        <w:pStyle w:val="ListParagraph"/>
        <w:spacing w:line="360" w:lineRule="auto"/>
        <w:ind w:left="0" w:firstLine="720"/>
        <w:jc w:val="both"/>
        <w:rPr>
          <w:rFonts w:ascii="Arial" w:hAnsi="Arial"/>
          <w:rtl/>
        </w:rPr>
      </w:pPr>
      <w:r>
        <w:rPr>
          <w:rFonts w:ascii="Arial" w:hAnsi="Arial" w:hint="cs"/>
          <w:rtl/>
        </w:rPr>
        <w:t xml:space="preserve">למיטב ידיעתי לא נפסקה בעבר הלכה בנוגע לטיב הטיפול המהווה תנאי מתנאי הסעיף. עיון מקרוב בהוראת החוק אינו מספק בסיס טוב לטעמי לעמדת המדינה השוללת את תחולת הסעיף מקום בו עסקינן בטיפול פרטי. אכן, הדעת נותנת שבמרבית המקרים ישקול בית המשפט בחיוב הארכה נוספת של מאסר על-תנאי רק כאשר יוצג לו טיפול מוכר, אך </w:t>
      </w:r>
      <w:r w:rsidRPr="00837827">
        <w:rPr>
          <w:rFonts w:ascii="Arial" w:hAnsi="Arial" w:hint="cs"/>
          <w:u w:val="single"/>
          <w:rtl/>
        </w:rPr>
        <w:t xml:space="preserve">הוראת </w:t>
      </w:r>
      <w:hyperlink r:id="rId23" w:history="1">
        <w:r w:rsidR="00603CDD" w:rsidRPr="00603CDD">
          <w:rPr>
            <w:rFonts w:ascii="Arial" w:hAnsi="Arial"/>
            <w:color w:val="0000FF"/>
            <w:u w:val="single"/>
            <w:rtl/>
          </w:rPr>
          <w:t>סעיף 85</w:t>
        </w:r>
      </w:hyperlink>
      <w:r w:rsidRPr="00837827">
        <w:rPr>
          <w:rFonts w:ascii="Arial" w:hAnsi="Arial" w:hint="cs"/>
          <w:u w:val="single"/>
          <w:rtl/>
        </w:rPr>
        <w:t xml:space="preserve"> ל</w:t>
      </w:r>
      <w:hyperlink r:id="rId24" w:history="1">
        <w:r w:rsidR="00663B92" w:rsidRPr="00663B92">
          <w:rPr>
            <w:rStyle w:val="Hyperlink"/>
            <w:rFonts w:ascii="Arial" w:hAnsi="Arial" w:hint="eastAsia"/>
            <w:rtl/>
          </w:rPr>
          <w:t>חוק</w:t>
        </w:r>
        <w:r w:rsidR="00663B92" w:rsidRPr="00663B92">
          <w:rPr>
            <w:rStyle w:val="Hyperlink"/>
            <w:rFonts w:ascii="Arial" w:hAnsi="Arial"/>
            <w:rtl/>
          </w:rPr>
          <w:t xml:space="preserve"> העונשין</w:t>
        </w:r>
      </w:hyperlink>
      <w:r w:rsidRPr="00837827">
        <w:rPr>
          <w:rFonts w:ascii="Arial" w:hAnsi="Arial" w:hint="cs"/>
          <w:u w:val="single"/>
          <w:rtl/>
        </w:rPr>
        <w:t xml:space="preserve"> אינה מוגבלת לטיפול במסגרת מוכרת על ידי שירות המבחן</w:t>
      </w:r>
      <w:r>
        <w:rPr>
          <w:rFonts w:ascii="Arial" w:hAnsi="Arial" w:hint="cs"/>
          <w:rtl/>
        </w:rPr>
        <w:t xml:space="preserve"> (ראו הגדרת המונח "מוסד" </w:t>
      </w:r>
      <w:hyperlink r:id="rId25" w:history="1">
        <w:r w:rsidR="00603CDD" w:rsidRPr="00603CDD">
          <w:rPr>
            <w:rFonts w:ascii="Arial" w:hAnsi="Arial"/>
            <w:color w:val="0000FF"/>
            <w:u w:val="single"/>
            <w:rtl/>
          </w:rPr>
          <w:t>בסעיף 1</w:t>
        </w:r>
      </w:hyperlink>
      <w:r>
        <w:rPr>
          <w:rFonts w:ascii="Arial" w:hAnsi="Arial" w:hint="cs"/>
          <w:rtl/>
        </w:rPr>
        <w:t xml:space="preserve"> ל</w:t>
      </w:r>
      <w:hyperlink r:id="rId26" w:history="1">
        <w:r w:rsidR="00663B92" w:rsidRPr="00663B92">
          <w:rPr>
            <w:rStyle w:val="Hyperlink"/>
            <w:rFonts w:ascii="Arial" w:hAnsi="Arial" w:hint="eastAsia"/>
            <w:rtl/>
          </w:rPr>
          <w:t>חוק</w:t>
        </w:r>
        <w:r w:rsidR="00663B92" w:rsidRPr="00663B92">
          <w:rPr>
            <w:rStyle w:val="Hyperlink"/>
            <w:rFonts w:ascii="Arial" w:hAnsi="Arial"/>
            <w:rtl/>
          </w:rPr>
          <w:t xml:space="preserve"> הפיקוח על מוסדות לטיפול במשתמשים בסמים</w:t>
        </w:r>
      </w:hyperlink>
      <w:r>
        <w:rPr>
          <w:rFonts w:ascii="Arial" w:hAnsi="Arial" w:hint="cs"/>
          <w:rtl/>
        </w:rPr>
        <w:t xml:space="preserve">, התשנ"ג-1993, החלה בענייננו מכוח הוראת </w:t>
      </w:r>
      <w:hyperlink r:id="rId27" w:history="1">
        <w:r w:rsidR="00603CDD" w:rsidRPr="00603CDD">
          <w:rPr>
            <w:rFonts w:ascii="Arial" w:hAnsi="Arial"/>
            <w:color w:val="0000FF"/>
            <w:u w:val="single"/>
            <w:rtl/>
          </w:rPr>
          <w:t>סעיף 85(ד)</w:t>
        </w:r>
      </w:hyperlink>
      <w:r>
        <w:rPr>
          <w:rFonts w:ascii="Arial" w:hAnsi="Arial" w:hint="cs"/>
          <w:rtl/>
        </w:rPr>
        <w:t xml:space="preserve"> לחוק העונשין). ניתן אפוא להעלות על הדעת מקרים, חריגים בהכרח, בהם יציג הנאשם טיפול מוצלח למשתמשים בסמים שאינו בחסות המדינה, ויוכיח המקרה שלפנינו, בו שולב הנאשם בטיפול מוצלח ויעיל במוסד שאינו בחסות המדינה והסיבה בעטיה לא שולב במסגרת מוכרת לשירותי הרווחה  היא רק משום החוסר במסגרות מוכרות בסביבת מגוריו. </w:t>
      </w:r>
    </w:p>
    <w:p w14:paraId="5DB20C96" w14:textId="77777777" w:rsidR="007D527F" w:rsidRDefault="007D527F" w:rsidP="007D527F">
      <w:pPr>
        <w:pStyle w:val="ListParagraph"/>
        <w:spacing w:line="360" w:lineRule="auto"/>
        <w:ind w:left="0" w:firstLine="720"/>
        <w:jc w:val="both"/>
        <w:rPr>
          <w:rFonts w:ascii="Arial" w:hAnsi="Arial"/>
          <w:rtl/>
        </w:rPr>
      </w:pPr>
    </w:p>
    <w:p w14:paraId="1299BB59" w14:textId="77777777" w:rsidR="007D527F" w:rsidRDefault="007D527F" w:rsidP="007D527F">
      <w:pPr>
        <w:pStyle w:val="ListParagraph"/>
        <w:spacing w:line="360" w:lineRule="auto"/>
        <w:ind w:left="0" w:firstLine="720"/>
        <w:jc w:val="both"/>
        <w:rPr>
          <w:rFonts w:ascii="Arial" w:hAnsi="Arial"/>
          <w:rtl/>
        </w:rPr>
      </w:pPr>
      <w:r>
        <w:rPr>
          <w:rFonts w:ascii="Arial" w:hAnsi="Arial" w:hint="cs"/>
          <w:rtl/>
        </w:rPr>
        <w:t xml:space="preserve">אוסיף, כי אין בסעיף מגבלה לפיה שירות המבחן חייב להמליץ על הארכת המאסר על-תנאי. </w:t>
      </w:r>
      <w:hyperlink r:id="rId28" w:history="1">
        <w:r w:rsidR="00603CDD" w:rsidRPr="00603CDD">
          <w:rPr>
            <w:rFonts w:ascii="Arial" w:hAnsi="Arial"/>
            <w:color w:val="0000FF"/>
            <w:u w:val="single"/>
            <w:rtl/>
          </w:rPr>
          <w:t>סעיף 85</w:t>
        </w:r>
      </w:hyperlink>
      <w:r>
        <w:rPr>
          <w:rFonts w:ascii="Arial" w:hAnsi="Arial" w:hint="cs"/>
          <w:rtl/>
        </w:rPr>
        <w:t xml:space="preserve"> ל</w:t>
      </w:r>
      <w:hyperlink r:id="rId29" w:history="1">
        <w:r w:rsidR="00663B92" w:rsidRPr="00663B92">
          <w:rPr>
            <w:rStyle w:val="Hyperlink"/>
            <w:rFonts w:ascii="Arial" w:hAnsi="Arial" w:hint="eastAsia"/>
            <w:rtl/>
          </w:rPr>
          <w:t>חוק</w:t>
        </w:r>
        <w:r w:rsidR="00663B92" w:rsidRPr="00663B92">
          <w:rPr>
            <w:rStyle w:val="Hyperlink"/>
            <w:rFonts w:ascii="Arial" w:hAnsi="Arial"/>
            <w:rtl/>
          </w:rPr>
          <w:t xml:space="preserve"> העונשין</w:t>
        </w:r>
      </w:hyperlink>
      <w:r>
        <w:rPr>
          <w:rFonts w:ascii="Arial" w:hAnsi="Arial" w:hint="cs"/>
          <w:rtl/>
        </w:rPr>
        <w:t xml:space="preserve"> אכן מחייב את בית המשפט לבקש תסקיר מבחן על הנאשם, על מצב התקדמותו בטיפול וכן, אם הוא מקבל טיפול במוסד, על המוסד שבו הוא מטופל. הסעיף גם מחייב את בית המשפט המחליט להאריך פעם נוספת את המאסר על-תנאי ללוות את ההארכה בצו מבחן. עם זה, הסעיף אינו מחייב את בית המשפט לנהוג בהתאם להמלצת שירות המבחן, וניתן להעלות על הדעת מקרים, חריגים בהכרח, בהם יעשה בית המשפט שימוש בסמכותו לפי </w:t>
      </w:r>
      <w:hyperlink r:id="rId30" w:history="1">
        <w:r w:rsidR="00603CDD" w:rsidRPr="00603CDD">
          <w:rPr>
            <w:rFonts w:ascii="Arial" w:hAnsi="Arial"/>
            <w:color w:val="0000FF"/>
            <w:u w:val="single"/>
            <w:rtl/>
          </w:rPr>
          <w:t>סעיף 85</w:t>
        </w:r>
      </w:hyperlink>
      <w:r>
        <w:rPr>
          <w:rFonts w:ascii="Arial" w:hAnsi="Arial" w:hint="cs"/>
          <w:rtl/>
        </w:rPr>
        <w:t xml:space="preserve"> ל</w:t>
      </w:r>
      <w:hyperlink r:id="rId31" w:history="1">
        <w:r w:rsidR="00663B92" w:rsidRPr="00663B92">
          <w:rPr>
            <w:rStyle w:val="Hyperlink"/>
            <w:rFonts w:ascii="Arial" w:hAnsi="Arial" w:hint="eastAsia"/>
            <w:rtl/>
          </w:rPr>
          <w:t>חוק</w:t>
        </w:r>
        <w:r w:rsidR="00663B92" w:rsidRPr="00663B92">
          <w:rPr>
            <w:rStyle w:val="Hyperlink"/>
            <w:rFonts w:ascii="Arial" w:hAnsi="Arial"/>
            <w:rtl/>
          </w:rPr>
          <w:t xml:space="preserve"> העונשין</w:t>
        </w:r>
      </w:hyperlink>
      <w:r>
        <w:rPr>
          <w:rFonts w:ascii="Arial" w:hAnsi="Arial" w:hint="cs"/>
          <w:rtl/>
        </w:rPr>
        <w:t xml:space="preserve"> שלא בהתאם להמלצת שירות המבחן.</w:t>
      </w:r>
    </w:p>
    <w:p w14:paraId="2EB50B8B" w14:textId="77777777" w:rsidR="007D527F" w:rsidRDefault="007D527F" w:rsidP="007D527F">
      <w:pPr>
        <w:pStyle w:val="ListParagraph"/>
        <w:spacing w:line="360" w:lineRule="auto"/>
        <w:ind w:left="0" w:firstLine="720"/>
        <w:jc w:val="both"/>
        <w:rPr>
          <w:rFonts w:ascii="Arial" w:hAnsi="Arial"/>
          <w:rtl/>
        </w:rPr>
      </w:pPr>
    </w:p>
    <w:p w14:paraId="72888E89" w14:textId="77777777" w:rsidR="007D527F" w:rsidRPr="00A45B0D" w:rsidRDefault="007D527F" w:rsidP="007D527F">
      <w:pPr>
        <w:pStyle w:val="ListParagraph"/>
        <w:numPr>
          <w:ilvl w:val="0"/>
          <w:numId w:val="1"/>
        </w:numPr>
        <w:spacing w:line="360" w:lineRule="auto"/>
        <w:ind w:left="0" w:firstLine="0"/>
        <w:jc w:val="both"/>
        <w:rPr>
          <w:rFonts w:ascii="Arial" w:hAnsi="Arial"/>
          <w:rtl/>
        </w:rPr>
      </w:pPr>
      <w:r>
        <w:rPr>
          <w:rFonts w:ascii="Arial" w:hAnsi="Arial" w:hint="cs"/>
          <w:rtl/>
        </w:rPr>
        <w:t>ראינו כי הנאשם עבר תקופה ממושכת ועובר גם היום טיפול מוצלח למשתמשים בסמים. התרשמתי, וזו אף הייתה התרשמותו של שירות המבחן, כי יש סיכוי לשיקומו. התרשמתי כי הפעלת המאסר על-תנאי, ולוּ בדרך של עבודות שירות, תסב לו נזק חמור, שכן משמעות הדבר תהיה קטיעת ההליך הטיפולי המוצלח במסגרת "התחלה חדשה" וגדיעת היכולת שלו לעבוד ולהתפרנס. נוכח העובדה כי הנאשם לא חטא בגידול סם לצרכים החורגים משימושו הפרטי, התרשמתי גם שאין סיכון לשלום הציבור בשל הארכת התנאי.</w:t>
      </w:r>
    </w:p>
    <w:p w14:paraId="7BD12310" w14:textId="77777777" w:rsidR="007D527F" w:rsidRDefault="007D527F" w:rsidP="007D527F">
      <w:pPr>
        <w:pStyle w:val="ListParagraph"/>
        <w:spacing w:line="360" w:lineRule="auto"/>
        <w:ind w:left="0" w:firstLine="720"/>
        <w:jc w:val="both"/>
        <w:rPr>
          <w:rFonts w:ascii="Arial" w:hAnsi="Arial"/>
          <w:rtl/>
        </w:rPr>
      </w:pPr>
    </w:p>
    <w:p w14:paraId="213B2269" w14:textId="77777777" w:rsidR="007D527F" w:rsidRDefault="007D527F" w:rsidP="007D527F">
      <w:pPr>
        <w:pStyle w:val="ListParagraph"/>
        <w:spacing w:line="360" w:lineRule="auto"/>
        <w:ind w:left="0" w:firstLine="720"/>
        <w:jc w:val="both"/>
        <w:rPr>
          <w:rFonts w:ascii="Arial" w:hAnsi="Arial"/>
          <w:rtl/>
        </w:rPr>
      </w:pPr>
      <w:r>
        <w:rPr>
          <w:rFonts w:ascii="Arial" w:hAnsi="Arial" w:hint="cs"/>
          <w:rtl/>
        </w:rPr>
        <w:t>על כל אלה יש להוסיף כי, לטעמי, המאסר על-תנאי שנגזר על הנאשם מלכתחילה היה ארוך מדי בהתחשב כך שמפעילה אותו כל עבירת סם, גם כזו שנעברה לצריכה עצמית בלבד.</w:t>
      </w:r>
    </w:p>
    <w:p w14:paraId="74A3EAE3" w14:textId="77777777" w:rsidR="007D527F" w:rsidRDefault="007D527F" w:rsidP="007D527F">
      <w:pPr>
        <w:pStyle w:val="ListParagraph"/>
        <w:spacing w:line="360" w:lineRule="auto"/>
        <w:ind w:left="0" w:firstLine="720"/>
        <w:jc w:val="both"/>
        <w:rPr>
          <w:rFonts w:ascii="Arial" w:hAnsi="Arial"/>
          <w:rtl/>
        </w:rPr>
      </w:pPr>
    </w:p>
    <w:p w14:paraId="4F76F103" w14:textId="77777777" w:rsidR="007D527F" w:rsidRDefault="007D527F" w:rsidP="007D527F">
      <w:pPr>
        <w:pStyle w:val="ListParagraph"/>
        <w:numPr>
          <w:ilvl w:val="0"/>
          <w:numId w:val="1"/>
        </w:numPr>
        <w:spacing w:line="360" w:lineRule="auto"/>
        <w:ind w:left="0" w:firstLine="0"/>
        <w:jc w:val="both"/>
        <w:rPr>
          <w:rFonts w:ascii="Arial" w:hAnsi="Arial"/>
          <w:rtl/>
        </w:rPr>
      </w:pPr>
      <w:r>
        <w:rPr>
          <w:rFonts w:ascii="Arial" w:hAnsi="Arial" w:hint="cs"/>
          <w:rtl/>
        </w:rPr>
        <w:t xml:space="preserve">במצב דברים זה החלטתי לעשות שימוש בסמכותי </w:t>
      </w:r>
      <w:hyperlink r:id="rId32" w:history="1">
        <w:r w:rsidR="00603CDD" w:rsidRPr="00603CDD">
          <w:rPr>
            <w:rFonts w:ascii="Arial" w:hAnsi="Arial"/>
            <w:color w:val="0000FF"/>
            <w:u w:val="single"/>
            <w:rtl/>
          </w:rPr>
          <w:t>בסעיף 85</w:t>
        </w:r>
      </w:hyperlink>
      <w:r>
        <w:rPr>
          <w:rFonts w:ascii="Arial" w:hAnsi="Arial" w:hint="cs"/>
          <w:rtl/>
        </w:rPr>
        <w:t xml:space="preserve"> ל</w:t>
      </w:r>
      <w:hyperlink r:id="rId33" w:history="1">
        <w:r w:rsidR="00663B92" w:rsidRPr="00663B92">
          <w:rPr>
            <w:rStyle w:val="Hyperlink"/>
            <w:rFonts w:ascii="Arial" w:hAnsi="Arial" w:hint="eastAsia"/>
            <w:rtl/>
          </w:rPr>
          <w:t>חוק</w:t>
        </w:r>
        <w:r w:rsidR="00663B92" w:rsidRPr="00663B92">
          <w:rPr>
            <w:rStyle w:val="Hyperlink"/>
            <w:rFonts w:ascii="Arial" w:hAnsi="Arial"/>
            <w:rtl/>
          </w:rPr>
          <w:t xml:space="preserve"> העונשין</w:t>
        </w:r>
      </w:hyperlink>
      <w:r>
        <w:rPr>
          <w:rFonts w:ascii="Arial" w:hAnsi="Arial" w:hint="cs"/>
          <w:rtl/>
        </w:rPr>
        <w:t xml:space="preserve">. </w:t>
      </w:r>
      <w:r w:rsidRPr="006D629D">
        <w:rPr>
          <w:rFonts w:ascii="Arial" w:hAnsi="Arial" w:hint="cs"/>
          <w:u w:val="single"/>
          <w:rtl/>
        </w:rPr>
        <w:t>אני מחדש את תוקף המאסר על-תנאי בן ששת החודשים</w:t>
      </w:r>
      <w:r>
        <w:rPr>
          <w:rFonts w:ascii="Arial" w:hAnsi="Arial" w:hint="cs"/>
          <w:rtl/>
        </w:rPr>
        <w:t>, שגזר על הנאשם בית משפט זה (כב' השופט גולדס) ב</w:t>
      </w:r>
      <w:hyperlink r:id="rId34" w:history="1">
        <w:r w:rsidR="00663B92" w:rsidRPr="00663B92">
          <w:rPr>
            <w:rStyle w:val="Hyperlink"/>
            <w:rFonts w:ascii="Arial" w:hAnsi="Arial" w:hint="eastAsia"/>
            <w:rtl/>
          </w:rPr>
          <w:t>ת</w:t>
        </w:r>
        <w:r w:rsidR="00663B92" w:rsidRPr="00663B92">
          <w:rPr>
            <w:rStyle w:val="Hyperlink"/>
            <w:rFonts w:ascii="Arial" w:hAnsi="Arial"/>
            <w:rtl/>
          </w:rPr>
          <w:t>"פ 42418-05-10</w:t>
        </w:r>
      </w:hyperlink>
      <w:r>
        <w:rPr>
          <w:rFonts w:ascii="Arial" w:hAnsi="Arial" w:hint="cs"/>
          <w:rtl/>
        </w:rPr>
        <w:t xml:space="preserve"> ביום 16.3.2011, ואשר הוארך על ידי בית משפט זה (כב' השופט פרייז) ב</w:t>
      </w:r>
      <w:hyperlink r:id="rId35" w:history="1">
        <w:r w:rsidR="00663B92" w:rsidRPr="00663B92">
          <w:rPr>
            <w:rStyle w:val="Hyperlink"/>
            <w:rFonts w:ascii="Arial" w:hAnsi="Arial" w:hint="eastAsia"/>
            <w:rtl/>
          </w:rPr>
          <w:t>ת</w:t>
        </w:r>
        <w:r w:rsidR="00663B92" w:rsidRPr="00663B92">
          <w:rPr>
            <w:rStyle w:val="Hyperlink"/>
            <w:rFonts w:ascii="Arial" w:hAnsi="Arial"/>
            <w:rtl/>
          </w:rPr>
          <w:t>"פ 62370-10-13</w:t>
        </w:r>
      </w:hyperlink>
      <w:r>
        <w:rPr>
          <w:rFonts w:ascii="Arial" w:hAnsi="Arial" w:hint="cs"/>
          <w:rtl/>
        </w:rPr>
        <w:t xml:space="preserve"> ביום 30.12.2014, </w:t>
      </w:r>
      <w:r w:rsidRPr="006D629D">
        <w:rPr>
          <w:rFonts w:ascii="Arial" w:hAnsi="Arial" w:hint="cs"/>
          <w:u w:val="single"/>
          <w:rtl/>
        </w:rPr>
        <w:t>לשנה נוספת</w:t>
      </w:r>
      <w:r>
        <w:rPr>
          <w:rFonts w:ascii="Arial" w:hAnsi="Arial" w:hint="cs"/>
          <w:rtl/>
        </w:rPr>
        <w:t xml:space="preserve">. </w:t>
      </w:r>
    </w:p>
    <w:p w14:paraId="2108E552" w14:textId="77777777" w:rsidR="007D527F" w:rsidRDefault="007D527F" w:rsidP="007D527F">
      <w:pPr>
        <w:pStyle w:val="ListParagraph"/>
        <w:spacing w:line="360" w:lineRule="auto"/>
        <w:ind w:left="0" w:firstLine="720"/>
        <w:jc w:val="both"/>
        <w:rPr>
          <w:rFonts w:ascii="Arial" w:hAnsi="Arial"/>
          <w:rtl/>
        </w:rPr>
      </w:pPr>
    </w:p>
    <w:p w14:paraId="6D523D79" w14:textId="77777777" w:rsidR="007D527F" w:rsidRDefault="007D527F" w:rsidP="007D527F">
      <w:pPr>
        <w:pStyle w:val="ListParagraph"/>
        <w:spacing w:line="360" w:lineRule="auto"/>
        <w:ind w:left="0" w:firstLine="720"/>
        <w:jc w:val="both"/>
        <w:rPr>
          <w:rFonts w:ascii="Arial" w:hAnsi="Arial"/>
          <w:rtl/>
        </w:rPr>
      </w:pPr>
      <w:r>
        <w:rPr>
          <w:rFonts w:ascii="Arial" w:hAnsi="Arial" w:hint="cs"/>
          <w:rtl/>
        </w:rPr>
        <w:t xml:space="preserve">בשל אותם טעמי שיקום שהוזכרו לעיל אני עושה שימוש בסמכותי כאמור </w:t>
      </w:r>
      <w:hyperlink r:id="rId36" w:history="1">
        <w:r w:rsidR="00603CDD" w:rsidRPr="00603CDD">
          <w:rPr>
            <w:rFonts w:ascii="Arial" w:hAnsi="Arial"/>
            <w:color w:val="0000FF"/>
            <w:u w:val="single"/>
            <w:rtl/>
          </w:rPr>
          <w:t>בסעיף 36(ו)</w:t>
        </w:r>
      </w:hyperlink>
      <w:r>
        <w:rPr>
          <w:rFonts w:ascii="Arial" w:hAnsi="Arial" w:hint="cs"/>
          <w:rtl/>
        </w:rPr>
        <w:t xml:space="preserve"> ל</w:t>
      </w:r>
      <w:hyperlink r:id="rId37" w:history="1">
        <w:r w:rsidR="00663B92" w:rsidRPr="00663B92">
          <w:rPr>
            <w:rStyle w:val="Hyperlink"/>
            <w:rFonts w:ascii="Arial" w:hAnsi="Arial" w:hint="eastAsia"/>
            <w:rtl/>
          </w:rPr>
          <w:t>פקודת</w:t>
        </w:r>
        <w:r w:rsidR="00663B92" w:rsidRPr="00663B92">
          <w:rPr>
            <w:rStyle w:val="Hyperlink"/>
            <w:rFonts w:ascii="Arial" w:hAnsi="Arial"/>
            <w:rtl/>
          </w:rPr>
          <w:t xml:space="preserve"> התעבורה</w:t>
        </w:r>
      </w:hyperlink>
      <w:r>
        <w:rPr>
          <w:rFonts w:ascii="Arial" w:hAnsi="Arial" w:hint="cs"/>
          <w:rtl/>
        </w:rPr>
        <w:t xml:space="preserve"> ומאריך את הפסילה על-תנאי בת הששה חודשים שהשית על הנאשם בית משפט זה (כב' השופט פרייז) ב</w:t>
      </w:r>
      <w:hyperlink r:id="rId38" w:history="1">
        <w:r w:rsidR="00663B92" w:rsidRPr="00663B92">
          <w:rPr>
            <w:rStyle w:val="Hyperlink"/>
            <w:rFonts w:ascii="Arial" w:hAnsi="Arial" w:hint="eastAsia"/>
            <w:rtl/>
          </w:rPr>
          <w:t>ת</w:t>
        </w:r>
        <w:r w:rsidR="00663B92" w:rsidRPr="00663B92">
          <w:rPr>
            <w:rStyle w:val="Hyperlink"/>
            <w:rFonts w:ascii="Arial" w:hAnsi="Arial"/>
            <w:rtl/>
          </w:rPr>
          <w:t>"פ 62370-10-13</w:t>
        </w:r>
      </w:hyperlink>
      <w:r>
        <w:rPr>
          <w:rFonts w:ascii="Arial" w:hAnsi="Arial" w:hint="cs"/>
          <w:rtl/>
        </w:rPr>
        <w:t xml:space="preserve"> ביום 30.12.2014 </w:t>
      </w:r>
      <w:r w:rsidRPr="00FD7AE2">
        <w:rPr>
          <w:rFonts w:ascii="Arial" w:hAnsi="Arial" w:hint="cs"/>
          <w:u w:val="single"/>
          <w:rtl/>
        </w:rPr>
        <w:t>בשנה נוספת</w:t>
      </w:r>
      <w:r>
        <w:rPr>
          <w:rFonts w:ascii="Arial" w:hAnsi="Arial" w:hint="cs"/>
          <w:rtl/>
        </w:rPr>
        <w:t>.</w:t>
      </w:r>
    </w:p>
    <w:p w14:paraId="070D3E20" w14:textId="77777777" w:rsidR="007D527F" w:rsidRDefault="007D527F" w:rsidP="007D527F">
      <w:pPr>
        <w:pStyle w:val="ListParagraph"/>
        <w:spacing w:line="360" w:lineRule="auto"/>
        <w:ind w:left="0" w:firstLine="720"/>
        <w:jc w:val="both"/>
        <w:rPr>
          <w:rFonts w:ascii="Arial" w:hAnsi="Arial"/>
          <w:rtl/>
        </w:rPr>
      </w:pPr>
    </w:p>
    <w:p w14:paraId="22150C25" w14:textId="77777777" w:rsidR="007D527F" w:rsidRDefault="007D527F" w:rsidP="007D527F">
      <w:pPr>
        <w:pStyle w:val="ListParagraph"/>
        <w:spacing w:line="360" w:lineRule="auto"/>
        <w:ind w:left="0" w:firstLine="720"/>
        <w:jc w:val="both"/>
        <w:rPr>
          <w:rFonts w:ascii="Arial" w:hAnsi="Arial"/>
          <w:rtl/>
        </w:rPr>
      </w:pPr>
      <w:r>
        <w:rPr>
          <w:rFonts w:ascii="Arial" w:hAnsi="Arial" w:hint="cs"/>
          <w:rtl/>
        </w:rPr>
        <w:t>אני גוזר על הנאשם קנס בסך 3,000 ₪ או 30 ימי מאסר תמורתו. הקנס ישתלם בחמישה תשלומים חודשיים, שוים ורצופים, החל ביום 1.5.2017.</w:t>
      </w:r>
    </w:p>
    <w:p w14:paraId="1C7FBBF7" w14:textId="77777777" w:rsidR="007D527F" w:rsidRDefault="007D527F" w:rsidP="007D527F">
      <w:pPr>
        <w:pStyle w:val="ListParagraph"/>
        <w:spacing w:line="360" w:lineRule="auto"/>
        <w:ind w:left="0" w:firstLine="720"/>
        <w:jc w:val="both"/>
        <w:rPr>
          <w:rFonts w:ascii="Arial" w:hAnsi="Arial"/>
          <w:rtl/>
        </w:rPr>
      </w:pPr>
    </w:p>
    <w:p w14:paraId="6B5AA202" w14:textId="77777777" w:rsidR="007D527F" w:rsidRDefault="007D527F" w:rsidP="007D527F">
      <w:pPr>
        <w:pStyle w:val="ListParagraph"/>
        <w:spacing w:line="360" w:lineRule="auto"/>
        <w:ind w:left="0" w:firstLine="720"/>
        <w:jc w:val="both"/>
        <w:rPr>
          <w:rFonts w:ascii="Arial" w:hAnsi="Arial"/>
          <w:rtl/>
        </w:rPr>
      </w:pPr>
      <w:r>
        <w:rPr>
          <w:rFonts w:ascii="Arial" w:hAnsi="Arial" w:hint="cs"/>
          <w:rtl/>
        </w:rPr>
        <w:t xml:space="preserve">אני מוציא נגד הנאשם צו מבחן למשך 18 חודשים, בתנאי שימשיך את הטיפול במסגרת "התחלה חדשה". הסברתי לנאשם כי אם לא יישמע להוראות קצין המבחן ולא יעמוד בתנאי הפיקוח </w:t>
      </w:r>
      <w:r>
        <w:rPr>
          <w:rFonts w:ascii="Arial" w:hAnsi="Arial"/>
          <w:rtl/>
        </w:rPr>
        <w:t>–</w:t>
      </w:r>
      <w:r>
        <w:rPr>
          <w:rFonts w:ascii="Arial" w:hAnsi="Arial" w:hint="cs"/>
          <w:rtl/>
        </w:rPr>
        <w:t xml:space="preserve"> ניתן יהיה להשיבו לבית המשפט ולהחמיר את עונשו.</w:t>
      </w:r>
    </w:p>
    <w:p w14:paraId="0F06182C" w14:textId="77777777" w:rsidR="007D527F" w:rsidRDefault="007D527F" w:rsidP="007D527F">
      <w:pPr>
        <w:pStyle w:val="ListParagraph"/>
        <w:spacing w:line="360" w:lineRule="auto"/>
        <w:ind w:left="0" w:firstLine="720"/>
        <w:jc w:val="both"/>
        <w:rPr>
          <w:rFonts w:ascii="Arial" w:hAnsi="Arial"/>
          <w:rtl/>
        </w:rPr>
      </w:pPr>
    </w:p>
    <w:p w14:paraId="77DA03C2" w14:textId="77777777" w:rsidR="007D527F" w:rsidRPr="00FD7AE2" w:rsidRDefault="007D527F" w:rsidP="007D527F">
      <w:pPr>
        <w:pStyle w:val="ListParagraph"/>
        <w:numPr>
          <w:ilvl w:val="0"/>
          <w:numId w:val="1"/>
        </w:numPr>
        <w:spacing w:line="360" w:lineRule="auto"/>
        <w:ind w:left="0" w:firstLine="0"/>
        <w:jc w:val="both"/>
        <w:rPr>
          <w:rFonts w:ascii="Arial" w:hAnsi="Arial"/>
          <w:rtl/>
        </w:rPr>
      </w:pPr>
      <w:r>
        <w:rPr>
          <w:rFonts w:ascii="Arial" w:hAnsi="Arial" w:hint="cs"/>
          <w:rtl/>
        </w:rPr>
        <w:t xml:space="preserve">ניתן צו להשמדת הסמים ויתר המוצגים שהזכירה התובעת בטיעוניה (עמ' 9 שורה 8), אשר ייכנס לתוקף בחלוף המועד החוקי להגשת ערעור, ואם יוגש ערעור </w:t>
      </w:r>
      <w:r>
        <w:rPr>
          <w:rFonts w:ascii="Arial" w:hAnsi="Arial"/>
          <w:rtl/>
        </w:rPr>
        <w:t>–</w:t>
      </w:r>
      <w:r>
        <w:rPr>
          <w:rFonts w:ascii="Arial" w:hAnsi="Arial" w:hint="cs"/>
          <w:rtl/>
        </w:rPr>
        <w:t xml:space="preserve"> לאחר מתן פסק הדין בו.</w:t>
      </w:r>
    </w:p>
    <w:p w14:paraId="01CF1707" w14:textId="77777777" w:rsidR="007D527F" w:rsidRDefault="007D527F" w:rsidP="007D527F">
      <w:pPr>
        <w:pStyle w:val="ListParagraph"/>
        <w:spacing w:line="360" w:lineRule="auto"/>
        <w:ind w:left="0" w:firstLine="720"/>
        <w:jc w:val="both"/>
        <w:rPr>
          <w:rFonts w:ascii="Arial" w:hAnsi="Arial"/>
          <w:rtl/>
        </w:rPr>
      </w:pPr>
    </w:p>
    <w:p w14:paraId="00B30A3D" w14:textId="77777777" w:rsidR="007D527F" w:rsidRPr="00FD7AE2" w:rsidRDefault="007D527F" w:rsidP="007D527F">
      <w:pPr>
        <w:spacing w:line="360" w:lineRule="auto"/>
        <w:jc w:val="both"/>
        <w:rPr>
          <w:rFonts w:ascii="Arial" w:hAnsi="Arial"/>
          <w:b/>
          <w:bCs/>
          <w:rtl/>
        </w:rPr>
      </w:pPr>
      <w:r w:rsidRPr="00FD7AE2">
        <w:rPr>
          <w:rFonts w:ascii="Arial" w:hAnsi="Arial" w:hint="cs"/>
          <w:b/>
          <w:bCs/>
          <w:rtl/>
        </w:rPr>
        <w:t>זכות ערעור לבית המשפט המחוזי תוך 45 יום.</w:t>
      </w:r>
    </w:p>
    <w:p w14:paraId="6F9C7D75" w14:textId="77777777" w:rsidR="007D527F" w:rsidRPr="00A45B0D" w:rsidRDefault="007D527F" w:rsidP="007D527F">
      <w:pPr>
        <w:pStyle w:val="ListParagraph"/>
        <w:spacing w:line="360" w:lineRule="auto"/>
        <w:ind w:left="0" w:firstLine="720"/>
        <w:jc w:val="both"/>
        <w:rPr>
          <w:rFonts w:ascii="Arial" w:hAnsi="Arial"/>
          <w:rtl/>
        </w:rPr>
      </w:pPr>
    </w:p>
    <w:p w14:paraId="6185E449" w14:textId="77777777" w:rsidR="007D527F" w:rsidRPr="00D16BE6" w:rsidRDefault="00663B92" w:rsidP="007D527F">
      <w:pPr>
        <w:rPr>
          <w:sz w:val="28"/>
          <w:szCs w:val="28"/>
          <w:rtl/>
        </w:rPr>
      </w:pPr>
      <w:r w:rsidRPr="00663B92">
        <w:rPr>
          <w:rFonts w:ascii="Arial" w:hAnsi="Arial"/>
          <w:color w:val="FFFFFF"/>
          <w:sz w:val="2"/>
          <w:szCs w:val="2"/>
          <w:rtl/>
        </w:rPr>
        <w:t>5129371</w:t>
      </w:r>
      <w:r>
        <w:rPr>
          <w:rFonts w:ascii="Arial" w:hAnsi="Arial"/>
          <w:sz w:val="26"/>
          <w:szCs w:val="26"/>
          <w:rtl/>
        </w:rPr>
        <w:t xml:space="preserve">ניתן היום,  י"ז אדר תשע"ז, 15 מרץ 2017, במעמד הנוכחים. </w:t>
      </w:r>
    </w:p>
    <w:p w14:paraId="6893BC2E" w14:textId="77777777" w:rsidR="007D527F" w:rsidRPr="00663B92" w:rsidRDefault="00663B92" w:rsidP="007D527F">
      <w:pPr>
        <w:jc w:val="center"/>
        <w:rPr>
          <w:color w:val="FFFFFF"/>
          <w:sz w:val="2"/>
          <w:szCs w:val="2"/>
        </w:rPr>
      </w:pPr>
      <w:r w:rsidRPr="00663B92">
        <w:rPr>
          <w:rFonts w:ascii="Arial" w:hAnsi="Arial"/>
          <w:color w:val="FFFFFF"/>
          <w:sz w:val="2"/>
          <w:szCs w:val="2"/>
          <w:rtl/>
        </w:rPr>
        <w:t>54678313</w:t>
      </w:r>
      <w:r w:rsidR="007D527F" w:rsidRPr="00663B92">
        <w:rPr>
          <w:rFonts w:ascii="Arial" w:hAnsi="Arial" w:hint="cs"/>
          <w:color w:val="FFFFFF"/>
          <w:sz w:val="2"/>
          <w:szCs w:val="2"/>
          <w:rtl/>
        </w:rPr>
        <w:t xml:space="preserve">                                                                         </w:t>
      </w:r>
    </w:p>
    <w:p w14:paraId="06A70DA0" w14:textId="77777777" w:rsidR="007D527F" w:rsidRPr="00D16BE6" w:rsidRDefault="007D527F" w:rsidP="007D527F">
      <w:pPr>
        <w:jc w:val="center"/>
        <w:rPr>
          <w:rFonts w:ascii="Arial" w:hAnsi="Arial"/>
          <w:sz w:val="28"/>
          <w:szCs w:val="28"/>
          <w:rtl/>
        </w:rPr>
      </w:pPr>
    </w:p>
    <w:p w14:paraId="51C26F97" w14:textId="77777777" w:rsidR="007D527F" w:rsidRPr="00D16BE6" w:rsidRDefault="007D527F" w:rsidP="007D527F">
      <w:pPr>
        <w:rPr>
          <w:sz w:val="28"/>
          <w:szCs w:val="28"/>
          <w:rtl/>
        </w:rPr>
      </w:pPr>
    </w:p>
    <w:p w14:paraId="2B3FE41A" w14:textId="77777777" w:rsidR="007D527F" w:rsidRPr="00D16BE6" w:rsidRDefault="007D527F" w:rsidP="007D527F">
      <w:pPr>
        <w:pStyle w:val="a3"/>
        <w:jc w:val="center"/>
        <w:rPr>
          <w:rtl/>
        </w:rPr>
      </w:pPr>
    </w:p>
    <w:p w14:paraId="4D1E70AB" w14:textId="77777777" w:rsidR="007D527F" w:rsidRPr="00603CDD" w:rsidRDefault="00603CDD" w:rsidP="007D527F">
      <w:pPr>
        <w:rPr>
          <w:rFonts w:ascii="Arial" w:hAnsi="Arial" w:cs="FrankRuehl"/>
          <w:color w:val="FFFFFF"/>
          <w:sz w:val="2"/>
          <w:szCs w:val="2"/>
        </w:rPr>
      </w:pPr>
      <w:r w:rsidRPr="00603CDD">
        <w:rPr>
          <w:rFonts w:ascii="Arial" w:hAnsi="Arial" w:cs="FrankRuehl"/>
          <w:color w:val="FFFFFF"/>
          <w:sz w:val="2"/>
          <w:szCs w:val="2"/>
          <w:rtl/>
        </w:rPr>
        <w:t>5129371</w:t>
      </w:r>
    </w:p>
    <w:p w14:paraId="23D524F1" w14:textId="77777777" w:rsidR="00663B92" w:rsidRPr="00603CDD" w:rsidRDefault="00603CDD" w:rsidP="00663B92">
      <w:pPr>
        <w:keepNext/>
        <w:rPr>
          <w:rFonts w:ascii="David" w:hAnsi="David"/>
          <w:color w:val="FFFFFF"/>
          <w:sz w:val="2"/>
          <w:szCs w:val="2"/>
          <w:rtl/>
        </w:rPr>
      </w:pPr>
      <w:r w:rsidRPr="00603CDD">
        <w:rPr>
          <w:rFonts w:ascii="David" w:hAnsi="David"/>
          <w:color w:val="FFFFFF"/>
          <w:sz w:val="2"/>
          <w:szCs w:val="2"/>
          <w:rtl/>
        </w:rPr>
        <w:t>54678313</w:t>
      </w:r>
    </w:p>
    <w:p w14:paraId="42F6FCB4" w14:textId="77777777" w:rsidR="00663B92" w:rsidRPr="00663B92" w:rsidRDefault="00663B92" w:rsidP="00663B92">
      <w:pPr>
        <w:keepNext/>
        <w:rPr>
          <w:rFonts w:ascii="David" w:hAnsi="David"/>
          <w:color w:val="000000"/>
          <w:sz w:val="22"/>
          <w:szCs w:val="22"/>
          <w:rtl/>
        </w:rPr>
      </w:pPr>
      <w:r w:rsidRPr="00663B92">
        <w:rPr>
          <w:rFonts w:ascii="David" w:hAnsi="David"/>
          <w:color w:val="000000"/>
          <w:sz w:val="22"/>
          <w:szCs w:val="22"/>
          <w:rtl/>
        </w:rPr>
        <w:t>מיכאל קרשן 54678313</w:t>
      </w:r>
    </w:p>
    <w:p w14:paraId="1849665A" w14:textId="77777777" w:rsidR="00663B92" w:rsidRDefault="00663B92" w:rsidP="00663B92">
      <w:pPr>
        <w:rPr>
          <w:color w:val="000000"/>
          <w:rtl/>
        </w:rPr>
      </w:pPr>
      <w:r w:rsidRPr="00663B92">
        <w:rPr>
          <w:color w:val="000000"/>
          <w:rtl/>
        </w:rPr>
        <w:t>נוסח מסמך זה כפוף לשינויי ניסוח ועריכה</w:t>
      </w:r>
    </w:p>
    <w:p w14:paraId="52E83FD2" w14:textId="77777777" w:rsidR="00663B92" w:rsidRDefault="00663B92" w:rsidP="00663B92">
      <w:pPr>
        <w:rPr>
          <w:rtl/>
        </w:rPr>
      </w:pPr>
    </w:p>
    <w:p w14:paraId="32E52CD0" w14:textId="77777777" w:rsidR="00663B92" w:rsidRDefault="00663B92" w:rsidP="00663B92">
      <w:pPr>
        <w:jc w:val="center"/>
        <w:rPr>
          <w:color w:val="0000FF"/>
          <w:u w:val="single"/>
          <w:rtl/>
        </w:rPr>
      </w:pPr>
      <w:hyperlink r:id="rId39" w:history="1">
        <w:r>
          <w:rPr>
            <w:rStyle w:val="Hyperlink"/>
            <w:rtl/>
          </w:rPr>
          <w:t>בעניין עריכה ושינויים במסמכי פסיקה, חקיקה ועוד באתר נבו – הקש כאן</w:t>
        </w:r>
      </w:hyperlink>
    </w:p>
    <w:p w14:paraId="1CF4F305" w14:textId="77777777" w:rsidR="00603CDD" w:rsidRPr="00603CDD" w:rsidRDefault="00603CDD" w:rsidP="00603CDD">
      <w:pPr>
        <w:keepNext/>
        <w:rPr>
          <w:rFonts w:ascii="David" w:hAnsi="David"/>
          <w:color w:val="000000"/>
          <w:sz w:val="22"/>
          <w:szCs w:val="22"/>
          <w:rtl/>
        </w:rPr>
      </w:pPr>
    </w:p>
    <w:sectPr w:rsidR="00603CDD" w:rsidRPr="00603CDD" w:rsidSect="00603CDD">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30DDB" w14:textId="77777777" w:rsidR="00303CA8" w:rsidRDefault="00303CA8">
      <w:r>
        <w:separator/>
      </w:r>
    </w:p>
  </w:endnote>
  <w:endnote w:type="continuationSeparator" w:id="0">
    <w:p w14:paraId="55D877ED" w14:textId="77777777" w:rsidR="00303CA8" w:rsidRDefault="00303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731C6" w14:textId="77777777" w:rsidR="00303CA8" w:rsidRDefault="00303CA8" w:rsidP="00603CD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58D759D" w14:textId="77777777" w:rsidR="00303CA8" w:rsidRPr="00603CDD" w:rsidRDefault="00303CA8" w:rsidP="00603CDD">
    <w:pPr>
      <w:pStyle w:val="a4"/>
      <w:pBdr>
        <w:top w:val="single" w:sz="4" w:space="1" w:color="auto"/>
        <w:between w:val="single" w:sz="4" w:space="0" w:color="auto"/>
      </w:pBdr>
      <w:spacing w:after="60"/>
      <w:jc w:val="center"/>
      <w:rPr>
        <w:rFonts w:ascii="FrankRuehl" w:hAnsi="FrankRuehl" w:cs="FrankRuehl"/>
        <w:color w:val="000000"/>
      </w:rPr>
    </w:pPr>
    <w:r w:rsidRPr="00603C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751B6" w14:textId="77777777" w:rsidR="00303CA8" w:rsidRDefault="00303CA8" w:rsidP="00603CD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2300">
      <w:rPr>
        <w:rFonts w:ascii="FrankRuehl" w:hAnsi="FrankRuehl" w:cs="FrankRuehl"/>
        <w:noProof/>
        <w:rtl/>
      </w:rPr>
      <w:t>1</w:t>
    </w:r>
    <w:r>
      <w:rPr>
        <w:rFonts w:ascii="FrankRuehl" w:hAnsi="FrankRuehl" w:cs="FrankRuehl"/>
        <w:rtl/>
      </w:rPr>
      <w:fldChar w:fldCharType="end"/>
    </w:r>
  </w:p>
  <w:p w14:paraId="6C966FBB" w14:textId="77777777" w:rsidR="00303CA8" w:rsidRPr="00603CDD" w:rsidRDefault="00303CA8" w:rsidP="00603CDD">
    <w:pPr>
      <w:pStyle w:val="a4"/>
      <w:pBdr>
        <w:top w:val="single" w:sz="4" w:space="1" w:color="auto"/>
        <w:between w:val="single" w:sz="4" w:space="0" w:color="auto"/>
      </w:pBdr>
      <w:spacing w:after="60"/>
      <w:jc w:val="center"/>
      <w:rPr>
        <w:rFonts w:ascii="FrankRuehl" w:hAnsi="FrankRuehl" w:cs="FrankRuehl"/>
        <w:color w:val="000000"/>
      </w:rPr>
    </w:pPr>
    <w:r w:rsidRPr="00603CDD">
      <w:rPr>
        <w:rFonts w:ascii="FrankRuehl" w:hAnsi="FrankRuehl" w:cs="FrankRuehl"/>
        <w:color w:val="000000"/>
      </w:rPr>
      <w:pict w14:anchorId="36EA3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546BD" w14:textId="77777777" w:rsidR="00303CA8" w:rsidRDefault="00303CA8">
      <w:r>
        <w:separator/>
      </w:r>
    </w:p>
  </w:footnote>
  <w:footnote w:type="continuationSeparator" w:id="0">
    <w:p w14:paraId="67AC3DCF" w14:textId="77777777" w:rsidR="00303CA8" w:rsidRDefault="00303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A8ED4" w14:textId="77777777" w:rsidR="00303CA8" w:rsidRPr="00603CDD" w:rsidRDefault="00303CA8" w:rsidP="00603C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44220-09-15</w:t>
    </w:r>
    <w:r>
      <w:rPr>
        <w:rFonts w:ascii="David" w:hAnsi="David"/>
        <w:color w:val="000000"/>
        <w:sz w:val="22"/>
        <w:szCs w:val="22"/>
        <w:rtl/>
      </w:rPr>
      <w:tab/>
      <w:t xml:space="preserve"> מדינת ישראל נ' אלירן ססי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0A220" w14:textId="77777777" w:rsidR="00303CA8" w:rsidRPr="00603CDD" w:rsidRDefault="00303CA8" w:rsidP="00603C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44220-09-15</w:t>
    </w:r>
    <w:r>
      <w:rPr>
        <w:rFonts w:ascii="David" w:hAnsi="David"/>
        <w:color w:val="000000"/>
        <w:sz w:val="22"/>
        <w:szCs w:val="22"/>
        <w:rtl/>
      </w:rPr>
      <w:tab/>
      <w:t xml:space="preserve"> מדינת ישראל נ' אלירן ססי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31DAC"/>
    <w:multiLevelType w:val="hybridMultilevel"/>
    <w:tmpl w:val="287A1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85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527F"/>
    <w:rsid w:val="00161E93"/>
    <w:rsid w:val="00303CA8"/>
    <w:rsid w:val="00324759"/>
    <w:rsid w:val="005108F0"/>
    <w:rsid w:val="00603CDD"/>
    <w:rsid w:val="00663B92"/>
    <w:rsid w:val="00782CAD"/>
    <w:rsid w:val="007D527F"/>
    <w:rsid w:val="0091237F"/>
    <w:rsid w:val="00CA2300"/>
    <w:rsid w:val="00DA51B9"/>
    <w:rsid w:val="00ED4831"/>
    <w:rsid w:val="00F374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FC7250"/>
  <w15:chartTrackingRefBased/>
  <w15:docId w15:val="{7DDB977A-CAD7-4F58-ABDE-E65AB86E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527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D527F"/>
    <w:pPr>
      <w:tabs>
        <w:tab w:val="center" w:pos="4153"/>
        <w:tab w:val="right" w:pos="8306"/>
      </w:tabs>
    </w:pPr>
  </w:style>
  <w:style w:type="paragraph" w:styleId="a4">
    <w:name w:val="footer"/>
    <w:basedOn w:val="a"/>
    <w:rsid w:val="007D527F"/>
    <w:pPr>
      <w:tabs>
        <w:tab w:val="center" w:pos="4153"/>
        <w:tab w:val="right" w:pos="8306"/>
      </w:tabs>
    </w:pPr>
  </w:style>
  <w:style w:type="character" w:styleId="a5">
    <w:name w:val="page number"/>
    <w:basedOn w:val="a0"/>
    <w:rsid w:val="007D527F"/>
  </w:style>
  <w:style w:type="paragraph" w:customStyle="1" w:styleId="ListParagraph">
    <w:name w:val="List Paragraph"/>
    <w:basedOn w:val="a"/>
    <w:rsid w:val="007D527F"/>
    <w:pPr>
      <w:ind w:left="720"/>
      <w:contextualSpacing/>
    </w:pPr>
  </w:style>
  <w:style w:type="paragraph" w:customStyle="1" w:styleId="P00">
    <w:name w:val="P00"/>
    <w:rsid w:val="007D527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7D527F"/>
    <w:rPr>
      <w:rFonts w:ascii="Times New Roman" w:hAnsi="Times New Roman" w:cs="Times New Roman" w:hint="default"/>
      <w:sz w:val="26"/>
      <w:szCs w:val="26"/>
    </w:rPr>
  </w:style>
  <w:style w:type="character" w:customStyle="1" w:styleId="big-number">
    <w:name w:val="big-number"/>
    <w:rsid w:val="007D527F"/>
    <w:rPr>
      <w:rFonts w:ascii="Times New Roman" w:hAnsi="Times New Roman" w:cs="Times New Roman" w:hint="default"/>
      <w:sz w:val="32"/>
      <w:szCs w:val="32"/>
    </w:rPr>
  </w:style>
  <w:style w:type="character" w:styleId="Hyperlink">
    <w:name w:val="Hyperlink"/>
    <w:basedOn w:val="a0"/>
    <w:rsid w:val="00663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70301/85" TargetMode="External"/><Relationship Id="rId26" Type="http://schemas.openxmlformats.org/officeDocument/2006/relationships/hyperlink" Target="http://www.nevo.co.il/law/4607"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006216"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85"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607"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85" TargetMode="External"/><Relationship Id="rId37" Type="http://schemas.openxmlformats.org/officeDocument/2006/relationships/hyperlink" Target="http://www.nevo.co.il/law/5227"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85" TargetMode="External"/><Relationship Id="rId28" Type="http://schemas.openxmlformats.org/officeDocument/2006/relationships/hyperlink" Target="http://www.nevo.co.il/law/70301/85" TargetMode="External"/><Relationship Id="rId36" Type="http://schemas.openxmlformats.org/officeDocument/2006/relationships/hyperlink" Target="http://www.nevo.co.il/law/5227/36.f" TargetMode="External"/><Relationship Id="rId10" Type="http://schemas.openxmlformats.org/officeDocument/2006/relationships/hyperlink" Target="http://www.nevo.co.il/law/70301/85.d"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85" TargetMode="External"/><Relationship Id="rId14" Type="http://schemas.openxmlformats.org/officeDocument/2006/relationships/hyperlink" Target="http://www.nevo.co.il/law/5227/36.f" TargetMode="External"/><Relationship Id="rId22" Type="http://schemas.openxmlformats.org/officeDocument/2006/relationships/hyperlink" Target="http://www.nevo.co.il/law/4607" TargetMode="External"/><Relationship Id="rId27" Type="http://schemas.openxmlformats.org/officeDocument/2006/relationships/hyperlink" Target="http://www.nevo.co.il/law/70301/85.d" TargetMode="External"/><Relationship Id="rId30" Type="http://schemas.openxmlformats.org/officeDocument/2006/relationships/hyperlink" Target="http://www.nevo.co.il/law/70301/85" TargetMode="External"/><Relationship Id="rId35" Type="http://schemas.openxmlformats.org/officeDocument/2006/relationships/hyperlink" Target="http://www.nevo.co.il/case/8477342" TargetMode="External"/><Relationship Id="rId43"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4607/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607/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8477342" TargetMode="External"/><Relationship Id="rId20" Type="http://schemas.openxmlformats.org/officeDocument/2006/relationships/hyperlink" Target="http://www.nevo.co.il/law/70301/85"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1902</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11394</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4063347</vt:i4>
      </vt:variant>
      <vt:variant>
        <vt:i4>93</vt:i4>
      </vt:variant>
      <vt:variant>
        <vt:i4>0</vt:i4>
      </vt:variant>
      <vt:variant>
        <vt:i4>5</vt:i4>
      </vt:variant>
      <vt:variant>
        <vt:lpwstr>http://www.nevo.co.il/case/8477342</vt:lpwstr>
      </vt:variant>
      <vt:variant>
        <vt:lpwstr/>
      </vt:variant>
      <vt:variant>
        <vt:i4>8323175</vt:i4>
      </vt:variant>
      <vt:variant>
        <vt:i4>90</vt:i4>
      </vt:variant>
      <vt:variant>
        <vt:i4>0</vt:i4>
      </vt:variant>
      <vt:variant>
        <vt:i4>5</vt:i4>
      </vt:variant>
      <vt:variant>
        <vt:lpwstr>http://www.nevo.co.il/law/5227</vt:lpwstr>
      </vt:variant>
      <vt:variant>
        <vt:lpwstr/>
      </vt:variant>
      <vt:variant>
        <vt:i4>6422654</vt:i4>
      </vt:variant>
      <vt:variant>
        <vt:i4>87</vt:i4>
      </vt:variant>
      <vt:variant>
        <vt:i4>0</vt:i4>
      </vt:variant>
      <vt:variant>
        <vt:i4>5</vt:i4>
      </vt:variant>
      <vt:variant>
        <vt:lpwstr>http://www.nevo.co.il/law/5227/36.f</vt:lpwstr>
      </vt:variant>
      <vt:variant>
        <vt:lpwstr/>
      </vt:variant>
      <vt:variant>
        <vt:i4>4063347</vt:i4>
      </vt:variant>
      <vt:variant>
        <vt:i4>84</vt:i4>
      </vt:variant>
      <vt:variant>
        <vt:i4>0</vt:i4>
      </vt:variant>
      <vt:variant>
        <vt:i4>5</vt:i4>
      </vt:variant>
      <vt:variant>
        <vt:lpwstr>http://www.nevo.co.il/case/8477342</vt:lpwstr>
      </vt:variant>
      <vt:variant>
        <vt:lpwstr/>
      </vt:variant>
      <vt:variant>
        <vt:i4>3211379</vt:i4>
      </vt:variant>
      <vt:variant>
        <vt:i4>81</vt:i4>
      </vt:variant>
      <vt:variant>
        <vt:i4>0</vt:i4>
      </vt:variant>
      <vt:variant>
        <vt:i4>5</vt:i4>
      </vt:variant>
      <vt:variant>
        <vt:lpwstr>http://www.nevo.co.il/case/5006216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6291565</vt:i4>
      </vt:variant>
      <vt:variant>
        <vt:i4>75</vt:i4>
      </vt:variant>
      <vt:variant>
        <vt:i4>0</vt:i4>
      </vt:variant>
      <vt:variant>
        <vt:i4>5</vt:i4>
      </vt:variant>
      <vt:variant>
        <vt:lpwstr>http://www.nevo.co.il/law/70301/85</vt:lpwstr>
      </vt:variant>
      <vt:variant>
        <vt:lpwstr/>
      </vt:variant>
      <vt:variant>
        <vt:i4>7995492</vt:i4>
      </vt:variant>
      <vt:variant>
        <vt:i4>72</vt:i4>
      </vt:variant>
      <vt:variant>
        <vt:i4>0</vt:i4>
      </vt:variant>
      <vt:variant>
        <vt:i4>5</vt:i4>
      </vt:variant>
      <vt:variant>
        <vt:lpwstr>http://www.nevo.co.il/law/70301</vt:lpwstr>
      </vt:variant>
      <vt:variant>
        <vt:lpwstr/>
      </vt:variant>
      <vt:variant>
        <vt:i4>6291565</vt:i4>
      </vt:variant>
      <vt:variant>
        <vt:i4>69</vt:i4>
      </vt:variant>
      <vt:variant>
        <vt:i4>0</vt:i4>
      </vt:variant>
      <vt:variant>
        <vt:i4>5</vt:i4>
      </vt:variant>
      <vt:variant>
        <vt:lpwstr>http://www.nevo.co.il/law/70301/85</vt:lpwstr>
      </vt:variant>
      <vt:variant>
        <vt:lpwstr/>
      </vt:variant>
      <vt:variant>
        <vt:i4>7995492</vt:i4>
      </vt:variant>
      <vt:variant>
        <vt:i4>66</vt:i4>
      </vt:variant>
      <vt:variant>
        <vt:i4>0</vt:i4>
      </vt:variant>
      <vt:variant>
        <vt:i4>5</vt:i4>
      </vt:variant>
      <vt:variant>
        <vt:lpwstr>http://www.nevo.co.il/law/70301</vt:lpwstr>
      </vt:variant>
      <vt:variant>
        <vt:lpwstr/>
      </vt:variant>
      <vt:variant>
        <vt:i4>6291565</vt:i4>
      </vt:variant>
      <vt:variant>
        <vt:i4>63</vt:i4>
      </vt:variant>
      <vt:variant>
        <vt:i4>0</vt:i4>
      </vt:variant>
      <vt:variant>
        <vt:i4>5</vt:i4>
      </vt:variant>
      <vt:variant>
        <vt:lpwstr>http://www.nevo.co.il/law/70301/85</vt:lpwstr>
      </vt:variant>
      <vt:variant>
        <vt:lpwstr/>
      </vt:variant>
      <vt:variant>
        <vt:i4>262211</vt:i4>
      </vt:variant>
      <vt:variant>
        <vt:i4>60</vt:i4>
      </vt:variant>
      <vt:variant>
        <vt:i4>0</vt:i4>
      </vt:variant>
      <vt:variant>
        <vt:i4>5</vt:i4>
      </vt:variant>
      <vt:variant>
        <vt:lpwstr>http://www.nevo.co.il/law/70301/85.d</vt:lpwstr>
      </vt:variant>
      <vt:variant>
        <vt:lpwstr/>
      </vt:variant>
      <vt:variant>
        <vt:i4>8061028</vt:i4>
      </vt:variant>
      <vt:variant>
        <vt:i4>57</vt:i4>
      </vt:variant>
      <vt:variant>
        <vt:i4>0</vt:i4>
      </vt:variant>
      <vt:variant>
        <vt:i4>5</vt:i4>
      </vt:variant>
      <vt:variant>
        <vt:lpwstr>http://www.nevo.co.il/law/4607</vt:lpwstr>
      </vt:variant>
      <vt:variant>
        <vt:lpwstr/>
      </vt:variant>
      <vt:variant>
        <vt:i4>4849739</vt:i4>
      </vt:variant>
      <vt:variant>
        <vt:i4>54</vt:i4>
      </vt:variant>
      <vt:variant>
        <vt:i4>0</vt:i4>
      </vt:variant>
      <vt:variant>
        <vt:i4>5</vt:i4>
      </vt:variant>
      <vt:variant>
        <vt:lpwstr>http://www.nevo.co.il/law/4607/1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6291565</vt:i4>
      </vt:variant>
      <vt:variant>
        <vt:i4>48</vt:i4>
      </vt:variant>
      <vt:variant>
        <vt:i4>0</vt:i4>
      </vt:variant>
      <vt:variant>
        <vt:i4>5</vt:i4>
      </vt:variant>
      <vt:variant>
        <vt:lpwstr>http://www.nevo.co.il/law/70301/85</vt:lpwstr>
      </vt:variant>
      <vt:variant>
        <vt:lpwstr/>
      </vt:variant>
      <vt:variant>
        <vt:i4>8061028</vt:i4>
      </vt:variant>
      <vt:variant>
        <vt:i4>45</vt:i4>
      </vt:variant>
      <vt:variant>
        <vt:i4>0</vt:i4>
      </vt:variant>
      <vt:variant>
        <vt:i4>5</vt:i4>
      </vt:variant>
      <vt:variant>
        <vt:lpwstr>http://www.nevo.co.il/law/4607</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6291565</vt:i4>
      </vt:variant>
      <vt:variant>
        <vt:i4>39</vt:i4>
      </vt:variant>
      <vt:variant>
        <vt:i4>0</vt:i4>
      </vt:variant>
      <vt:variant>
        <vt:i4>5</vt:i4>
      </vt:variant>
      <vt:variant>
        <vt:lpwstr>http://www.nevo.co.il/law/70301/85</vt:lpwstr>
      </vt:variant>
      <vt:variant>
        <vt:lpwstr/>
      </vt:variant>
      <vt:variant>
        <vt:i4>7995492</vt:i4>
      </vt:variant>
      <vt:variant>
        <vt:i4>36</vt:i4>
      </vt:variant>
      <vt:variant>
        <vt:i4>0</vt:i4>
      </vt:variant>
      <vt:variant>
        <vt:i4>5</vt:i4>
      </vt:variant>
      <vt:variant>
        <vt:lpwstr>http://www.nevo.co.il/law/70301</vt:lpwstr>
      </vt:variant>
      <vt:variant>
        <vt:lpwstr/>
      </vt:variant>
      <vt:variant>
        <vt:i4>6291565</vt:i4>
      </vt:variant>
      <vt:variant>
        <vt:i4>33</vt:i4>
      </vt:variant>
      <vt:variant>
        <vt:i4>0</vt:i4>
      </vt:variant>
      <vt:variant>
        <vt:i4>5</vt:i4>
      </vt:variant>
      <vt:variant>
        <vt:lpwstr>http://www.nevo.co.il/law/70301/85</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6291565</vt:i4>
      </vt:variant>
      <vt:variant>
        <vt:i4>27</vt:i4>
      </vt:variant>
      <vt:variant>
        <vt:i4>0</vt:i4>
      </vt:variant>
      <vt:variant>
        <vt:i4>5</vt:i4>
      </vt:variant>
      <vt:variant>
        <vt:lpwstr>http://www.nevo.co.il/law/70301/85</vt:lpwstr>
      </vt:variant>
      <vt:variant>
        <vt:lpwstr/>
      </vt:variant>
      <vt:variant>
        <vt:i4>8257637</vt:i4>
      </vt:variant>
      <vt:variant>
        <vt:i4>24</vt:i4>
      </vt:variant>
      <vt:variant>
        <vt:i4>0</vt:i4>
      </vt:variant>
      <vt:variant>
        <vt:i4>5</vt:i4>
      </vt:variant>
      <vt:variant>
        <vt:lpwstr>http://www.nevo.co.il/law/4216</vt:lpwstr>
      </vt:variant>
      <vt:variant>
        <vt:lpwstr/>
      </vt:variant>
      <vt:variant>
        <vt:i4>6422654</vt:i4>
      </vt:variant>
      <vt:variant>
        <vt:i4>21</vt:i4>
      </vt:variant>
      <vt:variant>
        <vt:i4>0</vt:i4>
      </vt:variant>
      <vt:variant>
        <vt:i4>5</vt:i4>
      </vt:variant>
      <vt:variant>
        <vt:lpwstr>http://www.nevo.co.il/law/5227/36.f</vt:lpwstr>
      </vt:variant>
      <vt:variant>
        <vt:lpwstr/>
      </vt:variant>
      <vt:variant>
        <vt:i4>8323175</vt:i4>
      </vt:variant>
      <vt:variant>
        <vt:i4>18</vt:i4>
      </vt:variant>
      <vt:variant>
        <vt:i4>0</vt:i4>
      </vt:variant>
      <vt:variant>
        <vt:i4>5</vt:i4>
      </vt:variant>
      <vt:variant>
        <vt:lpwstr>http://www.nevo.co.il/law/5227</vt:lpwstr>
      </vt:variant>
      <vt:variant>
        <vt:lpwstr/>
      </vt:variant>
      <vt:variant>
        <vt:i4>4849739</vt:i4>
      </vt:variant>
      <vt:variant>
        <vt:i4>15</vt:i4>
      </vt:variant>
      <vt:variant>
        <vt:i4>0</vt:i4>
      </vt:variant>
      <vt:variant>
        <vt:i4>5</vt:i4>
      </vt:variant>
      <vt:variant>
        <vt:lpwstr>http://www.nevo.co.il/law/4607/1</vt:lpwstr>
      </vt:variant>
      <vt:variant>
        <vt:lpwstr/>
      </vt:variant>
      <vt:variant>
        <vt:i4>8061028</vt:i4>
      </vt:variant>
      <vt:variant>
        <vt:i4>12</vt:i4>
      </vt:variant>
      <vt:variant>
        <vt:i4>0</vt:i4>
      </vt:variant>
      <vt:variant>
        <vt:i4>5</vt:i4>
      </vt:variant>
      <vt:variant>
        <vt:lpwstr>http://www.nevo.co.il/law/4607</vt:lpwstr>
      </vt:variant>
      <vt:variant>
        <vt:lpwstr/>
      </vt:variant>
      <vt:variant>
        <vt:i4>262211</vt:i4>
      </vt:variant>
      <vt:variant>
        <vt:i4>9</vt:i4>
      </vt:variant>
      <vt:variant>
        <vt:i4>0</vt:i4>
      </vt:variant>
      <vt:variant>
        <vt:i4>5</vt:i4>
      </vt:variant>
      <vt:variant>
        <vt:lpwstr>http://www.nevo.co.il/law/70301/85.d</vt:lpwstr>
      </vt:variant>
      <vt:variant>
        <vt:lpwstr/>
      </vt:variant>
      <vt:variant>
        <vt:i4>6291565</vt:i4>
      </vt:variant>
      <vt:variant>
        <vt:i4>6</vt:i4>
      </vt:variant>
      <vt:variant>
        <vt:i4>0</vt:i4>
      </vt:variant>
      <vt:variant>
        <vt:i4>5</vt:i4>
      </vt:variant>
      <vt:variant>
        <vt:lpwstr>http://www.nevo.co.il/law/70301/85</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2025-04-22T22:51:00Z</dcterms:created>
  <dcterms:modified xsi:type="dcterms:W3CDTF">2025-04-22T22:51:00Z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44220</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אלירן ססי</vt:lpwstr>
  </property>
  <property fmtid="{D5CDD505-2E9C-101B-9397-08002B2CF9AE}" pid="10" name="LAWYER">
    <vt:lpwstr>מוטי חבה;אלי כהן</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20170315</vt:lpwstr>
  </property>
  <property fmtid="{D5CDD505-2E9C-101B-9397-08002B2CF9AE}" pid="14" name="TYPE_N_DATE">
    <vt:lpwstr>38020170315</vt:lpwstr>
  </property>
  <property fmtid="{D5CDD505-2E9C-101B-9397-08002B2CF9AE}" pid="15" name="CASESLISTTMP1">
    <vt:lpwstr>5006216;8477342:2</vt:lpwstr>
  </property>
  <property fmtid="{D5CDD505-2E9C-101B-9397-08002B2CF9AE}" pid="16" name="WORDNUMPAGES">
    <vt:lpwstr>6</vt:lpwstr>
  </property>
  <property fmtid="{D5CDD505-2E9C-101B-9397-08002B2CF9AE}" pid="17" name="TYPE_ABS_DATE">
    <vt:lpwstr>380020170315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vt:lpwstr>
  </property>
  <property fmtid="{D5CDD505-2E9C-101B-9397-08002B2CF9AE}" pid="37" name="LAWLISTTMP2">
    <vt:lpwstr>70301/085:7;085.d</vt:lpwstr>
  </property>
  <property fmtid="{D5CDD505-2E9C-101B-9397-08002B2CF9AE}" pid="38" name="LAWLISTTMP3">
    <vt:lpwstr>4607/001</vt:lpwstr>
  </property>
  <property fmtid="{D5CDD505-2E9C-101B-9397-08002B2CF9AE}" pid="39" name="LAWLISTTMP4">
    <vt:lpwstr>5227/036.f</vt:lpwstr>
  </property>
</Properties>
</file>