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76862" w:rsidRPr="00F428D9" w14:paraId="41546829" w14:textId="77777777">
        <w:trPr>
          <w:trHeight w:hRule="exact" w:val="418"/>
          <w:jc w:val="center"/>
        </w:trPr>
        <w:tc>
          <w:tcPr>
            <w:tcW w:w="8721" w:type="dxa"/>
            <w:gridSpan w:val="2"/>
          </w:tcPr>
          <w:p w14:paraId="79A81C58" w14:textId="77777777" w:rsidR="00B76862" w:rsidRPr="00F428D9" w:rsidRDefault="00F428D9">
            <w:pPr>
              <w:pStyle w:val="a3"/>
              <w:jc w:val="center"/>
              <w:rPr>
                <w:rFonts w:ascii="Tahoma" w:hAnsi="Tahoma" w:cs="Tahoma"/>
                <w:color w:val="000080"/>
                <w:rtl/>
              </w:rPr>
            </w:pPr>
            <w:bookmarkStart w:id="0" w:name="LastJudge"/>
            <w:r w:rsidRPr="00F428D9">
              <w:rPr>
                <w:rFonts w:ascii="Tahoma" w:hAnsi="Tahoma" w:cs="Tahoma"/>
                <w:b/>
                <w:bCs/>
                <w:color w:val="000080"/>
                <w:rtl/>
              </w:rPr>
              <w:t>בית משפט השלום בקריות</w:t>
            </w:r>
          </w:p>
        </w:tc>
      </w:tr>
      <w:tr w:rsidR="00B76862" w:rsidRPr="00F428D9" w14:paraId="4A9C2DF0" w14:textId="77777777">
        <w:trPr>
          <w:trHeight w:val="337"/>
          <w:jc w:val="center"/>
        </w:trPr>
        <w:tc>
          <w:tcPr>
            <w:tcW w:w="5054" w:type="dxa"/>
          </w:tcPr>
          <w:p w14:paraId="5E2CC10A" w14:textId="77777777" w:rsidR="00B76862" w:rsidRPr="00F428D9" w:rsidRDefault="00F428D9">
            <w:pPr>
              <w:rPr>
                <w:rFonts w:cs="FrankRuehl"/>
                <w:sz w:val="28"/>
                <w:szCs w:val="28"/>
                <w:rtl/>
              </w:rPr>
            </w:pPr>
            <w:r w:rsidRPr="00F428D9">
              <w:rPr>
                <w:rFonts w:cs="FrankRuehl"/>
                <w:sz w:val="28"/>
                <w:szCs w:val="28"/>
                <w:rtl/>
              </w:rPr>
              <w:t>ת"פ</w:t>
            </w:r>
            <w:r w:rsidRPr="00F428D9">
              <w:rPr>
                <w:rFonts w:cs="FrankRuehl" w:hint="cs"/>
                <w:sz w:val="28"/>
                <w:szCs w:val="28"/>
                <w:rtl/>
              </w:rPr>
              <w:t xml:space="preserve"> </w:t>
            </w:r>
            <w:r w:rsidRPr="00F428D9">
              <w:rPr>
                <w:rFonts w:cs="FrankRuehl"/>
                <w:sz w:val="28"/>
                <w:szCs w:val="28"/>
                <w:rtl/>
              </w:rPr>
              <w:t>33947-10-15</w:t>
            </w:r>
            <w:r w:rsidRPr="00F428D9">
              <w:rPr>
                <w:rFonts w:cs="FrankRuehl" w:hint="cs"/>
                <w:sz w:val="28"/>
                <w:szCs w:val="28"/>
                <w:rtl/>
              </w:rPr>
              <w:t xml:space="preserve"> </w:t>
            </w:r>
            <w:r w:rsidRPr="00F428D9">
              <w:rPr>
                <w:rFonts w:cs="FrankRuehl"/>
                <w:sz w:val="28"/>
                <w:szCs w:val="28"/>
                <w:rtl/>
              </w:rPr>
              <w:t>מדינת ישראל נ' סבג</w:t>
            </w:r>
          </w:p>
          <w:p w14:paraId="75F675CB" w14:textId="77777777" w:rsidR="00B76862" w:rsidRPr="00F428D9" w:rsidRDefault="00B76862">
            <w:pPr>
              <w:pStyle w:val="a3"/>
              <w:rPr>
                <w:rFonts w:cs="FrankRuehl"/>
                <w:sz w:val="28"/>
                <w:szCs w:val="28"/>
                <w:rtl/>
              </w:rPr>
            </w:pPr>
          </w:p>
        </w:tc>
        <w:tc>
          <w:tcPr>
            <w:tcW w:w="3667" w:type="dxa"/>
          </w:tcPr>
          <w:p w14:paraId="0B11F2CC" w14:textId="77777777" w:rsidR="00B76862" w:rsidRPr="00F428D9" w:rsidRDefault="00B76862">
            <w:pPr>
              <w:pStyle w:val="a3"/>
              <w:jc w:val="right"/>
              <w:rPr>
                <w:rFonts w:cs="FrankRuehl"/>
                <w:sz w:val="28"/>
                <w:szCs w:val="28"/>
                <w:rtl/>
              </w:rPr>
            </w:pPr>
          </w:p>
        </w:tc>
      </w:tr>
    </w:tbl>
    <w:p w14:paraId="649B2202" w14:textId="77777777" w:rsidR="00B76862" w:rsidRPr="00F428D9" w:rsidRDefault="00F428D9">
      <w:pPr>
        <w:pStyle w:val="a3"/>
        <w:rPr>
          <w:rtl/>
        </w:rPr>
      </w:pPr>
      <w:r w:rsidRPr="00F428D9">
        <w:rPr>
          <w:rFonts w:hint="cs"/>
          <w:rtl/>
        </w:rPr>
        <w:t xml:space="preserve"> </w:t>
      </w:r>
    </w:p>
    <w:p w14:paraId="2E748E0E" w14:textId="77777777" w:rsidR="00B76862" w:rsidRPr="00F428D9" w:rsidRDefault="00B768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76862" w:rsidRPr="00F428D9" w14:paraId="09168268" w14:textId="77777777">
        <w:trPr>
          <w:trHeight w:val="295"/>
          <w:jc w:val="center"/>
        </w:trPr>
        <w:tc>
          <w:tcPr>
            <w:tcW w:w="923" w:type="dxa"/>
            <w:tcBorders>
              <w:top w:val="nil"/>
              <w:left w:val="nil"/>
              <w:bottom w:val="nil"/>
              <w:right w:val="nil"/>
            </w:tcBorders>
            <w:shd w:val="clear" w:color="auto" w:fill="auto"/>
          </w:tcPr>
          <w:p w14:paraId="487A7512" w14:textId="77777777" w:rsidR="00B76862" w:rsidRPr="00F428D9" w:rsidRDefault="00F428D9">
            <w:pPr>
              <w:jc w:val="both"/>
              <w:rPr>
                <w:rFonts w:ascii="Arial" w:hAnsi="Arial" w:cs="FrankRuehl"/>
                <w:sz w:val="28"/>
                <w:szCs w:val="28"/>
              </w:rPr>
            </w:pPr>
            <w:r w:rsidRPr="00F428D9">
              <w:rPr>
                <w:rFonts w:ascii="Arial" w:hAnsi="Arial" w:cs="FrankRuehl" w:hint="cs"/>
                <w:sz w:val="28"/>
                <w:szCs w:val="28"/>
                <w:rtl/>
              </w:rPr>
              <w:t>ב</w:t>
            </w:r>
            <w:r w:rsidRPr="00F428D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CEA000B" w14:textId="77777777" w:rsidR="00B76862" w:rsidRPr="00F428D9" w:rsidRDefault="00F428D9">
            <w:pPr>
              <w:rPr>
                <w:rFonts w:ascii="Arial" w:hAnsi="Arial"/>
                <w:b/>
                <w:bCs/>
                <w:rtl/>
              </w:rPr>
            </w:pPr>
            <w:r w:rsidRPr="00F428D9">
              <w:rPr>
                <w:rFonts w:ascii="Arial" w:hAnsi="Arial" w:hint="cs"/>
                <w:b/>
                <w:bCs/>
                <w:rtl/>
              </w:rPr>
              <w:t>כבוד ה</w:t>
            </w:r>
            <w:r w:rsidRPr="00F428D9">
              <w:rPr>
                <w:rFonts w:hint="cs"/>
                <w:rtl/>
              </w:rPr>
              <w:t>שופט</w:t>
            </w:r>
            <w:r w:rsidRPr="00F428D9">
              <w:rPr>
                <w:rFonts w:ascii="Arial" w:hAnsi="Arial" w:hint="cs"/>
                <w:b/>
                <w:bCs/>
                <w:rtl/>
              </w:rPr>
              <w:t xml:space="preserve">  </w:t>
            </w:r>
            <w:r w:rsidRPr="00F428D9">
              <w:rPr>
                <w:rFonts w:hint="cs"/>
                <w:rtl/>
              </w:rPr>
              <w:t>יוסי טורס</w:t>
            </w:r>
          </w:p>
          <w:p w14:paraId="58106AEE" w14:textId="77777777" w:rsidR="00B76862" w:rsidRPr="00F428D9" w:rsidRDefault="00B76862">
            <w:pPr>
              <w:rPr>
                <w:rtl/>
              </w:rPr>
            </w:pPr>
          </w:p>
          <w:p w14:paraId="08E30A80" w14:textId="77777777" w:rsidR="00B76862" w:rsidRPr="00F428D9" w:rsidRDefault="00B76862">
            <w:pPr>
              <w:jc w:val="both"/>
              <w:rPr>
                <w:rFonts w:ascii="Arial" w:hAnsi="Arial" w:cs="FrankRuehl"/>
                <w:sz w:val="28"/>
                <w:szCs w:val="28"/>
              </w:rPr>
            </w:pPr>
          </w:p>
        </w:tc>
      </w:tr>
      <w:tr w:rsidR="00B76862" w:rsidRPr="00F428D9" w14:paraId="7BDDF90C" w14:textId="77777777">
        <w:trPr>
          <w:trHeight w:val="355"/>
          <w:jc w:val="center"/>
        </w:trPr>
        <w:tc>
          <w:tcPr>
            <w:tcW w:w="923" w:type="dxa"/>
            <w:tcBorders>
              <w:top w:val="nil"/>
              <w:left w:val="nil"/>
              <w:bottom w:val="nil"/>
              <w:right w:val="nil"/>
            </w:tcBorders>
            <w:shd w:val="clear" w:color="auto" w:fill="auto"/>
          </w:tcPr>
          <w:p w14:paraId="3F958235" w14:textId="77777777" w:rsidR="00B76862" w:rsidRPr="00F428D9" w:rsidRDefault="00F428D9">
            <w:pPr>
              <w:jc w:val="both"/>
              <w:rPr>
                <w:rFonts w:ascii="Arial" w:hAnsi="Arial" w:cs="FrankRuehl"/>
                <w:sz w:val="28"/>
                <w:szCs w:val="28"/>
              </w:rPr>
            </w:pPr>
            <w:bookmarkStart w:id="1" w:name="FirstAppellant"/>
            <w:r w:rsidRPr="00F428D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5B10E75" w14:textId="77777777" w:rsidR="00B76862" w:rsidRPr="00F428D9" w:rsidRDefault="00F428D9">
            <w:r w:rsidRPr="00F428D9">
              <w:rPr>
                <w:rFonts w:hint="cs"/>
                <w:rtl/>
              </w:rPr>
              <w:t>מדינת ישראל</w:t>
            </w:r>
          </w:p>
        </w:tc>
        <w:tc>
          <w:tcPr>
            <w:tcW w:w="3771" w:type="dxa"/>
            <w:tcBorders>
              <w:top w:val="nil"/>
              <w:left w:val="nil"/>
              <w:bottom w:val="nil"/>
              <w:right w:val="nil"/>
            </w:tcBorders>
            <w:shd w:val="clear" w:color="auto" w:fill="auto"/>
          </w:tcPr>
          <w:p w14:paraId="54848B39" w14:textId="77777777" w:rsidR="00B76862" w:rsidRPr="00F428D9" w:rsidRDefault="00B76862">
            <w:pPr>
              <w:jc w:val="both"/>
              <w:rPr>
                <w:rFonts w:ascii="Arial" w:hAnsi="Arial" w:cs="FrankRuehl"/>
                <w:sz w:val="28"/>
                <w:szCs w:val="28"/>
              </w:rPr>
            </w:pPr>
          </w:p>
        </w:tc>
      </w:tr>
      <w:bookmarkEnd w:id="1"/>
      <w:tr w:rsidR="00B76862" w:rsidRPr="00F428D9" w14:paraId="3B2044CA" w14:textId="77777777">
        <w:trPr>
          <w:trHeight w:val="355"/>
          <w:jc w:val="center"/>
        </w:trPr>
        <w:tc>
          <w:tcPr>
            <w:tcW w:w="923" w:type="dxa"/>
            <w:tcBorders>
              <w:top w:val="nil"/>
              <w:left w:val="nil"/>
              <w:bottom w:val="nil"/>
              <w:right w:val="nil"/>
            </w:tcBorders>
            <w:shd w:val="clear" w:color="auto" w:fill="auto"/>
          </w:tcPr>
          <w:p w14:paraId="0DA83E6B" w14:textId="77777777" w:rsidR="00B76862" w:rsidRPr="00F428D9" w:rsidRDefault="00B7686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A6F487F" w14:textId="77777777" w:rsidR="00B76862" w:rsidRPr="00F428D9" w:rsidRDefault="00B76862">
            <w:pPr>
              <w:jc w:val="both"/>
              <w:rPr>
                <w:rtl/>
              </w:rPr>
            </w:pPr>
          </w:p>
        </w:tc>
        <w:tc>
          <w:tcPr>
            <w:tcW w:w="3771" w:type="dxa"/>
            <w:tcBorders>
              <w:top w:val="nil"/>
              <w:left w:val="nil"/>
              <w:bottom w:val="nil"/>
              <w:right w:val="nil"/>
            </w:tcBorders>
            <w:shd w:val="clear" w:color="auto" w:fill="auto"/>
          </w:tcPr>
          <w:p w14:paraId="6A3CD766" w14:textId="77777777" w:rsidR="00B76862" w:rsidRPr="00F428D9" w:rsidRDefault="00F428D9">
            <w:pPr>
              <w:jc w:val="right"/>
              <w:rPr>
                <w:rFonts w:ascii="Arial" w:hAnsi="Arial" w:cs="FrankRuehl"/>
                <w:sz w:val="28"/>
                <w:szCs w:val="28"/>
                <w:rtl/>
              </w:rPr>
            </w:pPr>
            <w:r w:rsidRPr="00F428D9">
              <w:rPr>
                <w:rFonts w:ascii="Arial" w:hAnsi="Arial" w:cs="FrankRuehl" w:hint="cs"/>
                <w:sz w:val="28"/>
                <w:szCs w:val="28"/>
                <w:rtl/>
              </w:rPr>
              <w:t>ה</w:t>
            </w:r>
            <w:r w:rsidRPr="00F428D9">
              <w:rPr>
                <w:rFonts w:hint="cs"/>
                <w:rtl/>
              </w:rPr>
              <w:t>מאשימה</w:t>
            </w:r>
          </w:p>
        </w:tc>
      </w:tr>
      <w:tr w:rsidR="00B76862" w:rsidRPr="00F428D9" w14:paraId="030F7968" w14:textId="77777777">
        <w:trPr>
          <w:trHeight w:val="355"/>
          <w:jc w:val="center"/>
        </w:trPr>
        <w:tc>
          <w:tcPr>
            <w:tcW w:w="923" w:type="dxa"/>
            <w:tcBorders>
              <w:top w:val="nil"/>
              <w:left w:val="nil"/>
              <w:bottom w:val="nil"/>
              <w:right w:val="nil"/>
            </w:tcBorders>
            <w:shd w:val="clear" w:color="auto" w:fill="auto"/>
          </w:tcPr>
          <w:p w14:paraId="5FFBBFF7" w14:textId="77777777" w:rsidR="00B76862" w:rsidRPr="00F428D9" w:rsidRDefault="00B7686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800449D" w14:textId="77777777" w:rsidR="00B76862" w:rsidRPr="00F428D9" w:rsidRDefault="00B76862">
            <w:pPr>
              <w:jc w:val="center"/>
              <w:rPr>
                <w:rFonts w:ascii="Arial" w:hAnsi="Arial" w:cs="FrankRuehl"/>
                <w:b/>
                <w:bCs/>
                <w:sz w:val="28"/>
                <w:szCs w:val="28"/>
                <w:rtl/>
              </w:rPr>
            </w:pPr>
          </w:p>
          <w:p w14:paraId="1D552BBB" w14:textId="77777777" w:rsidR="00B76862" w:rsidRPr="00F428D9" w:rsidRDefault="00F428D9">
            <w:pPr>
              <w:jc w:val="center"/>
              <w:rPr>
                <w:rFonts w:ascii="Arial" w:hAnsi="Arial" w:cs="FrankRuehl"/>
                <w:b/>
                <w:bCs/>
                <w:sz w:val="28"/>
                <w:szCs w:val="28"/>
                <w:rtl/>
              </w:rPr>
            </w:pPr>
            <w:r w:rsidRPr="00F428D9">
              <w:rPr>
                <w:rFonts w:ascii="Arial" w:hAnsi="Arial" w:cs="FrankRuehl"/>
                <w:b/>
                <w:bCs/>
                <w:sz w:val="28"/>
                <w:szCs w:val="28"/>
                <w:rtl/>
              </w:rPr>
              <w:t>נגד</w:t>
            </w:r>
          </w:p>
          <w:p w14:paraId="677B5F9A" w14:textId="77777777" w:rsidR="00B76862" w:rsidRPr="00F428D9" w:rsidRDefault="00B76862">
            <w:pPr>
              <w:jc w:val="both"/>
              <w:rPr>
                <w:rFonts w:ascii="Arial" w:hAnsi="Arial" w:cs="FrankRuehl"/>
                <w:sz w:val="28"/>
                <w:szCs w:val="28"/>
              </w:rPr>
            </w:pPr>
          </w:p>
        </w:tc>
      </w:tr>
      <w:tr w:rsidR="00B76862" w:rsidRPr="00F428D9" w14:paraId="29A31D84" w14:textId="77777777">
        <w:trPr>
          <w:trHeight w:val="355"/>
          <w:jc w:val="center"/>
        </w:trPr>
        <w:tc>
          <w:tcPr>
            <w:tcW w:w="923" w:type="dxa"/>
            <w:tcBorders>
              <w:top w:val="nil"/>
              <w:left w:val="nil"/>
              <w:bottom w:val="nil"/>
              <w:right w:val="nil"/>
            </w:tcBorders>
            <w:shd w:val="clear" w:color="auto" w:fill="auto"/>
          </w:tcPr>
          <w:p w14:paraId="03B131D3" w14:textId="77777777" w:rsidR="00B76862" w:rsidRPr="00F428D9" w:rsidRDefault="00B76862">
            <w:pPr>
              <w:rPr>
                <w:rFonts w:ascii="Arial" w:hAnsi="Arial" w:cs="FrankRuehl"/>
                <w:sz w:val="28"/>
                <w:szCs w:val="28"/>
                <w:rtl/>
              </w:rPr>
            </w:pPr>
          </w:p>
        </w:tc>
        <w:tc>
          <w:tcPr>
            <w:tcW w:w="4126" w:type="dxa"/>
            <w:tcBorders>
              <w:top w:val="nil"/>
              <w:left w:val="nil"/>
              <w:bottom w:val="nil"/>
              <w:right w:val="nil"/>
            </w:tcBorders>
            <w:shd w:val="clear" w:color="auto" w:fill="auto"/>
          </w:tcPr>
          <w:p w14:paraId="3FD1111F" w14:textId="77777777" w:rsidR="00B76862" w:rsidRPr="00F428D9" w:rsidRDefault="00F428D9">
            <w:pPr>
              <w:rPr>
                <w:rtl/>
              </w:rPr>
            </w:pPr>
            <w:r w:rsidRPr="00F428D9">
              <w:rPr>
                <w:rFonts w:hint="cs"/>
                <w:rtl/>
              </w:rPr>
              <w:t>שמעון סבג</w:t>
            </w:r>
          </w:p>
        </w:tc>
        <w:tc>
          <w:tcPr>
            <w:tcW w:w="3771" w:type="dxa"/>
            <w:tcBorders>
              <w:top w:val="nil"/>
              <w:left w:val="nil"/>
              <w:bottom w:val="nil"/>
              <w:right w:val="nil"/>
            </w:tcBorders>
            <w:shd w:val="clear" w:color="auto" w:fill="auto"/>
          </w:tcPr>
          <w:p w14:paraId="528A95D6" w14:textId="77777777" w:rsidR="00B76862" w:rsidRPr="00F428D9" w:rsidRDefault="00B76862">
            <w:pPr>
              <w:jc w:val="right"/>
              <w:rPr>
                <w:rFonts w:ascii="Arial" w:hAnsi="Arial" w:cs="FrankRuehl"/>
                <w:sz w:val="28"/>
                <w:szCs w:val="28"/>
              </w:rPr>
            </w:pPr>
          </w:p>
        </w:tc>
      </w:tr>
      <w:tr w:rsidR="00B76862" w:rsidRPr="00F428D9" w14:paraId="67A2889B" w14:textId="77777777">
        <w:trPr>
          <w:trHeight w:val="355"/>
          <w:jc w:val="center"/>
        </w:trPr>
        <w:tc>
          <w:tcPr>
            <w:tcW w:w="923" w:type="dxa"/>
            <w:tcBorders>
              <w:top w:val="nil"/>
              <w:left w:val="nil"/>
              <w:bottom w:val="nil"/>
              <w:right w:val="nil"/>
            </w:tcBorders>
            <w:shd w:val="clear" w:color="auto" w:fill="auto"/>
          </w:tcPr>
          <w:p w14:paraId="71B02492" w14:textId="77777777" w:rsidR="00B76862" w:rsidRPr="00F428D9" w:rsidRDefault="00B7686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D77EA28" w14:textId="77777777" w:rsidR="00B76862" w:rsidRPr="00F428D9" w:rsidRDefault="00B76862">
            <w:pPr>
              <w:jc w:val="both"/>
              <w:rPr>
                <w:rtl/>
              </w:rPr>
            </w:pPr>
          </w:p>
        </w:tc>
        <w:tc>
          <w:tcPr>
            <w:tcW w:w="3771" w:type="dxa"/>
            <w:tcBorders>
              <w:top w:val="nil"/>
              <w:left w:val="nil"/>
              <w:bottom w:val="nil"/>
              <w:right w:val="nil"/>
            </w:tcBorders>
            <w:shd w:val="clear" w:color="auto" w:fill="auto"/>
          </w:tcPr>
          <w:p w14:paraId="4C5EB069" w14:textId="77777777" w:rsidR="00B76862" w:rsidRPr="00F428D9" w:rsidRDefault="00F428D9">
            <w:pPr>
              <w:jc w:val="right"/>
              <w:rPr>
                <w:rFonts w:ascii="Arial" w:hAnsi="Arial" w:cs="FrankRuehl"/>
                <w:sz w:val="28"/>
                <w:szCs w:val="28"/>
              </w:rPr>
            </w:pPr>
            <w:r w:rsidRPr="00F428D9">
              <w:rPr>
                <w:rFonts w:ascii="Arial" w:hAnsi="Arial" w:cs="FrankRuehl" w:hint="cs"/>
                <w:sz w:val="28"/>
                <w:szCs w:val="28"/>
                <w:rtl/>
              </w:rPr>
              <w:t>ה</w:t>
            </w:r>
            <w:r w:rsidRPr="00F428D9">
              <w:rPr>
                <w:rFonts w:hint="cs"/>
                <w:rtl/>
              </w:rPr>
              <w:t>נאשם</w:t>
            </w:r>
          </w:p>
        </w:tc>
      </w:tr>
    </w:tbl>
    <w:p w14:paraId="615F81B1" w14:textId="77777777" w:rsidR="008F426A" w:rsidRDefault="008F426A">
      <w:pPr>
        <w:rPr>
          <w:rtl/>
        </w:rPr>
      </w:pPr>
      <w:bookmarkStart w:id="2" w:name="LawTable"/>
      <w:bookmarkEnd w:id="2"/>
    </w:p>
    <w:p w14:paraId="27FF45E9" w14:textId="77777777" w:rsidR="008F426A" w:rsidRPr="008F426A" w:rsidRDefault="008F426A" w:rsidP="008F426A">
      <w:pPr>
        <w:spacing w:after="120" w:line="240" w:lineRule="exact"/>
        <w:ind w:left="283" w:hanging="283"/>
        <w:jc w:val="both"/>
        <w:rPr>
          <w:rFonts w:ascii="FrankRuehl" w:hAnsi="FrankRuehl" w:cs="FrankRuehl"/>
          <w:rtl/>
        </w:rPr>
      </w:pPr>
    </w:p>
    <w:p w14:paraId="0729B09F" w14:textId="77777777" w:rsidR="008F426A" w:rsidRPr="008F426A" w:rsidRDefault="008F426A" w:rsidP="008F426A">
      <w:pPr>
        <w:spacing w:after="120" w:line="240" w:lineRule="exact"/>
        <w:ind w:left="283" w:hanging="283"/>
        <w:jc w:val="both"/>
        <w:rPr>
          <w:rFonts w:ascii="FrankRuehl" w:hAnsi="FrankRuehl" w:cs="FrankRuehl"/>
          <w:rtl/>
        </w:rPr>
      </w:pPr>
      <w:r w:rsidRPr="008F426A">
        <w:rPr>
          <w:rFonts w:ascii="FrankRuehl" w:hAnsi="FrankRuehl" w:cs="FrankRuehl"/>
          <w:rtl/>
        </w:rPr>
        <w:t xml:space="preserve">חקיקה שאוזכרה: </w:t>
      </w:r>
    </w:p>
    <w:p w14:paraId="65698758" w14:textId="77777777" w:rsidR="008F426A" w:rsidRPr="008F426A" w:rsidRDefault="008F426A" w:rsidP="008F426A">
      <w:pPr>
        <w:spacing w:after="120" w:line="240" w:lineRule="exact"/>
        <w:ind w:left="283" w:hanging="283"/>
        <w:jc w:val="both"/>
        <w:rPr>
          <w:rFonts w:ascii="FrankRuehl" w:hAnsi="FrankRuehl" w:cs="FrankRuehl"/>
          <w:color w:val="0000FF"/>
          <w:u w:val="single"/>
          <w:rtl/>
        </w:rPr>
      </w:pPr>
      <w:hyperlink r:id="rId7" w:history="1">
        <w:r w:rsidRPr="008F426A">
          <w:rPr>
            <w:rStyle w:val="Hyperlink"/>
            <w:rFonts w:ascii="FrankRuehl" w:hAnsi="FrankRuehl" w:cs="FrankRuehl"/>
            <w:rtl/>
          </w:rPr>
          <w:t>פקודת הסמים המסוכנים [נוסח חדש], תשל"ג-1973</w:t>
        </w:r>
      </w:hyperlink>
      <w:r w:rsidRPr="008F426A">
        <w:rPr>
          <w:rFonts w:ascii="FrankRuehl" w:hAnsi="FrankRuehl" w:cs="FrankRuehl"/>
          <w:color w:val="0000FF"/>
          <w:u w:val="single"/>
          <w:rtl/>
        </w:rPr>
        <w:t xml:space="preserve">: סע'  </w:t>
      </w:r>
      <w:hyperlink r:id="rId8" w:history="1">
        <w:r w:rsidRPr="008F426A">
          <w:rPr>
            <w:rStyle w:val="Hyperlink"/>
            <w:rFonts w:ascii="FrankRuehl" w:hAnsi="FrankRuehl" w:cs="FrankRuehl"/>
          </w:rPr>
          <w:t>6</w:t>
        </w:r>
      </w:hyperlink>
      <w:r w:rsidRPr="008F426A">
        <w:rPr>
          <w:rFonts w:ascii="FrankRuehl" w:hAnsi="FrankRuehl" w:cs="FrankRuehl"/>
          <w:color w:val="0000FF"/>
          <w:u w:val="single"/>
          <w:rtl/>
        </w:rPr>
        <w:t xml:space="preserve">, </w:t>
      </w:r>
      <w:hyperlink r:id="rId9" w:history="1">
        <w:r w:rsidRPr="008F426A">
          <w:rPr>
            <w:rStyle w:val="Hyperlink"/>
            <w:rFonts w:ascii="FrankRuehl" w:hAnsi="FrankRuehl" w:cs="FrankRuehl"/>
          </w:rPr>
          <w:t>7.</w:t>
        </w:r>
        <w:r w:rsidRPr="008F426A">
          <w:rPr>
            <w:rStyle w:val="Hyperlink"/>
            <w:rFonts w:ascii="FrankRuehl" w:hAnsi="FrankRuehl" w:cs="FrankRuehl"/>
            <w:rtl/>
          </w:rPr>
          <w:t>א</w:t>
        </w:r>
        <w:r w:rsidRPr="008F426A">
          <w:rPr>
            <w:rStyle w:val="Hyperlink"/>
            <w:rFonts w:ascii="FrankRuehl" w:hAnsi="FrankRuehl" w:cs="FrankRuehl"/>
          </w:rPr>
          <w:t>.</w:t>
        </w:r>
      </w:hyperlink>
      <w:r w:rsidRPr="008F426A">
        <w:rPr>
          <w:rFonts w:ascii="FrankRuehl" w:hAnsi="FrankRuehl" w:cs="FrankRuehl"/>
          <w:color w:val="0000FF"/>
          <w:u w:val="single"/>
          <w:rtl/>
        </w:rPr>
        <w:t xml:space="preserve">, </w:t>
      </w:r>
      <w:hyperlink r:id="rId10" w:history="1">
        <w:r w:rsidRPr="008F426A">
          <w:rPr>
            <w:rStyle w:val="Hyperlink"/>
            <w:rFonts w:ascii="FrankRuehl" w:hAnsi="FrankRuehl" w:cs="FrankRuehl"/>
          </w:rPr>
          <w:t>7.</w:t>
        </w:r>
        <w:r w:rsidRPr="008F426A">
          <w:rPr>
            <w:rStyle w:val="Hyperlink"/>
            <w:rFonts w:ascii="FrankRuehl" w:hAnsi="FrankRuehl" w:cs="FrankRuehl"/>
            <w:rtl/>
          </w:rPr>
          <w:t>ג</w:t>
        </w:r>
      </w:hyperlink>
      <w:r w:rsidRPr="008F426A">
        <w:rPr>
          <w:rFonts w:ascii="FrankRuehl" w:hAnsi="FrankRuehl" w:cs="FrankRuehl"/>
          <w:color w:val="0000FF"/>
          <w:u w:val="single"/>
          <w:rtl/>
        </w:rPr>
        <w:t xml:space="preserve">, </w:t>
      </w:r>
      <w:hyperlink r:id="rId11" w:history="1">
        <w:r w:rsidRPr="008F426A">
          <w:rPr>
            <w:rStyle w:val="Hyperlink"/>
            <w:rFonts w:ascii="FrankRuehl" w:hAnsi="FrankRuehl" w:cs="FrankRuehl"/>
          </w:rPr>
          <w:t>10</w:t>
        </w:r>
      </w:hyperlink>
      <w:r w:rsidRPr="008F426A">
        <w:rPr>
          <w:rFonts w:ascii="FrankRuehl" w:hAnsi="FrankRuehl" w:cs="FrankRuehl"/>
          <w:color w:val="0000FF"/>
          <w:u w:val="single"/>
          <w:rtl/>
        </w:rPr>
        <w:t xml:space="preserve">, </w:t>
      </w:r>
      <w:hyperlink r:id="rId12" w:history="1">
        <w:r w:rsidRPr="008F426A">
          <w:rPr>
            <w:rStyle w:val="Hyperlink"/>
            <w:rFonts w:ascii="FrankRuehl" w:hAnsi="FrankRuehl" w:cs="FrankRuehl"/>
          </w:rPr>
          <w:t>31(3)</w:t>
        </w:r>
        <w:r w:rsidRPr="008F426A">
          <w:rPr>
            <w:rStyle w:val="Hyperlink"/>
            <w:rFonts w:ascii="FrankRuehl" w:hAnsi="FrankRuehl" w:cs="FrankRuehl"/>
            <w:rtl/>
          </w:rPr>
          <w:t>לפקודה</w:t>
        </w:r>
        <w:r w:rsidRPr="008F426A">
          <w:rPr>
            <w:rStyle w:val="Hyperlink"/>
            <w:rFonts w:ascii="FrankRuehl" w:hAnsi="FrankRuehl" w:cs="FrankRuehl"/>
          </w:rPr>
          <w:t>).</w:t>
        </w:r>
      </w:hyperlink>
    </w:p>
    <w:p w14:paraId="1C7A3508" w14:textId="77777777" w:rsidR="008F426A" w:rsidRPr="008F426A" w:rsidRDefault="008F426A" w:rsidP="008F426A">
      <w:pPr>
        <w:spacing w:after="120" w:line="240" w:lineRule="exact"/>
        <w:ind w:left="283" w:hanging="283"/>
        <w:jc w:val="both"/>
        <w:rPr>
          <w:rFonts w:ascii="FrankRuehl" w:hAnsi="FrankRuehl" w:cs="FrankRuehl"/>
          <w:color w:val="0000FF"/>
          <w:u w:val="single"/>
          <w:rtl/>
        </w:rPr>
      </w:pPr>
      <w:hyperlink r:id="rId13" w:history="1">
        <w:r w:rsidRPr="008F426A">
          <w:rPr>
            <w:rStyle w:val="Hyperlink"/>
            <w:rFonts w:ascii="FrankRuehl" w:hAnsi="FrankRuehl" w:cs="FrankRuehl"/>
            <w:rtl/>
          </w:rPr>
          <w:t>חוק העונשין, תשל"ז-1977</w:t>
        </w:r>
      </w:hyperlink>
      <w:r w:rsidRPr="008F426A">
        <w:rPr>
          <w:rFonts w:ascii="FrankRuehl" w:hAnsi="FrankRuehl" w:cs="FrankRuehl"/>
          <w:color w:val="0000FF"/>
          <w:u w:val="single"/>
          <w:rtl/>
        </w:rPr>
        <w:t xml:space="preserve">: סע'  </w:t>
      </w:r>
      <w:hyperlink r:id="rId14" w:history="1">
        <w:r w:rsidRPr="008F426A">
          <w:rPr>
            <w:rStyle w:val="Hyperlink"/>
            <w:rFonts w:ascii="FrankRuehl" w:hAnsi="FrankRuehl" w:cs="FrankRuehl"/>
          </w:rPr>
          <w:t>40</w:t>
        </w:r>
        <w:r w:rsidRPr="008F426A">
          <w:rPr>
            <w:rStyle w:val="Hyperlink"/>
            <w:rFonts w:ascii="FrankRuehl" w:hAnsi="FrankRuehl" w:cs="FrankRuehl"/>
            <w:rtl/>
          </w:rPr>
          <w:t>ד</w:t>
        </w:r>
        <w:r w:rsidRPr="008F426A">
          <w:rPr>
            <w:rStyle w:val="Hyperlink"/>
            <w:rFonts w:ascii="FrankRuehl" w:hAnsi="FrankRuehl" w:cs="FrankRuehl"/>
          </w:rPr>
          <w:t>'</w:t>
        </w:r>
      </w:hyperlink>
      <w:r w:rsidRPr="008F426A">
        <w:rPr>
          <w:rFonts w:ascii="FrankRuehl" w:hAnsi="FrankRuehl" w:cs="FrankRuehl"/>
          <w:color w:val="0000FF"/>
          <w:u w:val="single"/>
          <w:rtl/>
        </w:rPr>
        <w:t xml:space="preserve">, </w:t>
      </w:r>
      <w:hyperlink r:id="rId15" w:history="1">
        <w:r w:rsidRPr="008F426A">
          <w:rPr>
            <w:rStyle w:val="Hyperlink"/>
            <w:rFonts w:ascii="FrankRuehl" w:hAnsi="FrankRuehl" w:cs="FrankRuehl"/>
          </w:rPr>
          <w:t>40</w:t>
        </w:r>
        <w:r w:rsidRPr="008F426A">
          <w:rPr>
            <w:rStyle w:val="Hyperlink"/>
            <w:rFonts w:ascii="FrankRuehl" w:hAnsi="FrankRuehl" w:cs="FrankRuehl"/>
            <w:rtl/>
          </w:rPr>
          <w:t>ט.3</w:t>
        </w:r>
        <w:r w:rsidRPr="008F426A">
          <w:rPr>
            <w:rStyle w:val="Hyperlink"/>
            <w:rFonts w:ascii="FrankRuehl" w:hAnsi="FrankRuehl" w:cs="FrankRuehl"/>
          </w:rPr>
          <w:t>.</w:t>
        </w:r>
      </w:hyperlink>
      <w:r w:rsidRPr="008F426A">
        <w:rPr>
          <w:rFonts w:ascii="FrankRuehl" w:hAnsi="FrankRuehl" w:cs="FrankRuehl"/>
          <w:color w:val="0000FF"/>
          <w:u w:val="single"/>
          <w:rtl/>
        </w:rPr>
        <w:t xml:space="preserve">, </w:t>
      </w:r>
      <w:hyperlink r:id="rId16" w:history="1">
        <w:r w:rsidRPr="008F426A">
          <w:rPr>
            <w:rStyle w:val="Hyperlink"/>
            <w:rFonts w:ascii="FrankRuehl" w:hAnsi="FrankRuehl" w:cs="FrankRuehl"/>
          </w:rPr>
          <w:t>40</w:t>
        </w:r>
        <w:r w:rsidRPr="008F426A">
          <w:rPr>
            <w:rStyle w:val="Hyperlink"/>
            <w:rFonts w:ascii="FrankRuehl" w:hAnsi="FrankRuehl" w:cs="FrankRuehl"/>
            <w:rtl/>
          </w:rPr>
          <w:t>ט.4</w:t>
        </w:r>
      </w:hyperlink>
      <w:r w:rsidRPr="008F426A">
        <w:rPr>
          <w:rFonts w:ascii="FrankRuehl" w:hAnsi="FrankRuehl" w:cs="FrankRuehl"/>
          <w:color w:val="0000FF"/>
          <w:u w:val="single"/>
          <w:rtl/>
        </w:rPr>
        <w:t xml:space="preserve">, </w:t>
      </w:r>
      <w:hyperlink r:id="rId17" w:history="1">
        <w:r w:rsidRPr="008F426A">
          <w:rPr>
            <w:rStyle w:val="Hyperlink"/>
            <w:rFonts w:ascii="FrankRuehl" w:hAnsi="FrankRuehl" w:cs="FrankRuehl"/>
          </w:rPr>
          <w:t>40</w:t>
        </w:r>
        <w:r w:rsidRPr="008F426A">
          <w:rPr>
            <w:rStyle w:val="Hyperlink"/>
            <w:rFonts w:ascii="FrankRuehl" w:hAnsi="FrankRuehl" w:cs="FrankRuehl"/>
            <w:rtl/>
          </w:rPr>
          <w:t>ט'(5</w:t>
        </w:r>
        <w:r w:rsidRPr="008F426A">
          <w:rPr>
            <w:rStyle w:val="Hyperlink"/>
            <w:rFonts w:ascii="FrankRuehl" w:hAnsi="FrankRuehl" w:cs="FrankRuehl"/>
          </w:rPr>
          <w:t>)</w:t>
        </w:r>
      </w:hyperlink>
      <w:r w:rsidRPr="008F426A">
        <w:rPr>
          <w:rFonts w:ascii="FrankRuehl" w:hAnsi="FrankRuehl" w:cs="FrankRuehl"/>
          <w:color w:val="0000FF"/>
          <w:u w:val="single"/>
          <w:rtl/>
        </w:rPr>
        <w:t xml:space="preserve">, </w:t>
      </w:r>
      <w:hyperlink r:id="rId18" w:history="1">
        <w:r w:rsidRPr="008F426A">
          <w:rPr>
            <w:rStyle w:val="Hyperlink"/>
            <w:rFonts w:ascii="FrankRuehl" w:hAnsi="FrankRuehl" w:cs="FrankRuehl"/>
          </w:rPr>
          <w:t>40</w:t>
        </w:r>
        <w:r w:rsidRPr="008F426A">
          <w:rPr>
            <w:rStyle w:val="Hyperlink"/>
            <w:rFonts w:ascii="FrankRuehl" w:hAnsi="FrankRuehl" w:cs="FrankRuehl"/>
            <w:rtl/>
          </w:rPr>
          <w:t>י(ב</w:t>
        </w:r>
        <w:r w:rsidRPr="008F426A">
          <w:rPr>
            <w:rStyle w:val="Hyperlink"/>
            <w:rFonts w:ascii="FrankRuehl" w:hAnsi="FrankRuehl" w:cs="FrankRuehl"/>
          </w:rPr>
          <w:t>)</w:t>
        </w:r>
      </w:hyperlink>
      <w:r w:rsidRPr="008F426A">
        <w:rPr>
          <w:rFonts w:ascii="FrankRuehl" w:hAnsi="FrankRuehl" w:cs="FrankRuehl"/>
          <w:color w:val="0000FF"/>
          <w:u w:val="single"/>
          <w:rtl/>
        </w:rPr>
        <w:t xml:space="preserve">, </w:t>
      </w:r>
      <w:hyperlink r:id="rId19" w:history="1">
        <w:r w:rsidRPr="008F426A">
          <w:rPr>
            <w:rStyle w:val="Hyperlink"/>
            <w:rFonts w:ascii="FrankRuehl" w:hAnsi="FrankRuehl" w:cs="FrankRuehl"/>
          </w:rPr>
          <w:t>40</w:t>
        </w:r>
        <w:r w:rsidRPr="008F426A">
          <w:rPr>
            <w:rStyle w:val="Hyperlink"/>
            <w:rFonts w:ascii="FrankRuehl" w:hAnsi="FrankRuehl" w:cs="FrankRuehl"/>
            <w:rtl/>
          </w:rPr>
          <w:t>י'(ג</w:t>
        </w:r>
        <w:r w:rsidRPr="008F426A">
          <w:rPr>
            <w:rStyle w:val="Hyperlink"/>
            <w:rFonts w:ascii="FrankRuehl" w:hAnsi="FrankRuehl" w:cs="FrankRuehl"/>
          </w:rPr>
          <w:t>)</w:t>
        </w:r>
      </w:hyperlink>
      <w:r w:rsidRPr="008F426A">
        <w:rPr>
          <w:rFonts w:ascii="FrankRuehl" w:hAnsi="FrankRuehl" w:cs="FrankRuehl"/>
          <w:color w:val="0000FF"/>
          <w:u w:val="single"/>
          <w:rtl/>
        </w:rPr>
        <w:t xml:space="preserve">, </w:t>
      </w:r>
      <w:hyperlink r:id="rId20" w:history="1">
        <w:r w:rsidRPr="008F426A">
          <w:rPr>
            <w:rStyle w:val="Hyperlink"/>
            <w:rFonts w:ascii="FrankRuehl" w:hAnsi="FrankRuehl" w:cs="FrankRuehl"/>
          </w:rPr>
          <w:t>40</w:t>
        </w:r>
        <w:r w:rsidRPr="008F426A">
          <w:rPr>
            <w:rStyle w:val="Hyperlink"/>
            <w:rFonts w:ascii="FrankRuehl" w:hAnsi="FrankRuehl" w:cs="FrankRuehl"/>
            <w:rtl/>
          </w:rPr>
          <w:t>י(ד</w:t>
        </w:r>
        <w:r w:rsidRPr="008F426A">
          <w:rPr>
            <w:rStyle w:val="Hyperlink"/>
            <w:rFonts w:ascii="FrankRuehl" w:hAnsi="FrankRuehl" w:cs="FrankRuehl"/>
          </w:rPr>
          <w:t>)</w:t>
        </w:r>
      </w:hyperlink>
      <w:r w:rsidRPr="008F426A">
        <w:rPr>
          <w:rFonts w:ascii="FrankRuehl" w:hAnsi="FrankRuehl" w:cs="FrankRuehl"/>
          <w:color w:val="0000FF"/>
          <w:u w:val="single"/>
          <w:rtl/>
        </w:rPr>
        <w:t xml:space="preserve">, </w:t>
      </w:r>
      <w:hyperlink r:id="rId21" w:history="1">
        <w:r w:rsidRPr="008F426A">
          <w:rPr>
            <w:rStyle w:val="Hyperlink"/>
            <w:rFonts w:ascii="FrankRuehl" w:hAnsi="FrankRuehl" w:cs="FrankRuehl"/>
          </w:rPr>
          <w:t>40</w:t>
        </w:r>
        <w:r w:rsidRPr="008F426A">
          <w:rPr>
            <w:rStyle w:val="Hyperlink"/>
            <w:rFonts w:ascii="FrankRuehl" w:hAnsi="FrankRuehl" w:cs="FrankRuehl"/>
            <w:rtl/>
          </w:rPr>
          <w:t>יג'(א</w:t>
        </w:r>
        <w:r w:rsidRPr="008F426A">
          <w:rPr>
            <w:rStyle w:val="Hyperlink"/>
            <w:rFonts w:ascii="FrankRuehl" w:hAnsi="FrankRuehl" w:cs="FrankRuehl"/>
          </w:rPr>
          <w:t>)</w:t>
        </w:r>
      </w:hyperlink>
    </w:p>
    <w:p w14:paraId="17512344" w14:textId="77777777" w:rsidR="008F426A" w:rsidRPr="008F426A" w:rsidRDefault="008F426A" w:rsidP="008F426A">
      <w:pPr>
        <w:spacing w:after="120" w:line="240" w:lineRule="exact"/>
        <w:ind w:left="283" w:hanging="283"/>
        <w:jc w:val="both"/>
        <w:rPr>
          <w:rFonts w:ascii="FrankRuehl" w:hAnsi="FrankRuehl" w:cs="FrankRuehl"/>
          <w:color w:val="0000FF"/>
          <w:u w:val="single"/>
          <w:rtl/>
        </w:rPr>
      </w:pPr>
      <w:hyperlink r:id="rId22" w:history="1">
        <w:r w:rsidRPr="008F426A">
          <w:rPr>
            <w:rStyle w:val="Hyperlink"/>
            <w:rFonts w:ascii="FrankRuehl" w:hAnsi="FrankRuehl" w:cs="FrankRuehl"/>
            <w:rtl/>
          </w:rPr>
          <w:t>פקודת המבחן [נוסח חדש], תשכ"ט-1969</w:t>
        </w:r>
      </w:hyperlink>
      <w:r w:rsidRPr="008F426A">
        <w:rPr>
          <w:rFonts w:ascii="FrankRuehl" w:hAnsi="FrankRuehl" w:cs="FrankRuehl"/>
          <w:color w:val="0000FF"/>
          <w:u w:val="single"/>
          <w:rtl/>
        </w:rPr>
        <w:t xml:space="preserve">: סע'  </w:t>
      </w:r>
      <w:hyperlink r:id="rId23" w:history="1">
        <w:r w:rsidRPr="008F426A">
          <w:rPr>
            <w:rStyle w:val="Hyperlink"/>
            <w:rFonts w:ascii="FrankRuehl" w:hAnsi="FrankRuehl" w:cs="FrankRuehl"/>
          </w:rPr>
          <w:t>1</w:t>
        </w:r>
      </w:hyperlink>
    </w:p>
    <w:p w14:paraId="1EC29364" w14:textId="77777777" w:rsidR="008F426A" w:rsidRPr="008F426A" w:rsidRDefault="008F426A">
      <w:pPr>
        <w:rPr>
          <w:rFonts w:hint="cs"/>
          <w:rtl/>
        </w:rPr>
      </w:pPr>
      <w:bookmarkStart w:id="3" w:name="LawTable_End"/>
      <w:bookmarkEnd w:id="3"/>
    </w:p>
    <w:p w14:paraId="299D12D6" w14:textId="77777777" w:rsidR="00F428D9" w:rsidRPr="00F428D9" w:rsidRDefault="00F428D9">
      <w:pPr>
        <w:rPr>
          <w:rtl/>
        </w:rPr>
      </w:pPr>
    </w:p>
    <w:p w14:paraId="09E8555E" w14:textId="77777777" w:rsidR="00B76862" w:rsidRPr="00F428D9" w:rsidRDefault="00B7686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76862" w14:paraId="250D02E1" w14:textId="77777777">
        <w:trPr>
          <w:trHeight w:val="355"/>
          <w:jc w:val="center"/>
        </w:trPr>
        <w:tc>
          <w:tcPr>
            <w:tcW w:w="8820" w:type="dxa"/>
            <w:tcBorders>
              <w:top w:val="nil"/>
              <w:left w:val="nil"/>
              <w:bottom w:val="nil"/>
              <w:right w:val="nil"/>
            </w:tcBorders>
            <w:shd w:val="clear" w:color="auto" w:fill="auto"/>
          </w:tcPr>
          <w:p w14:paraId="311F9E69" w14:textId="77777777" w:rsidR="00B76862" w:rsidRPr="008F426A" w:rsidRDefault="00F428D9" w:rsidP="008F426A">
            <w:pPr>
              <w:jc w:val="center"/>
              <w:rPr>
                <w:rFonts w:ascii="Arial" w:hAnsi="Arial" w:cs="FrankRuehl" w:hint="cs"/>
                <w:b/>
                <w:bCs/>
                <w:sz w:val="32"/>
                <w:szCs w:val="32"/>
                <w:u w:val="single"/>
                <w:rtl/>
              </w:rPr>
            </w:pPr>
            <w:bookmarkStart w:id="4" w:name="PsakDin" w:colFirst="0" w:colLast="0"/>
            <w:bookmarkEnd w:id="0"/>
            <w:r w:rsidRPr="00F428D9">
              <w:rPr>
                <w:rFonts w:ascii="Arial" w:hAnsi="Arial" w:cs="FrankRuehl"/>
                <w:b/>
                <w:bCs/>
                <w:sz w:val="32"/>
                <w:szCs w:val="32"/>
                <w:u w:val="single"/>
                <w:rtl/>
              </w:rPr>
              <w:t>גזר דין</w:t>
            </w:r>
          </w:p>
        </w:tc>
      </w:tr>
      <w:bookmarkEnd w:id="4"/>
    </w:tbl>
    <w:p w14:paraId="7F343851" w14:textId="77777777" w:rsidR="00B76862" w:rsidRDefault="00B76862">
      <w:pPr>
        <w:rPr>
          <w:rFonts w:ascii="Arial" w:hAnsi="Arial"/>
          <w:rtl/>
        </w:rPr>
      </w:pPr>
    </w:p>
    <w:p w14:paraId="11617FAD" w14:textId="77777777" w:rsidR="00B76862" w:rsidRDefault="00F428D9">
      <w:pPr>
        <w:ind w:firstLine="360"/>
        <w:rPr>
          <w:b/>
          <w:bCs/>
          <w:u w:val="single"/>
          <w:rtl/>
        </w:rPr>
      </w:pPr>
      <w:r>
        <w:rPr>
          <w:b/>
          <w:bCs/>
          <w:u w:val="single"/>
          <w:rtl/>
        </w:rPr>
        <w:t>כתב האישום וההליכים.</w:t>
      </w:r>
    </w:p>
    <w:p w14:paraId="646BDA40" w14:textId="77777777" w:rsidR="00B76862" w:rsidRDefault="00B76862">
      <w:pPr>
        <w:rPr>
          <w:rtl/>
        </w:rPr>
      </w:pPr>
    </w:p>
    <w:p w14:paraId="18A0B141" w14:textId="77777777" w:rsidR="00B76862" w:rsidRDefault="00B76862">
      <w:pPr>
        <w:rPr>
          <w:rtl/>
        </w:rPr>
      </w:pPr>
    </w:p>
    <w:p w14:paraId="67BCC295" w14:textId="77777777" w:rsidR="00B76862" w:rsidRDefault="00F428D9">
      <w:pPr>
        <w:numPr>
          <w:ilvl w:val="0"/>
          <w:numId w:val="1"/>
        </w:numPr>
        <w:spacing w:line="360" w:lineRule="auto"/>
        <w:jc w:val="both"/>
      </w:pPr>
      <w:bookmarkStart w:id="5" w:name="ABSTRACT_START"/>
      <w:bookmarkEnd w:id="5"/>
      <w:r>
        <w:rPr>
          <w:rtl/>
        </w:rPr>
        <w:t xml:space="preserve">הנאשם הורשע, במסגרת הסדר טיעון, בעבירות של ייצור, הכנה והפקת סמים מסוכנים, לפי </w:t>
      </w:r>
      <w:hyperlink r:id="rId24" w:history="1">
        <w:r w:rsidR="008F426A" w:rsidRPr="008F426A">
          <w:rPr>
            <w:rStyle w:val="Hyperlink"/>
            <w:rtl/>
          </w:rPr>
          <w:t>סעיף 6</w:t>
        </w:r>
      </w:hyperlink>
      <w:r>
        <w:rPr>
          <w:rtl/>
        </w:rPr>
        <w:t xml:space="preserve"> ל</w:t>
      </w:r>
      <w:hyperlink r:id="rId25" w:history="1">
        <w:r w:rsidRPr="00F428D9">
          <w:rPr>
            <w:rStyle w:val="Hyperlink"/>
            <w:rtl/>
          </w:rPr>
          <w:t>פקודת הסמים המסוכנים</w:t>
        </w:r>
      </w:hyperlink>
      <w:r>
        <w:rPr>
          <w:rtl/>
        </w:rPr>
        <w:t xml:space="preserve"> [נוסח חדש], התשל"ג-1973 (להלן: "פקודת הסמים"); החזקת כלים להכנת סם שלא לשימוש עצמי, עבירה לפי </w:t>
      </w:r>
      <w:hyperlink r:id="rId26" w:history="1">
        <w:r w:rsidR="008F426A" w:rsidRPr="008F426A">
          <w:rPr>
            <w:rStyle w:val="Hyperlink"/>
            <w:rtl/>
          </w:rPr>
          <w:t>סעיף 10</w:t>
        </w:r>
      </w:hyperlink>
      <w:r>
        <w:rPr>
          <w:rtl/>
        </w:rPr>
        <w:t xml:space="preserve"> רישא לפקודת הסמים; והחזקה ושימוש בסמים לצריכה עצמית, לפי </w:t>
      </w:r>
      <w:hyperlink r:id="rId27" w:history="1">
        <w:r w:rsidR="008F426A" w:rsidRPr="008F426A">
          <w:rPr>
            <w:rStyle w:val="Hyperlink"/>
            <w:rtl/>
          </w:rPr>
          <w:t>סעיפים 7(א)+7(ג)</w:t>
        </w:r>
      </w:hyperlink>
      <w:r>
        <w:rPr>
          <w:rtl/>
        </w:rPr>
        <w:t xml:space="preserve"> סיפא לפקודת הסמים. </w:t>
      </w:r>
    </w:p>
    <w:p w14:paraId="4F81C244" w14:textId="77777777" w:rsidR="00B76862" w:rsidRDefault="00B76862">
      <w:pPr>
        <w:spacing w:line="360" w:lineRule="auto"/>
        <w:ind w:left="720"/>
        <w:jc w:val="both"/>
      </w:pPr>
      <w:bookmarkStart w:id="6" w:name="ABSTRACT_END"/>
      <w:bookmarkEnd w:id="6"/>
    </w:p>
    <w:p w14:paraId="4006995F" w14:textId="77777777" w:rsidR="00B76862" w:rsidRDefault="00F428D9">
      <w:pPr>
        <w:numPr>
          <w:ilvl w:val="0"/>
          <w:numId w:val="1"/>
        </w:numPr>
        <w:spacing w:line="360" w:lineRule="auto"/>
        <w:jc w:val="both"/>
      </w:pPr>
      <w:r>
        <w:rPr>
          <w:rtl/>
        </w:rPr>
        <w:t xml:space="preserve">בהתאם לעובדות כתב האישום המתוקן, ביום 14.10.15 ובתקופה של כחודשיים קודם לכן, גידל הנאשם חמישה שתילי סמים מסוכנים מסוג קנאביס באחד החדרים שבדירת מגוריו. כן החזיק הנאשם במעמד זה כלים המשמשים לייצור הסמים המסוכנים ובהם, שני גופי תאורה, שבע נורות חימום, משקל אלקטרוני, אדניות, מאוורר ומתלה כביסה. עוד צוין </w:t>
      </w:r>
      <w:r>
        <w:rPr>
          <w:rtl/>
        </w:rPr>
        <w:lastRenderedPageBreak/>
        <w:t>בכתב האישום המתוקן, כי הנאשם החזיק בדירה סם מסוכן מסוג קנאביס במשקל 117 גרם וזאת לשימושו האישי.</w:t>
      </w:r>
    </w:p>
    <w:p w14:paraId="5836B637" w14:textId="77777777" w:rsidR="00B76862" w:rsidRDefault="00B76862">
      <w:pPr>
        <w:spacing w:line="360" w:lineRule="auto"/>
        <w:ind w:left="720"/>
        <w:jc w:val="both"/>
      </w:pPr>
    </w:p>
    <w:p w14:paraId="45F93A9D" w14:textId="77777777" w:rsidR="00B76862" w:rsidRDefault="00F428D9">
      <w:pPr>
        <w:spacing w:line="360" w:lineRule="auto"/>
        <w:ind w:left="720"/>
        <w:contextualSpacing/>
        <w:jc w:val="both"/>
        <w:rPr>
          <w:rtl/>
        </w:rPr>
      </w:pPr>
      <w:r>
        <w:rPr>
          <w:rtl/>
        </w:rPr>
        <w:t xml:space="preserve">הסדר הטיעון לא כלל הסכמה עונשית ולבקשת הנאשם הוריתי על קבלת תסקיר מאת שירות המבחן. </w:t>
      </w:r>
    </w:p>
    <w:p w14:paraId="054A82B0" w14:textId="77777777" w:rsidR="00B76862" w:rsidRDefault="00B76862">
      <w:pPr>
        <w:spacing w:line="360" w:lineRule="auto"/>
        <w:rPr>
          <w:b/>
          <w:bCs/>
          <w:u w:val="single"/>
          <w:rtl/>
        </w:rPr>
      </w:pPr>
    </w:p>
    <w:p w14:paraId="168451C3" w14:textId="77777777" w:rsidR="00B76862" w:rsidRDefault="00F428D9">
      <w:pPr>
        <w:spacing w:line="360" w:lineRule="auto"/>
        <w:ind w:firstLine="360"/>
        <w:rPr>
          <w:b/>
          <w:bCs/>
          <w:u w:val="single"/>
          <w:rtl/>
        </w:rPr>
      </w:pPr>
      <w:r>
        <w:rPr>
          <w:b/>
          <w:bCs/>
          <w:u w:val="single"/>
          <w:rtl/>
        </w:rPr>
        <w:t>תסקירי שירות המבחן.</w:t>
      </w:r>
    </w:p>
    <w:p w14:paraId="6D4165AD" w14:textId="77777777" w:rsidR="00B76862" w:rsidRDefault="00B76862">
      <w:pPr>
        <w:spacing w:line="360" w:lineRule="auto"/>
        <w:ind w:firstLine="360"/>
        <w:rPr>
          <w:b/>
          <w:bCs/>
          <w:u w:val="single"/>
        </w:rPr>
      </w:pPr>
    </w:p>
    <w:p w14:paraId="00E694C3" w14:textId="77777777" w:rsidR="00B76862" w:rsidRDefault="00F428D9">
      <w:pPr>
        <w:numPr>
          <w:ilvl w:val="0"/>
          <w:numId w:val="1"/>
        </w:numPr>
        <w:spacing w:line="360" w:lineRule="auto"/>
        <w:jc w:val="both"/>
      </w:pPr>
      <w:r>
        <w:rPr>
          <w:rtl/>
        </w:rPr>
        <w:t>מתסקיר שירות המבחן עולה תמונה של אדם שחווה אירועים קשים בחייו, אשר הותירו אותו פגוע ובודד. הנאשם כבן 50, אינו עובד בעבודה מסודרת, מתגורר בגפו, וטרם מעצרו ניתק קשר עם בני משפחתו המורחבת, בשל נסיבות שפורטו בתסקיר ו</w:t>
      </w:r>
      <w:r>
        <w:rPr>
          <w:rFonts w:hint="cs"/>
          <w:rtl/>
        </w:rPr>
        <w:t>ש</w:t>
      </w:r>
      <w:r>
        <w:rPr>
          <w:rtl/>
        </w:rPr>
        <w:t xml:space="preserve">אין מקום לחזור עליהן. מצבו הרגשי הוביל אותו לעבר שימוש בסמים מסוג קנאביס, ולטענתו בשל רצונו לצמצם את העלויות הכרוכות בכך, החליט לגדל את הסמים בדירתו. שירות המבחן התרשם מאדם שסיפור חייו מתאפיין במצוקה רגשית אקוטית, בצד רצון ממשי לשינוי. שירות המבחן התרשם גם מנזקקות טיפולית ממשית, ויכולת להיתרם מהליך טיפולי. לאור כך המליץ שירות המבחן להעמיד את הנאשם במבחן למשך 18 חודשים בצד הטלת מאסר מותנה. </w:t>
      </w:r>
    </w:p>
    <w:p w14:paraId="28E5BA82" w14:textId="77777777" w:rsidR="00B76862" w:rsidRDefault="00B76862">
      <w:pPr>
        <w:spacing w:line="360" w:lineRule="auto"/>
        <w:ind w:left="720"/>
        <w:jc w:val="both"/>
      </w:pPr>
    </w:p>
    <w:p w14:paraId="1030D384" w14:textId="77777777" w:rsidR="00B76862" w:rsidRDefault="00F428D9">
      <w:pPr>
        <w:numPr>
          <w:ilvl w:val="0"/>
          <w:numId w:val="1"/>
        </w:numPr>
        <w:spacing w:line="360" w:lineRule="auto"/>
        <w:jc w:val="both"/>
      </w:pPr>
      <w:r>
        <w:rPr>
          <w:rFonts w:hint="cs"/>
          <w:rtl/>
        </w:rPr>
        <w:t>לאחר שמיעת הטיעונים לעונש, הגיש שירות המבחן תסקיר משלים מיוזמתו ובו ציין כי הטלת עונש בעבודות שירות תסכל את התכנית השיקומית עליה הומלץ בתסקיר. עוד צוין כי ככל שבית המשפט סבור שיש להטיל ענישה שיקומית, מומלץ להטיל צו של"צ. אפשרתי לצדדים לטעון טענות משלימות בנושא.</w:t>
      </w:r>
    </w:p>
    <w:p w14:paraId="3C2F161B" w14:textId="77777777" w:rsidR="00B76862" w:rsidRDefault="00B76862">
      <w:pPr>
        <w:spacing w:line="360" w:lineRule="auto"/>
        <w:ind w:left="720"/>
      </w:pPr>
    </w:p>
    <w:p w14:paraId="756FCCE7" w14:textId="77777777" w:rsidR="00B76862" w:rsidRDefault="00F428D9">
      <w:pPr>
        <w:spacing w:line="360" w:lineRule="auto"/>
        <w:ind w:firstLine="360"/>
        <w:jc w:val="both"/>
        <w:rPr>
          <w:b/>
          <w:bCs/>
          <w:u w:val="single"/>
          <w:rtl/>
        </w:rPr>
      </w:pPr>
      <w:r>
        <w:rPr>
          <w:b/>
          <w:bCs/>
          <w:u w:val="single"/>
          <w:rtl/>
        </w:rPr>
        <w:t>טיעוני הצדדים לעונש.</w:t>
      </w:r>
    </w:p>
    <w:p w14:paraId="5D14C030" w14:textId="77777777" w:rsidR="00B76862" w:rsidRDefault="00B76862">
      <w:pPr>
        <w:spacing w:line="360" w:lineRule="auto"/>
        <w:ind w:left="720"/>
        <w:contextualSpacing/>
        <w:jc w:val="both"/>
        <w:rPr>
          <w:b/>
          <w:bCs/>
          <w:u w:val="single"/>
          <w:rtl/>
        </w:rPr>
      </w:pPr>
    </w:p>
    <w:p w14:paraId="001DDE76" w14:textId="77777777" w:rsidR="00B76862" w:rsidRDefault="00F428D9">
      <w:pPr>
        <w:numPr>
          <w:ilvl w:val="0"/>
          <w:numId w:val="1"/>
        </w:numPr>
        <w:spacing w:line="360" w:lineRule="auto"/>
        <w:jc w:val="both"/>
        <w:rPr>
          <w:rFonts w:ascii="David" w:hAnsi="David"/>
        </w:rPr>
      </w:pP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הערכים</w:t>
      </w:r>
      <w:r>
        <w:rPr>
          <w:rFonts w:ascii="David" w:hAnsi="David"/>
          <w:rtl/>
        </w:rPr>
        <w:t xml:space="preserve"> </w:t>
      </w:r>
      <w:r>
        <w:rPr>
          <w:rFonts w:ascii="David" w:hAnsi="David" w:hint="eastAsia"/>
          <w:rtl/>
        </w:rPr>
        <w:t>שנפגעו</w:t>
      </w:r>
      <w:r>
        <w:rPr>
          <w:rFonts w:ascii="David" w:hAnsi="David"/>
          <w:rtl/>
        </w:rPr>
        <w:t xml:space="preserve"> </w:t>
      </w:r>
      <w:r>
        <w:rPr>
          <w:rFonts w:ascii="David" w:hAnsi="David" w:hint="eastAsia"/>
          <w:rtl/>
        </w:rPr>
        <w:t>בעטיה</w:t>
      </w:r>
      <w:r>
        <w:rPr>
          <w:rFonts w:ascii="David" w:hAnsi="David"/>
          <w:rtl/>
        </w:rPr>
        <w:t xml:space="preserve">. </w:t>
      </w:r>
      <w:r>
        <w:rPr>
          <w:rFonts w:ascii="David" w:hAnsi="David" w:hint="eastAsia"/>
          <w:rtl/>
        </w:rPr>
        <w:t>נטען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מגדלי</w:t>
      </w:r>
      <w:r>
        <w:rPr>
          <w:rFonts w:ascii="David" w:hAnsi="David"/>
          <w:rtl/>
        </w:rPr>
        <w:t xml:space="preserve"> </w:t>
      </w:r>
      <w:r>
        <w:rPr>
          <w:rFonts w:ascii="David" w:hAnsi="David" w:hint="eastAsia"/>
          <w:rtl/>
        </w:rPr>
        <w:t>הסמים</w:t>
      </w:r>
      <w:r>
        <w:rPr>
          <w:rFonts w:ascii="David" w:hAnsi="David"/>
          <w:rtl/>
        </w:rPr>
        <w:t xml:space="preserve"> </w:t>
      </w:r>
      <w:r>
        <w:rPr>
          <w:rFonts w:ascii="David" w:hAnsi="David" w:hint="eastAsia"/>
          <w:rtl/>
        </w:rPr>
        <w:t>מצויים</w:t>
      </w:r>
      <w:r>
        <w:rPr>
          <w:rFonts w:ascii="David" w:hAnsi="David"/>
          <w:rtl/>
        </w:rPr>
        <w:t xml:space="preserve"> </w:t>
      </w:r>
      <w:r>
        <w:rPr>
          <w:rFonts w:ascii="David" w:hAnsi="David" w:hint="eastAsia"/>
          <w:rtl/>
        </w:rPr>
        <w:t>בשורה</w:t>
      </w:r>
      <w:r>
        <w:rPr>
          <w:rFonts w:ascii="David" w:hAnsi="David"/>
          <w:rtl/>
        </w:rPr>
        <w:t xml:space="preserve"> </w:t>
      </w:r>
      <w:r>
        <w:rPr>
          <w:rFonts w:ascii="David" w:hAnsi="David" w:hint="eastAsia"/>
          <w:rtl/>
        </w:rPr>
        <w:t>אחת</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המפיצים</w:t>
      </w:r>
      <w:r>
        <w:rPr>
          <w:rFonts w:ascii="David" w:hAnsi="David"/>
          <w:rtl/>
        </w:rPr>
        <w:t xml:space="preserve"> </w:t>
      </w:r>
      <w:r>
        <w:rPr>
          <w:rFonts w:ascii="David" w:hAnsi="David" w:hint="eastAsia"/>
          <w:rtl/>
        </w:rPr>
        <w:t>ומשכך</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עונשם</w:t>
      </w:r>
      <w:r>
        <w:rPr>
          <w:rFonts w:ascii="David" w:hAnsi="David"/>
          <w:rtl/>
        </w:rPr>
        <w:t xml:space="preserve"> </w:t>
      </w:r>
      <w:r>
        <w:rPr>
          <w:rFonts w:ascii="David" w:hAnsi="David" w:hint="eastAsia"/>
          <w:rtl/>
        </w:rPr>
        <w:t>חייב</w:t>
      </w:r>
      <w:r>
        <w:rPr>
          <w:rFonts w:ascii="David" w:hAnsi="David"/>
          <w:rtl/>
        </w:rPr>
        <w:t xml:space="preserve"> </w:t>
      </w:r>
      <w:r>
        <w:rPr>
          <w:rFonts w:ascii="David" w:hAnsi="David" w:hint="eastAsia"/>
          <w:rtl/>
        </w:rPr>
        <w:t>לשקף</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המעשה</w:t>
      </w:r>
      <w:r>
        <w:rPr>
          <w:rFonts w:ascii="David" w:hAnsi="David"/>
          <w:rtl/>
        </w:rPr>
        <w:t xml:space="preserve">. </w:t>
      </w:r>
      <w:r>
        <w:rPr>
          <w:rFonts w:ascii="David" w:hAnsi="David" w:hint="eastAsia"/>
          <w:rtl/>
        </w:rPr>
        <w:t>בהתייחס</w:t>
      </w:r>
      <w:r>
        <w:rPr>
          <w:rFonts w:ascii="David" w:hAnsi="David"/>
          <w:rtl/>
        </w:rPr>
        <w:t xml:space="preserve"> </w:t>
      </w:r>
      <w:r>
        <w:rPr>
          <w:rFonts w:ascii="David" w:hAnsi="David" w:hint="eastAsia"/>
          <w:rtl/>
        </w:rPr>
        <w:t>לכמות</w:t>
      </w:r>
      <w:r>
        <w:rPr>
          <w:rFonts w:ascii="David" w:hAnsi="David"/>
          <w:rtl/>
        </w:rPr>
        <w:t xml:space="preserve"> </w:t>
      </w:r>
      <w:r>
        <w:rPr>
          <w:rFonts w:ascii="David" w:hAnsi="David" w:hint="eastAsia"/>
          <w:rtl/>
        </w:rPr>
        <w:t>הסמים</w:t>
      </w:r>
      <w:r>
        <w:rPr>
          <w:rFonts w:ascii="David" w:hAnsi="David"/>
          <w:rtl/>
        </w:rPr>
        <w:t xml:space="preserve"> </w:t>
      </w:r>
      <w:r>
        <w:rPr>
          <w:rFonts w:ascii="David" w:hAnsi="David" w:hint="eastAsia"/>
          <w:rtl/>
        </w:rPr>
        <w:t>שנמצאה</w:t>
      </w:r>
      <w:r>
        <w:rPr>
          <w:rFonts w:ascii="David" w:hAnsi="David"/>
          <w:rtl/>
        </w:rPr>
        <w:t xml:space="preserve"> </w:t>
      </w:r>
      <w:r>
        <w:rPr>
          <w:rFonts w:ascii="David" w:hAnsi="David" w:hint="eastAsia"/>
          <w:rtl/>
        </w:rPr>
        <w:t>במקום</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הגם</w:t>
      </w:r>
      <w:r>
        <w:rPr>
          <w:rFonts w:ascii="David" w:hAnsi="David"/>
          <w:rtl/>
        </w:rPr>
        <w:t xml:space="preserve"> </w:t>
      </w:r>
      <w:r>
        <w:rPr>
          <w:rFonts w:ascii="David" w:hAnsi="David" w:hint="eastAsia"/>
          <w:rtl/>
        </w:rPr>
        <w:t>שמדובר</w:t>
      </w:r>
      <w:r>
        <w:rPr>
          <w:rFonts w:ascii="David" w:hAnsi="David"/>
          <w:rtl/>
        </w:rPr>
        <w:t xml:space="preserve"> </w:t>
      </w:r>
      <w:r>
        <w:rPr>
          <w:rFonts w:ascii="David" w:hAnsi="David" w:hint="eastAsia"/>
          <w:rtl/>
        </w:rPr>
        <w:t>בחמישה</w:t>
      </w:r>
      <w:r>
        <w:rPr>
          <w:rFonts w:ascii="David" w:hAnsi="David"/>
          <w:rtl/>
        </w:rPr>
        <w:t xml:space="preserve"> </w:t>
      </w:r>
      <w:r>
        <w:rPr>
          <w:rFonts w:ascii="David" w:hAnsi="David" w:hint="eastAsia"/>
          <w:rtl/>
        </w:rPr>
        <w:t>שתילים</w:t>
      </w:r>
      <w:r>
        <w:rPr>
          <w:rFonts w:ascii="David" w:hAnsi="David"/>
          <w:rtl/>
        </w:rPr>
        <w:t xml:space="preserve"> </w:t>
      </w:r>
      <w:r>
        <w:rPr>
          <w:rFonts w:ascii="David" w:hAnsi="David" w:hint="eastAsia"/>
          <w:rtl/>
        </w:rPr>
        <w:t>בלבד</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מקום</w:t>
      </w:r>
      <w:r>
        <w:rPr>
          <w:rFonts w:ascii="David" w:hAnsi="David"/>
          <w:rtl/>
        </w:rPr>
        <w:t xml:space="preserve"> </w:t>
      </w:r>
      <w:r>
        <w:rPr>
          <w:rFonts w:ascii="David" w:hAnsi="David" w:hint="eastAsia"/>
          <w:rtl/>
        </w:rPr>
        <w:t>לקבוע</w:t>
      </w:r>
      <w:r>
        <w:rPr>
          <w:rFonts w:ascii="David" w:hAnsi="David"/>
          <w:rtl/>
        </w:rPr>
        <w:t xml:space="preserve"> </w:t>
      </w:r>
      <w:r>
        <w:rPr>
          <w:rFonts w:ascii="David" w:hAnsi="David" w:hint="eastAsia"/>
          <w:rtl/>
        </w:rPr>
        <w:t>שמדובר</w:t>
      </w:r>
      <w:r>
        <w:rPr>
          <w:rFonts w:ascii="David" w:hAnsi="David"/>
          <w:rtl/>
        </w:rPr>
        <w:t xml:space="preserve"> </w:t>
      </w:r>
      <w:r>
        <w:rPr>
          <w:rFonts w:ascii="David" w:hAnsi="David" w:hint="eastAsia"/>
          <w:rtl/>
        </w:rPr>
        <w:t>בגידול</w:t>
      </w:r>
      <w:r>
        <w:rPr>
          <w:rFonts w:ascii="David" w:hAnsi="David"/>
          <w:rtl/>
        </w:rPr>
        <w:t xml:space="preserve"> </w:t>
      </w:r>
      <w:r>
        <w:rPr>
          <w:rFonts w:ascii="David" w:hAnsi="David" w:hint="eastAsia"/>
          <w:rtl/>
        </w:rPr>
        <w:t>לשימוש</w:t>
      </w:r>
      <w:r>
        <w:rPr>
          <w:rFonts w:ascii="David" w:hAnsi="David"/>
          <w:rtl/>
        </w:rPr>
        <w:t xml:space="preserve"> </w:t>
      </w:r>
      <w:r>
        <w:rPr>
          <w:rFonts w:ascii="David" w:hAnsi="David" w:hint="eastAsia"/>
          <w:rtl/>
        </w:rPr>
        <w:t>עצמי</w:t>
      </w:r>
      <w:r>
        <w:rPr>
          <w:rFonts w:ascii="David" w:hAnsi="David"/>
          <w:rtl/>
        </w:rPr>
        <w:t xml:space="preserve">. </w:t>
      </w:r>
      <w:r>
        <w:rPr>
          <w:rFonts w:ascii="David" w:hAnsi="David" w:hint="eastAsia"/>
          <w:rtl/>
        </w:rPr>
        <w:t>לאור</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הוצע</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הנע</w:t>
      </w:r>
      <w:r>
        <w:rPr>
          <w:rFonts w:ascii="David" w:hAnsi="David"/>
          <w:rtl/>
        </w:rPr>
        <w:t xml:space="preserve"> </w:t>
      </w:r>
      <w:r>
        <w:rPr>
          <w:rFonts w:ascii="David" w:hAnsi="David" w:hint="eastAsia"/>
          <w:rtl/>
        </w:rPr>
        <w:t>בין</w:t>
      </w:r>
      <w:r>
        <w:rPr>
          <w:rFonts w:ascii="David" w:hAnsi="David"/>
          <w:rtl/>
        </w:rPr>
        <w:t xml:space="preserve"> 18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ועד</w:t>
      </w:r>
      <w:r>
        <w:rPr>
          <w:rFonts w:ascii="David" w:hAnsi="David"/>
          <w:rtl/>
        </w:rPr>
        <w:t xml:space="preserve"> 36 </w:t>
      </w:r>
      <w:r>
        <w:rPr>
          <w:rFonts w:ascii="David" w:hAnsi="David" w:hint="eastAsia"/>
          <w:rtl/>
        </w:rPr>
        <w:t>חודשים</w:t>
      </w:r>
      <w:r>
        <w:rPr>
          <w:rFonts w:ascii="David" w:hAnsi="David"/>
          <w:rtl/>
        </w:rPr>
        <w:t xml:space="preserve">. </w:t>
      </w:r>
      <w:r>
        <w:rPr>
          <w:rFonts w:ascii="David" w:hAnsi="David" w:hint="eastAsia"/>
          <w:rtl/>
        </w:rPr>
        <w:t>בהתייחס</w:t>
      </w:r>
      <w:r>
        <w:rPr>
          <w:rFonts w:ascii="David" w:hAnsi="David"/>
          <w:rtl/>
        </w:rPr>
        <w:t xml:space="preserve"> </w:t>
      </w:r>
      <w:r>
        <w:rPr>
          <w:rFonts w:ascii="David" w:hAnsi="David" w:hint="eastAsia"/>
          <w:rtl/>
        </w:rPr>
        <w:t>לעונשו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ביקשה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לדחות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המלצות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hint="cs"/>
          <w:rtl/>
        </w:rPr>
        <w:t>, לרבות אלו המאוחרות,</w:t>
      </w:r>
      <w:r>
        <w:rPr>
          <w:rFonts w:ascii="David" w:hAnsi="David"/>
          <w:rtl/>
        </w:rPr>
        <w:t xml:space="preserve"> </w:t>
      </w:r>
      <w:r>
        <w:rPr>
          <w:rFonts w:ascii="David" w:hAnsi="David" w:hint="eastAsia"/>
          <w:rtl/>
        </w:rPr>
        <w:t>ולהטיל</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בגדרי</w:t>
      </w:r>
      <w:r>
        <w:rPr>
          <w:rFonts w:ascii="David" w:hAnsi="David"/>
          <w:rtl/>
        </w:rPr>
        <w:t xml:space="preserve"> </w:t>
      </w:r>
      <w:r>
        <w:rPr>
          <w:rFonts w:ascii="David" w:hAnsi="David" w:hint="eastAsia"/>
          <w:rtl/>
        </w:rPr>
        <w:t>המתחם</w:t>
      </w:r>
      <w:r>
        <w:rPr>
          <w:rFonts w:ascii="David" w:hAnsi="David"/>
          <w:rtl/>
        </w:rPr>
        <w:t xml:space="preserve">. </w:t>
      </w:r>
    </w:p>
    <w:p w14:paraId="14EC135C" w14:textId="77777777" w:rsidR="00B76862" w:rsidRDefault="00B76862">
      <w:pPr>
        <w:spacing w:line="360" w:lineRule="auto"/>
        <w:ind w:left="720"/>
        <w:jc w:val="both"/>
        <w:rPr>
          <w:rFonts w:ascii="David" w:hAnsi="David"/>
        </w:rPr>
      </w:pPr>
    </w:p>
    <w:p w14:paraId="3FAF76A2" w14:textId="77777777" w:rsidR="00B76862" w:rsidRDefault="00F428D9">
      <w:pPr>
        <w:numPr>
          <w:ilvl w:val="0"/>
          <w:numId w:val="1"/>
        </w:numPr>
        <w:spacing w:line="360" w:lineRule="auto"/>
        <w:jc w:val="both"/>
        <w:rPr>
          <w:rFonts w:ascii="David" w:hAnsi="David"/>
        </w:rPr>
      </w:pPr>
      <w:r>
        <w:rPr>
          <w:rFonts w:ascii="David" w:hAnsi="David" w:hint="eastAsia"/>
          <w:rtl/>
        </w:rPr>
        <w:lastRenderedPageBreak/>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עברו</w:t>
      </w:r>
      <w:r>
        <w:rPr>
          <w:rFonts w:ascii="David" w:hAnsi="David"/>
          <w:rtl/>
        </w:rPr>
        <w:t xml:space="preserve"> </w:t>
      </w:r>
      <w:r>
        <w:rPr>
          <w:rFonts w:ascii="David" w:hAnsi="David" w:hint="eastAsia"/>
          <w:rtl/>
        </w:rPr>
        <w:t>הפלילי</w:t>
      </w:r>
      <w:r>
        <w:rPr>
          <w:rFonts w:ascii="David" w:hAnsi="David"/>
          <w:rtl/>
        </w:rPr>
        <w:t xml:space="preserve"> </w:t>
      </w:r>
      <w:r>
        <w:rPr>
          <w:rFonts w:ascii="David" w:hAnsi="David" w:hint="eastAsia"/>
          <w:rtl/>
        </w:rPr>
        <w:t>הקל</w:t>
      </w:r>
      <w:r>
        <w:rPr>
          <w:rFonts w:ascii="David" w:hAnsi="David"/>
          <w:rtl/>
        </w:rPr>
        <w:t xml:space="preserve"> </w:t>
      </w:r>
      <w:r>
        <w:rPr>
          <w:rFonts w:ascii="David" w:hAnsi="David" w:hint="eastAsia"/>
          <w:rtl/>
        </w:rPr>
        <w:t>וביקשה</w:t>
      </w:r>
      <w:r>
        <w:rPr>
          <w:rFonts w:ascii="David" w:hAnsi="David"/>
          <w:rtl/>
        </w:rPr>
        <w:t xml:space="preserve"> </w:t>
      </w:r>
      <w:r>
        <w:rPr>
          <w:rFonts w:ascii="David" w:hAnsi="David" w:hint="eastAsia"/>
          <w:rtl/>
        </w:rPr>
        <w:t>לאמץ</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המלצת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hint="cs"/>
          <w:rtl/>
        </w:rPr>
        <w:t>, לרבות ההמלצה המאוחרת בדבר צו של"צ</w:t>
      </w:r>
      <w:r>
        <w:rPr>
          <w:rFonts w:ascii="David" w:hAnsi="David"/>
          <w:rtl/>
        </w:rPr>
        <w:t xml:space="preserve">. </w:t>
      </w:r>
      <w:r>
        <w:rPr>
          <w:rFonts w:ascii="David" w:hAnsi="David" w:hint="eastAsia"/>
          <w:rtl/>
        </w:rPr>
        <w:t>לעניין</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צוין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כמות</w:t>
      </w:r>
      <w:r>
        <w:rPr>
          <w:rFonts w:ascii="David" w:hAnsi="David"/>
          <w:rtl/>
        </w:rPr>
        <w:t xml:space="preserve"> </w:t>
      </w:r>
      <w:r>
        <w:rPr>
          <w:rFonts w:ascii="David" w:hAnsi="David" w:hint="eastAsia"/>
          <w:rtl/>
        </w:rPr>
        <w:t>הסם</w:t>
      </w:r>
      <w:r>
        <w:rPr>
          <w:rFonts w:ascii="David" w:hAnsi="David"/>
          <w:rtl/>
        </w:rPr>
        <w:t xml:space="preserve"> </w:t>
      </w:r>
      <w:r>
        <w:rPr>
          <w:rFonts w:ascii="David" w:hAnsi="David" w:hint="eastAsia"/>
          <w:rtl/>
        </w:rPr>
        <w:t>שגידל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הייתה</w:t>
      </w:r>
      <w:r>
        <w:rPr>
          <w:rFonts w:ascii="David" w:hAnsi="David"/>
          <w:rtl/>
        </w:rPr>
        <w:t xml:space="preserve"> </w:t>
      </w:r>
      <w:r>
        <w:rPr>
          <w:rFonts w:ascii="David" w:hAnsi="David" w:hint="eastAsia"/>
          <w:rtl/>
        </w:rPr>
        <w:t>קטנה</w:t>
      </w:r>
      <w:r>
        <w:rPr>
          <w:rFonts w:ascii="David" w:hAnsi="David"/>
          <w:rtl/>
        </w:rPr>
        <w:t xml:space="preserve"> </w:t>
      </w:r>
      <w:r>
        <w:rPr>
          <w:rFonts w:ascii="David" w:hAnsi="David" w:hint="eastAsia"/>
          <w:rtl/>
        </w:rPr>
        <w:t>ביותר</w:t>
      </w:r>
      <w:r>
        <w:rPr>
          <w:rFonts w:ascii="David" w:hAnsi="David"/>
          <w:rtl/>
        </w:rPr>
        <w:t xml:space="preserve"> </w:t>
      </w:r>
      <w:r>
        <w:rPr>
          <w:rFonts w:ascii="David" w:hAnsi="David" w:hint="eastAsia"/>
          <w:rtl/>
        </w:rPr>
        <w:t>עד</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צוין</w:t>
      </w:r>
      <w:r>
        <w:rPr>
          <w:rFonts w:ascii="David" w:hAnsi="David"/>
          <w:rtl/>
        </w:rPr>
        <w:t xml:space="preserve"> </w:t>
      </w:r>
      <w:r>
        <w:rPr>
          <w:rFonts w:ascii="David" w:hAnsi="David" w:hint="eastAsia"/>
          <w:rtl/>
        </w:rPr>
        <w:t>משקל</w:t>
      </w:r>
      <w:r>
        <w:rPr>
          <w:rFonts w:ascii="David" w:hAnsi="David"/>
          <w:rtl/>
        </w:rPr>
        <w:t xml:space="preserve"> </w:t>
      </w:r>
      <w:r>
        <w:rPr>
          <w:rFonts w:ascii="David" w:hAnsi="David" w:hint="eastAsia"/>
          <w:rtl/>
        </w:rPr>
        <w:t>השתילים</w:t>
      </w:r>
      <w:r>
        <w:rPr>
          <w:rFonts w:ascii="David" w:hAnsi="David"/>
          <w:rtl/>
        </w:rPr>
        <w:t xml:space="preserve">. </w:t>
      </w:r>
      <w:r>
        <w:rPr>
          <w:rFonts w:ascii="David" w:hAnsi="David" w:hint="eastAsia"/>
          <w:rtl/>
        </w:rPr>
        <w:t>לאור</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ביקשה</w:t>
      </w:r>
      <w:r>
        <w:rPr>
          <w:rFonts w:ascii="David" w:hAnsi="David"/>
          <w:rtl/>
        </w:rPr>
        <w:t xml:space="preserve"> </w:t>
      </w:r>
      <w:r>
        <w:rPr>
          <w:rFonts w:ascii="David" w:hAnsi="David" w:hint="eastAsia"/>
          <w:rtl/>
        </w:rPr>
        <w:t>הסנגורית</w:t>
      </w:r>
      <w:r>
        <w:rPr>
          <w:rFonts w:ascii="David" w:hAnsi="David"/>
          <w:rtl/>
        </w:rPr>
        <w:t xml:space="preserve"> </w:t>
      </w:r>
      <w:r>
        <w:rPr>
          <w:rFonts w:ascii="David" w:hAnsi="David" w:hint="eastAsia"/>
          <w:rtl/>
        </w:rPr>
        <w:t>לקבוע</w:t>
      </w:r>
      <w:r>
        <w:rPr>
          <w:rFonts w:ascii="David" w:hAnsi="David"/>
          <w:rtl/>
        </w:rPr>
        <w:t xml:space="preserve"> </w:t>
      </w:r>
      <w:r>
        <w:rPr>
          <w:rFonts w:ascii="David" w:hAnsi="David" w:hint="eastAsia"/>
          <w:rtl/>
        </w:rPr>
        <w:t>שמטרת</w:t>
      </w:r>
      <w:r>
        <w:rPr>
          <w:rFonts w:ascii="David" w:hAnsi="David"/>
          <w:rtl/>
        </w:rPr>
        <w:t xml:space="preserve"> </w:t>
      </w:r>
      <w:r>
        <w:rPr>
          <w:rFonts w:ascii="David" w:hAnsi="David" w:hint="eastAsia"/>
          <w:rtl/>
        </w:rPr>
        <w:t>הגידול</w:t>
      </w:r>
      <w:r>
        <w:rPr>
          <w:rFonts w:ascii="David" w:hAnsi="David"/>
          <w:rtl/>
        </w:rPr>
        <w:t xml:space="preserve"> </w:t>
      </w:r>
      <w:r>
        <w:rPr>
          <w:rFonts w:ascii="David" w:hAnsi="David" w:hint="eastAsia"/>
          <w:rtl/>
        </w:rPr>
        <w:t>הייתה</w:t>
      </w:r>
      <w:r>
        <w:rPr>
          <w:rFonts w:ascii="David" w:hAnsi="David"/>
          <w:rtl/>
        </w:rPr>
        <w:t xml:space="preserve"> </w:t>
      </w:r>
      <w:r>
        <w:rPr>
          <w:rFonts w:ascii="David" w:hAnsi="David" w:hint="eastAsia"/>
          <w:rtl/>
        </w:rPr>
        <w:t>לשימוש</w:t>
      </w:r>
      <w:r>
        <w:rPr>
          <w:rFonts w:ascii="David" w:hAnsi="David"/>
          <w:rtl/>
        </w:rPr>
        <w:t xml:space="preserve"> </w:t>
      </w:r>
      <w:r>
        <w:rPr>
          <w:rFonts w:ascii="David" w:hAnsi="David" w:hint="eastAsia"/>
          <w:rtl/>
        </w:rPr>
        <w:t>עצמי</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צוינו</w:t>
      </w:r>
      <w:r>
        <w:rPr>
          <w:rFonts w:ascii="David" w:hAnsi="David"/>
          <w:rtl/>
        </w:rPr>
        <w:t xml:space="preserve"> </w:t>
      </w:r>
      <w:r>
        <w:rPr>
          <w:rFonts w:ascii="David" w:hAnsi="David" w:hint="eastAsia"/>
          <w:rtl/>
        </w:rPr>
        <w:t>נסיבותיו</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ניקיונו</w:t>
      </w:r>
      <w:r>
        <w:rPr>
          <w:rFonts w:ascii="David" w:hAnsi="David"/>
          <w:rtl/>
        </w:rPr>
        <w:t xml:space="preserve"> </w:t>
      </w:r>
      <w:r>
        <w:rPr>
          <w:rFonts w:ascii="David" w:hAnsi="David" w:hint="eastAsia"/>
          <w:rtl/>
        </w:rPr>
        <w:t>מסמים</w:t>
      </w:r>
      <w:r>
        <w:rPr>
          <w:rFonts w:ascii="David" w:hAnsi="David"/>
          <w:rtl/>
        </w:rPr>
        <w:t xml:space="preserve"> </w:t>
      </w:r>
      <w:r>
        <w:rPr>
          <w:rFonts w:ascii="David" w:hAnsi="David" w:hint="eastAsia"/>
          <w:rtl/>
        </w:rPr>
        <w:t>כיום</w:t>
      </w:r>
      <w:r>
        <w:rPr>
          <w:rFonts w:ascii="David" w:hAnsi="David"/>
          <w:rtl/>
        </w:rPr>
        <w:t xml:space="preserve"> </w:t>
      </w:r>
      <w:r>
        <w:rPr>
          <w:rFonts w:ascii="David" w:hAnsi="David" w:hint="eastAsia"/>
          <w:rtl/>
        </w:rPr>
        <w:t>והמוטיבציה</w:t>
      </w:r>
      <w:r>
        <w:rPr>
          <w:rFonts w:ascii="David" w:hAnsi="David"/>
          <w:rtl/>
        </w:rPr>
        <w:t xml:space="preserve"> </w:t>
      </w:r>
      <w:r>
        <w:rPr>
          <w:rFonts w:ascii="David" w:hAnsi="David" w:hint="eastAsia"/>
          <w:rtl/>
        </w:rPr>
        <w:t>שהפגין</w:t>
      </w:r>
      <w:r>
        <w:rPr>
          <w:rFonts w:ascii="David" w:hAnsi="David"/>
          <w:rtl/>
        </w:rPr>
        <w:t xml:space="preserve"> </w:t>
      </w:r>
      <w:r>
        <w:rPr>
          <w:rFonts w:ascii="David" w:hAnsi="David" w:hint="eastAsia"/>
          <w:rtl/>
        </w:rPr>
        <w:t>לעבור</w:t>
      </w:r>
      <w:r>
        <w:rPr>
          <w:rFonts w:ascii="David" w:hAnsi="David"/>
          <w:rtl/>
        </w:rPr>
        <w:t xml:space="preserve"> </w:t>
      </w:r>
      <w:r>
        <w:rPr>
          <w:rFonts w:ascii="David" w:hAnsi="David" w:hint="eastAsia"/>
          <w:rtl/>
        </w:rPr>
        <w:t>הליך</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לאור</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ביקשה</w:t>
      </w:r>
      <w:r>
        <w:rPr>
          <w:rFonts w:ascii="David" w:hAnsi="David"/>
          <w:rtl/>
        </w:rPr>
        <w:t xml:space="preserve"> </w:t>
      </w:r>
      <w:r>
        <w:rPr>
          <w:rFonts w:ascii="David" w:hAnsi="David" w:hint="eastAsia"/>
          <w:rtl/>
        </w:rPr>
        <w:t>הסנגורית</w:t>
      </w:r>
      <w:r>
        <w:rPr>
          <w:rFonts w:ascii="David" w:hAnsi="David"/>
          <w:rtl/>
        </w:rPr>
        <w:t xml:space="preserve"> </w:t>
      </w:r>
      <w:r>
        <w:rPr>
          <w:rFonts w:ascii="David" w:hAnsi="David" w:hint="eastAsia"/>
          <w:rtl/>
        </w:rPr>
        <w:t>להטיל</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צו</w:t>
      </w:r>
      <w:r>
        <w:rPr>
          <w:rFonts w:ascii="David" w:hAnsi="David"/>
          <w:rtl/>
        </w:rPr>
        <w:t xml:space="preserve"> </w:t>
      </w:r>
      <w:r>
        <w:rPr>
          <w:rFonts w:ascii="David" w:hAnsi="David" w:hint="eastAsia"/>
          <w:rtl/>
        </w:rPr>
        <w:t>מבחן</w:t>
      </w:r>
      <w:r>
        <w:rPr>
          <w:rFonts w:ascii="David" w:hAnsi="David"/>
          <w:rtl/>
        </w:rPr>
        <w:t xml:space="preserve"> </w:t>
      </w:r>
      <w:r>
        <w:rPr>
          <w:rFonts w:ascii="David" w:hAnsi="David" w:hint="cs"/>
          <w:rtl/>
        </w:rPr>
        <w:t xml:space="preserve">ושל"צ, </w:t>
      </w:r>
      <w:r>
        <w:rPr>
          <w:rFonts w:ascii="David" w:hAnsi="David" w:hint="eastAsia"/>
          <w:rtl/>
        </w:rPr>
        <w:t>כהמלצת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שישולב</w:t>
      </w:r>
      <w:r>
        <w:rPr>
          <w:rFonts w:ascii="David" w:hAnsi="David"/>
          <w:rtl/>
        </w:rPr>
        <w:t xml:space="preserve"> </w:t>
      </w:r>
      <w:r>
        <w:rPr>
          <w:rFonts w:ascii="David" w:hAnsi="David" w:hint="eastAsia"/>
          <w:rtl/>
        </w:rPr>
        <w:t>בהליך</w:t>
      </w:r>
      <w:r>
        <w:rPr>
          <w:rFonts w:ascii="David" w:hAnsi="David"/>
          <w:rtl/>
        </w:rPr>
        <w:t xml:space="preserve"> </w:t>
      </w:r>
      <w:r>
        <w:rPr>
          <w:rFonts w:ascii="David" w:hAnsi="David" w:hint="eastAsia"/>
          <w:rtl/>
        </w:rPr>
        <w:t>גמילה</w:t>
      </w:r>
      <w:r>
        <w:rPr>
          <w:rFonts w:ascii="David" w:hAnsi="David"/>
          <w:rtl/>
        </w:rPr>
        <w:t>.</w:t>
      </w:r>
    </w:p>
    <w:p w14:paraId="4966EE43" w14:textId="77777777" w:rsidR="00B76862" w:rsidRDefault="00B76862">
      <w:pPr>
        <w:spacing w:line="360" w:lineRule="auto"/>
        <w:ind w:left="720"/>
        <w:jc w:val="both"/>
        <w:rPr>
          <w:rFonts w:ascii="David" w:hAnsi="David"/>
        </w:rPr>
      </w:pPr>
    </w:p>
    <w:p w14:paraId="0CCF6259" w14:textId="77777777" w:rsidR="00B76862" w:rsidRDefault="00F428D9">
      <w:pPr>
        <w:numPr>
          <w:ilvl w:val="0"/>
          <w:numId w:val="1"/>
        </w:numPr>
        <w:spacing w:line="360" w:lineRule="auto"/>
        <w:jc w:val="both"/>
        <w:rPr>
          <w:rFonts w:ascii="David" w:hAnsi="David"/>
        </w:rPr>
      </w:pPr>
      <w:r>
        <w:rPr>
          <w:rFonts w:ascii="David" w:hAnsi="David" w:hint="eastAsia"/>
          <w:rtl/>
        </w:rPr>
        <w:t>הנאשם</w:t>
      </w:r>
      <w:r>
        <w:rPr>
          <w:rFonts w:ascii="David" w:hAnsi="David"/>
          <w:rtl/>
        </w:rPr>
        <w:t xml:space="preserve"> </w:t>
      </w:r>
      <w:r>
        <w:rPr>
          <w:rFonts w:ascii="David" w:hAnsi="David" w:hint="eastAsia"/>
          <w:rtl/>
        </w:rPr>
        <w:t>הביע</w:t>
      </w:r>
      <w:r>
        <w:rPr>
          <w:rFonts w:ascii="David" w:hAnsi="David"/>
          <w:rtl/>
        </w:rPr>
        <w:t xml:space="preserve"> </w:t>
      </w:r>
      <w:r>
        <w:rPr>
          <w:rFonts w:ascii="David" w:hAnsi="David" w:hint="eastAsia"/>
          <w:rtl/>
        </w:rPr>
        <w:t>צער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והודה</w:t>
      </w:r>
      <w:r>
        <w:rPr>
          <w:rFonts w:ascii="David" w:hAnsi="David"/>
          <w:rtl/>
        </w:rPr>
        <w:t xml:space="preserve"> </w:t>
      </w:r>
      <w:r>
        <w:rPr>
          <w:rFonts w:ascii="David" w:hAnsi="David" w:hint="eastAsia"/>
          <w:rtl/>
        </w:rPr>
        <w:t>בטעותו</w:t>
      </w:r>
      <w:r>
        <w:rPr>
          <w:rFonts w:ascii="David" w:hAnsi="David"/>
          <w:rtl/>
        </w:rPr>
        <w:t xml:space="preserve">. </w:t>
      </w:r>
      <w:r>
        <w:rPr>
          <w:rFonts w:ascii="David" w:hAnsi="David" w:hint="cs"/>
          <w:rtl/>
        </w:rPr>
        <w:t xml:space="preserve"> בטיעון משלים, הביע רצון עז לעבור הליך טיפולי והסכים לבצע צו של"צ.</w:t>
      </w:r>
    </w:p>
    <w:p w14:paraId="0AFCBA4A" w14:textId="77777777" w:rsidR="00B76862" w:rsidRDefault="00B76862">
      <w:pPr>
        <w:spacing w:line="360" w:lineRule="auto"/>
        <w:ind w:left="360"/>
        <w:jc w:val="both"/>
        <w:rPr>
          <w:rFonts w:ascii="David" w:hAnsi="David"/>
          <w:b/>
          <w:bCs/>
          <w:u w:val="single"/>
          <w:rtl/>
        </w:rPr>
      </w:pPr>
    </w:p>
    <w:p w14:paraId="1C836713" w14:textId="77777777" w:rsidR="00B76862" w:rsidRDefault="00B76862">
      <w:pPr>
        <w:spacing w:line="360" w:lineRule="auto"/>
        <w:ind w:firstLine="360"/>
        <w:jc w:val="both"/>
        <w:rPr>
          <w:b/>
          <w:bCs/>
          <w:u w:val="single"/>
          <w:rtl/>
        </w:rPr>
      </w:pPr>
    </w:p>
    <w:p w14:paraId="78161499" w14:textId="77777777" w:rsidR="00B76862" w:rsidRDefault="00F428D9">
      <w:pPr>
        <w:spacing w:line="360" w:lineRule="auto"/>
        <w:ind w:firstLine="360"/>
        <w:jc w:val="both"/>
        <w:rPr>
          <w:b/>
          <w:bCs/>
          <w:u w:val="single"/>
          <w:rtl/>
        </w:rPr>
      </w:pPr>
      <w:r>
        <w:rPr>
          <w:b/>
          <w:bCs/>
          <w:u w:val="single"/>
          <w:rtl/>
        </w:rPr>
        <w:t>דיון והכרעה.</w:t>
      </w:r>
    </w:p>
    <w:p w14:paraId="0221237A" w14:textId="77777777" w:rsidR="00B76862" w:rsidRDefault="00F428D9">
      <w:pPr>
        <w:spacing w:line="360" w:lineRule="auto"/>
        <w:ind w:left="360"/>
        <w:jc w:val="both"/>
        <w:rPr>
          <w:rFonts w:ascii="David" w:hAnsi="David"/>
          <w:b/>
          <w:bCs/>
          <w:u w:val="single"/>
          <w:rtl/>
        </w:rPr>
      </w:pPr>
      <w:r>
        <w:rPr>
          <w:rFonts w:ascii="David" w:hAnsi="David" w:hint="eastAsia"/>
          <w:b/>
          <w:bCs/>
          <w:u w:val="single"/>
          <w:rtl/>
        </w:rPr>
        <w:t>קביעת</w:t>
      </w:r>
      <w:r>
        <w:rPr>
          <w:rFonts w:ascii="David" w:hAnsi="David"/>
          <w:b/>
          <w:bCs/>
          <w:u w:val="single"/>
          <w:rtl/>
        </w:rPr>
        <w:t xml:space="preserve"> </w:t>
      </w:r>
      <w:r>
        <w:rPr>
          <w:rFonts w:ascii="David" w:hAnsi="David" w:hint="eastAsia"/>
          <w:b/>
          <w:bCs/>
          <w:u w:val="single"/>
          <w:rtl/>
        </w:rPr>
        <w:t>מתחם</w:t>
      </w:r>
      <w:r>
        <w:rPr>
          <w:rFonts w:ascii="David" w:hAnsi="David"/>
          <w:b/>
          <w:bCs/>
          <w:u w:val="single"/>
          <w:rtl/>
        </w:rPr>
        <w:t xml:space="preserve"> </w:t>
      </w:r>
      <w:r>
        <w:rPr>
          <w:rFonts w:ascii="David" w:hAnsi="David" w:hint="eastAsia"/>
          <w:b/>
          <w:bCs/>
          <w:u w:val="single"/>
          <w:rtl/>
        </w:rPr>
        <w:t>הענישה</w:t>
      </w:r>
      <w:r>
        <w:rPr>
          <w:rFonts w:ascii="David" w:hAnsi="David"/>
          <w:b/>
          <w:bCs/>
          <w:u w:val="single"/>
          <w:rtl/>
        </w:rPr>
        <w:t>.</w:t>
      </w:r>
    </w:p>
    <w:p w14:paraId="4C5AB664" w14:textId="77777777" w:rsidR="00B76862" w:rsidRDefault="00B76862">
      <w:pPr>
        <w:spacing w:line="360" w:lineRule="auto"/>
        <w:ind w:left="360"/>
        <w:jc w:val="both"/>
        <w:rPr>
          <w:rFonts w:ascii="David" w:hAnsi="David"/>
          <w:b/>
          <w:bCs/>
          <w:u w:val="single"/>
        </w:rPr>
      </w:pPr>
    </w:p>
    <w:p w14:paraId="4F140793" w14:textId="77777777" w:rsidR="00B76862" w:rsidRDefault="00F428D9">
      <w:pPr>
        <w:numPr>
          <w:ilvl w:val="0"/>
          <w:numId w:val="1"/>
        </w:numPr>
        <w:spacing w:line="360" w:lineRule="auto"/>
        <w:jc w:val="both"/>
        <w:rPr>
          <w:rFonts w:ascii="David" w:hAnsi="David"/>
          <w:b/>
          <w:bCs/>
          <w:u w:val="single"/>
          <w:rtl/>
        </w:rPr>
      </w:pPr>
      <w:r>
        <w:rPr>
          <w:rtl/>
        </w:rPr>
        <w:t xml:space="preserve">בהתאם לתיקון 113 על בית המשפט לגזור את הדין לאחר קביעת מתחם ענישה ההולם את העבירה בנסיבותיה, וזאת בשים לב לעקרון המנחה בענישה שהנו הלימה; הערך המוגן שנפגע; נסיבות ביצוע העבירה; ומדיניות הענישה הנוהגת. קודם לקביעת המתחם, יש לקבוע האם העבירות בהן הורשע הנאשם מהוות אירוע אחד, או שמא מספר אירועים בהתאם </w:t>
      </w:r>
      <w:hyperlink r:id="rId28" w:history="1">
        <w:r w:rsidR="008F426A" w:rsidRPr="008F426A">
          <w:rPr>
            <w:rStyle w:val="Hyperlink"/>
            <w:rtl/>
          </w:rPr>
          <w:t>לסעיף 40יג'(א)</w:t>
        </w:r>
      </w:hyperlink>
      <w:r>
        <w:rPr>
          <w:rtl/>
        </w:rPr>
        <w:t xml:space="preserve"> ל</w:t>
      </w:r>
      <w:hyperlink r:id="rId29" w:history="1">
        <w:r w:rsidRPr="00F428D9">
          <w:rPr>
            <w:rStyle w:val="Hyperlink"/>
            <w:rtl/>
          </w:rPr>
          <w:t>חוק העונשין</w:t>
        </w:r>
      </w:hyperlink>
      <w:r>
        <w:rPr>
          <w:rtl/>
        </w:rPr>
        <w:t xml:space="preserve">. בענייננו מדובר באירוע אחד הכולל מספר עבירות, שכן קיים בין האירועים קשר הדוק וברור ועל כן בכוונתי לקבוע מתחם עונש הולם אחד (ראה: </w:t>
      </w:r>
      <w:hyperlink r:id="rId30" w:history="1">
        <w:r w:rsidRPr="00F428D9">
          <w:rPr>
            <w:rStyle w:val="Hyperlink"/>
            <w:rtl/>
          </w:rPr>
          <w:t>ע"פ 4910/13</w:t>
        </w:r>
      </w:hyperlink>
      <w:r>
        <w:rPr>
          <w:rtl/>
        </w:rPr>
        <w:t xml:space="preserve"> </w:t>
      </w:r>
      <w:r>
        <w:rPr>
          <w:b/>
          <w:bCs/>
          <w:rtl/>
        </w:rPr>
        <w:t>ג'אבר נ' מדינת ישראל</w:t>
      </w:r>
      <w:r>
        <w:rPr>
          <w:rtl/>
        </w:rPr>
        <w:t xml:space="preserve"> (29.10.14); </w:t>
      </w:r>
      <w:hyperlink r:id="rId31" w:history="1">
        <w:r w:rsidRPr="00F428D9">
          <w:rPr>
            <w:rStyle w:val="Hyperlink"/>
            <w:rtl/>
          </w:rPr>
          <w:t>ע"פ 1261/15</w:t>
        </w:r>
      </w:hyperlink>
      <w:r>
        <w:rPr>
          <w:rtl/>
        </w:rPr>
        <w:t xml:space="preserve"> </w:t>
      </w:r>
      <w:r>
        <w:rPr>
          <w:b/>
          <w:bCs/>
          <w:rtl/>
        </w:rPr>
        <w:t xml:space="preserve">מדינת ישראל נ' יוסף דלאל </w:t>
      </w:r>
      <w:r>
        <w:rPr>
          <w:rtl/>
        </w:rPr>
        <w:t xml:space="preserve">(3.9.15)). לאחר קביעת מתחם הענישה, יש להחליט אם לגזור את עונשו של הנאשם בגדרי המתחם, או שמא קיימות נסיבות במקרה זה המצדיקות חריגה ממנו. </w:t>
      </w:r>
    </w:p>
    <w:p w14:paraId="4E737CCD" w14:textId="77777777" w:rsidR="00B76862" w:rsidRDefault="00B76862">
      <w:pPr>
        <w:spacing w:line="360" w:lineRule="auto"/>
        <w:ind w:left="360"/>
        <w:jc w:val="both"/>
        <w:rPr>
          <w:rFonts w:ascii="David" w:hAnsi="David"/>
          <w:b/>
          <w:bCs/>
          <w:u w:val="single"/>
          <w:rtl/>
        </w:rPr>
      </w:pPr>
    </w:p>
    <w:p w14:paraId="3F879B9D" w14:textId="77777777" w:rsidR="00B76862" w:rsidRDefault="00F428D9">
      <w:pPr>
        <w:numPr>
          <w:ilvl w:val="0"/>
          <w:numId w:val="1"/>
        </w:numPr>
        <w:spacing w:line="360" w:lineRule="auto"/>
        <w:jc w:val="both"/>
      </w:pPr>
      <w:r>
        <w:rPr>
          <w:b/>
          <w:bCs/>
          <w:rtl/>
        </w:rPr>
        <w:t xml:space="preserve">הערכים המוגנים בבסיס העבירה: </w:t>
      </w:r>
      <w:r>
        <w:rPr>
          <w:rtl/>
        </w:rPr>
        <w:t>המעשים המיוחסים לנאשם פוגעים בערכים של בטחון הציבור ושלומו, ו</w:t>
      </w:r>
      <w:r>
        <w:rPr>
          <w:rFonts w:hint="cs"/>
          <w:rtl/>
        </w:rPr>
        <w:t>בכלל זה גם ב</w:t>
      </w:r>
      <w:r>
        <w:rPr>
          <w:rtl/>
        </w:rPr>
        <w:t>נאשם</w:t>
      </w:r>
      <w:r>
        <w:rPr>
          <w:rFonts w:hint="cs"/>
          <w:rtl/>
        </w:rPr>
        <w:t xml:space="preserve"> עצמו</w:t>
      </w:r>
      <w:r>
        <w:rPr>
          <w:rtl/>
        </w:rPr>
        <w:t>. הסכנות הטמונות ב</w:t>
      </w:r>
      <w:r>
        <w:rPr>
          <w:rFonts w:hint="cs"/>
          <w:rtl/>
        </w:rPr>
        <w:t>שימוש</w:t>
      </w:r>
      <w:r>
        <w:rPr>
          <w:rtl/>
        </w:rPr>
        <w:t xml:space="preserve"> </w:t>
      </w:r>
      <w:r>
        <w:rPr>
          <w:rFonts w:hint="cs"/>
          <w:rtl/>
        </w:rPr>
        <w:t>ב</w:t>
      </w:r>
      <w:r>
        <w:rPr>
          <w:rtl/>
        </w:rPr>
        <w:t>ס</w:t>
      </w:r>
      <w:r>
        <w:rPr>
          <w:rFonts w:hint="cs"/>
          <w:rtl/>
        </w:rPr>
        <w:t>מי</w:t>
      </w:r>
      <w:r>
        <w:rPr>
          <w:rtl/>
        </w:rPr>
        <w:t>ם ידועות ואין צורך להכביר מילים על הנזקים העקיפים והישירים שעלולים להיגרם לחברה ולפרט ממעשים אלו (</w:t>
      </w:r>
      <w:r>
        <w:rPr>
          <w:rFonts w:ascii="David" w:hAnsi="David" w:hint="eastAsia"/>
          <w:rtl/>
        </w:rPr>
        <w:t>ראו</w:t>
      </w:r>
      <w:r>
        <w:rPr>
          <w:rFonts w:ascii="David" w:hAnsi="David"/>
          <w:rtl/>
        </w:rPr>
        <w:t xml:space="preserve">: </w:t>
      </w:r>
      <w:hyperlink r:id="rId32" w:history="1">
        <w:r w:rsidRPr="00F428D9">
          <w:rPr>
            <w:rStyle w:val="Hyperlink"/>
            <w:rFonts w:ascii="David" w:hAnsi="David"/>
            <w:rtl/>
          </w:rPr>
          <w:t>ע"פ 11220/03</w:t>
        </w:r>
      </w:hyperlink>
      <w:r>
        <w:rPr>
          <w:rFonts w:ascii="David" w:hAnsi="David"/>
          <w:rtl/>
        </w:rPr>
        <w:t xml:space="preserve"> </w:t>
      </w:r>
      <w:r>
        <w:rPr>
          <w:rFonts w:ascii="David" w:hAnsi="David" w:hint="eastAsia"/>
          <w:b/>
          <w:bCs/>
          <w:rtl/>
        </w:rPr>
        <w:t>פלוני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(6.7.05))</w:t>
      </w:r>
      <w:r>
        <w:rPr>
          <w:rtl/>
        </w:rPr>
        <w:t xml:space="preserve">. עם זאת מידת הפגיעה </w:t>
      </w:r>
      <w:r>
        <w:rPr>
          <w:rFonts w:hint="cs"/>
          <w:rtl/>
        </w:rPr>
        <w:t xml:space="preserve">במקרה זה </w:t>
      </w:r>
      <w:r>
        <w:rPr>
          <w:rtl/>
        </w:rPr>
        <w:t>אינה גבוהה וזאת בשל נסיבות ביצוע העבירות כפי שאפרט להלן.</w:t>
      </w:r>
    </w:p>
    <w:p w14:paraId="5069B964" w14:textId="77777777" w:rsidR="00B76862" w:rsidRDefault="00B76862">
      <w:pPr>
        <w:spacing w:line="360" w:lineRule="auto"/>
        <w:ind w:left="720"/>
        <w:contextualSpacing/>
        <w:jc w:val="both"/>
      </w:pPr>
    </w:p>
    <w:p w14:paraId="02FA05A0" w14:textId="77777777" w:rsidR="00B76862" w:rsidRDefault="00F428D9">
      <w:pPr>
        <w:numPr>
          <w:ilvl w:val="0"/>
          <w:numId w:val="1"/>
        </w:numPr>
        <w:spacing w:line="360" w:lineRule="auto"/>
        <w:jc w:val="both"/>
      </w:pPr>
      <w:r>
        <w:rPr>
          <w:b/>
          <w:bCs/>
          <w:rtl/>
        </w:rPr>
        <w:t>נסיבות ביצוע העבירות:</w:t>
      </w:r>
      <w:r>
        <w:rPr>
          <w:rtl/>
        </w:rPr>
        <w:t xml:space="preserve"> גידול סמים מחייב תכנון מוקדם, לימוד, רכישת ציוד, היערכות והתמדה. נתונים אלו יש לשקול לחומרה. </w:t>
      </w:r>
    </w:p>
    <w:p w14:paraId="4CB68BDD" w14:textId="77777777" w:rsidR="00B76862" w:rsidRDefault="00B76862">
      <w:pPr>
        <w:spacing w:after="160" w:line="259" w:lineRule="auto"/>
        <w:ind w:left="720"/>
        <w:contextualSpacing/>
        <w:rPr>
          <w:rtl/>
        </w:rPr>
      </w:pPr>
    </w:p>
    <w:p w14:paraId="122074BB" w14:textId="77777777" w:rsidR="00B76862" w:rsidRDefault="00F428D9">
      <w:pPr>
        <w:numPr>
          <w:ilvl w:val="0"/>
          <w:numId w:val="1"/>
        </w:numPr>
        <w:spacing w:line="360" w:lineRule="auto"/>
        <w:jc w:val="both"/>
        <w:rPr>
          <w:rtl/>
        </w:rPr>
      </w:pPr>
      <w:r>
        <w:rPr>
          <w:b/>
          <w:bCs/>
          <w:rtl/>
        </w:rPr>
        <w:t>מטרת גידול הסמים:</w:t>
      </w:r>
      <w:r>
        <w:rPr>
          <w:rtl/>
        </w:rPr>
        <w:t xml:space="preserve"> עבירת גידול סמים לפי </w:t>
      </w:r>
      <w:hyperlink r:id="rId33" w:history="1">
        <w:r w:rsidR="008F426A" w:rsidRPr="008F426A">
          <w:rPr>
            <w:rStyle w:val="Hyperlink"/>
            <w:rtl/>
          </w:rPr>
          <w:t>סעיף 6</w:t>
        </w:r>
      </w:hyperlink>
      <w:r>
        <w:rPr>
          <w:rtl/>
        </w:rPr>
        <w:t xml:space="preserve"> לפקודת הסמים, אינה כוללת חלופה עונשית קלה יותר, במקרה בו מוכח שמטרת הגידול הייתה לשימוש עצמי, כפי שקיים במקרה בו מדובר בהחזקה של סם (ראה </w:t>
      </w:r>
      <w:hyperlink r:id="rId34" w:history="1">
        <w:r w:rsidR="008F426A" w:rsidRPr="008F426A">
          <w:rPr>
            <w:rStyle w:val="Hyperlink"/>
            <w:rFonts w:hint="eastAsia"/>
            <w:rtl/>
          </w:rPr>
          <w:t>סעיף</w:t>
        </w:r>
        <w:r w:rsidR="008F426A" w:rsidRPr="008F426A">
          <w:rPr>
            <w:rStyle w:val="Hyperlink"/>
            <w:rtl/>
          </w:rPr>
          <w:t xml:space="preserve"> 7(ג)</w:t>
        </w:r>
      </w:hyperlink>
      <w:r>
        <w:rPr>
          <w:rFonts w:hint="cs"/>
          <w:rtl/>
        </w:rPr>
        <w:t xml:space="preserve"> </w:t>
      </w:r>
      <w:r>
        <w:rPr>
          <w:rtl/>
        </w:rPr>
        <w:t xml:space="preserve">לפקודת הסמים). </w:t>
      </w:r>
      <w:r>
        <w:rPr>
          <w:rFonts w:hint="cs"/>
          <w:rtl/>
        </w:rPr>
        <w:t>למרות זאת</w:t>
      </w:r>
      <w:r>
        <w:rPr>
          <w:rtl/>
        </w:rPr>
        <w:t xml:space="preserve">, ברי שמדובר בנסיבה משמעותית לעונש (ראה </w:t>
      </w:r>
      <w:hyperlink r:id="rId35" w:history="1">
        <w:r w:rsidR="008F426A" w:rsidRPr="008F426A">
          <w:rPr>
            <w:rStyle w:val="Hyperlink"/>
            <w:rtl/>
          </w:rPr>
          <w:t>סעיף 40ט'(5)</w:t>
        </w:r>
      </w:hyperlink>
      <w:r>
        <w:rPr>
          <w:rtl/>
        </w:rPr>
        <w:t xml:space="preserve"> ל</w:t>
      </w:r>
      <w:hyperlink r:id="rId36" w:history="1">
        <w:r w:rsidRPr="00F428D9">
          <w:rPr>
            <w:rStyle w:val="Hyperlink"/>
            <w:rtl/>
          </w:rPr>
          <w:t>חוק העונשין</w:t>
        </w:r>
      </w:hyperlink>
      <w:r>
        <w:rPr>
          <w:rtl/>
        </w:rPr>
        <w:t xml:space="preserve">, וכן לעניין הנזק הצפוי ראה </w:t>
      </w:r>
      <w:hyperlink r:id="rId37" w:history="1">
        <w:r w:rsidR="008F426A" w:rsidRPr="008F426A">
          <w:rPr>
            <w:rStyle w:val="Hyperlink"/>
            <w:rtl/>
          </w:rPr>
          <w:t>סעיפים 40ט' (3)-(4)</w:t>
        </w:r>
      </w:hyperlink>
      <w:r>
        <w:rPr>
          <w:rtl/>
        </w:rPr>
        <w:t xml:space="preserve"> לחוק העונשין). בענייננו, כתב האישום המתוקן שותק ביחס לנסיבה זו. ככלל, על כתב אישום מתוקן בו הודה נאשם במסגרת הסדר טיעון, לכלול את כל העובדות הנחוצות לצורך גזירת הדין (</w:t>
      </w:r>
      <w:hyperlink r:id="rId38" w:history="1">
        <w:r w:rsidR="008F426A" w:rsidRPr="008F426A">
          <w:rPr>
            <w:rStyle w:val="Hyperlink"/>
            <w:rtl/>
          </w:rPr>
          <w:t>סעיף 40י(ד)</w:t>
        </w:r>
      </w:hyperlink>
      <w:r>
        <w:rPr>
          <w:rtl/>
        </w:rPr>
        <w:t xml:space="preserve"> ל</w:t>
      </w:r>
      <w:hyperlink r:id="rId39" w:history="1">
        <w:r w:rsidRPr="00F428D9">
          <w:rPr>
            <w:rStyle w:val="Hyperlink"/>
            <w:rtl/>
          </w:rPr>
          <w:t>חוק העונשין</w:t>
        </w:r>
      </w:hyperlink>
      <w:r>
        <w:rPr>
          <w:rtl/>
        </w:rPr>
        <w:t xml:space="preserve">). בפסיקה נקבע שאין מקום לקבל במהלך הטיעון לעונש, ראיות לצורך קביעת נסיבות הקשורות בביצוע העבירה, כאשר מדובר בהסדר טיעון, אלא במקרים שפורטו </w:t>
      </w:r>
      <w:hyperlink r:id="rId40" w:history="1">
        <w:r w:rsidR="008F426A" w:rsidRPr="008F426A">
          <w:rPr>
            <w:rStyle w:val="Hyperlink"/>
            <w:rtl/>
          </w:rPr>
          <w:t>בסעיף 40י(ב)</w:t>
        </w:r>
      </w:hyperlink>
      <w:r>
        <w:rPr>
          <w:rtl/>
        </w:rPr>
        <w:t xml:space="preserve"> ל</w:t>
      </w:r>
      <w:hyperlink r:id="rId41" w:history="1">
        <w:r w:rsidRPr="00F428D9">
          <w:rPr>
            <w:rStyle w:val="Hyperlink"/>
            <w:rtl/>
          </w:rPr>
          <w:t>חוק העונשין</w:t>
        </w:r>
      </w:hyperlink>
      <w:r>
        <w:rPr>
          <w:rtl/>
        </w:rPr>
        <w:t>, (</w:t>
      </w:r>
      <w:hyperlink r:id="rId42" w:history="1">
        <w:r w:rsidRPr="00F428D9">
          <w:rPr>
            <w:rStyle w:val="Hyperlink"/>
            <w:noProof/>
            <w:rtl/>
          </w:rPr>
          <w:t>ע"פ 5841/14</w:t>
        </w:r>
      </w:hyperlink>
      <w:r>
        <w:rPr>
          <w:noProof/>
          <w:rtl/>
        </w:rPr>
        <w:t xml:space="preserve"> </w:t>
      </w:r>
      <w:r>
        <w:rPr>
          <w:b/>
          <w:bCs/>
          <w:noProof/>
          <w:rtl/>
        </w:rPr>
        <w:t>ארקאן נגד מדינת ישראל</w:t>
      </w:r>
      <w:r>
        <w:rPr>
          <w:noProof/>
          <w:rtl/>
        </w:rPr>
        <w:t xml:space="preserve"> (8.7.2015)</w:t>
      </w:r>
      <w:r>
        <w:rPr>
          <w:rFonts w:ascii="Century" w:hAnsi="Century"/>
          <w:rtl/>
        </w:rPr>
        <w:t xml:space="preserve">; </w:t>
      </w:r>
      <w:hyperlink r:id="rId43" w:history="1">
        <w:r w:rsidRPr="00F428D9">
          <w:rPr>
            <w:rStyle w:val="Hyperlink"/>
            <w:rFonts w:ascii="Century" w:hAnsi="Century" w:hint="eastAsia"/>
            <w:rtl/>
          </w:rPr>
          <w:t>ע</w:t>
        </w:r>
        <w:r w:rsidRPr="00F428D9">
          <w:rPr>
            <w:rStyle w:val="Hyperlink"/>
            <w:rFonts w:ascii="Century" w:hAnsi="Century"/>
            <w:rtl/>
          </w:rPr>
          <w:t>"</w:t>
        </w:r>
        <w:r w:rsidRPr="00F428D9">
          <w:rPr>
            <w:rStyle w:val="Hyperlink"/>
            <w:rFonts w:ascii="Century" w:hAnsi="Century" w:hint="eastAsia"/>
            <w:rtl/>
          </w:rPr>
          <w:t>פ</w:t>
        </w:r>
        <w:r w:rsidRPr="00F428D9">
          <w:rPr>
            <w:rStyle w:val="Hyperlink"/>
            <w:rFonts w:ascii="Century" w:hAnsi="Century"/>
            <w:rtl/>
          </w:rPr>
          <w:t xml:space="preserve"> 4289/14</w:t>
        </w:r>
      </w:hyperlink>
      <w:r>
        <w:rPr>
          <w:rFonts w:ascii="Century" w:hAnsi="Century"/>
          <w:rtl/>
        </w:rPr>
        <w:t xml:space="preserve"> </w:t>
      </w:r>
      <w:r>
        <w:rPr>
          <w:rFonts w:ascii="Century" w:hAnsi="Century" w:hint="eastAsia"/>
          <w:b/>
          <w:bCs/>
          <w:rtl/>
        </w:rPr>
        <w:t>אורן</w:t>
      </w:r>
      <w:r>
        <w:rPr>
          <w:rFonts w:ascii="Century" w:hAnsi="Century"/>
          <w:b/>
          <w:bCs/>
          <w:rtl/>
        </w:rPr>
        <w:t xml:space="preserve"> </w:t>
      </w:r>
      <w:r>
        <w:rPr>
          <w:rFonts w:ascii="Century" w:hAnsi="Century" w:hint="eastAsia"/>
          <w:b/>
          <w:bCs/>
          <w:rtl/>
        </w:rPr>
        <w:t>חנוכה</w:t>
      </w:r>
      <w:r>
        <w:rPr>
          <w:rFonts w:ascii="Century" w:hAnsi="Century"/>
          <w:b/>
          <w:bCs/>
          <w:rtl/>
        </w:rPr>
        <w:t xml:space="preserve"> </w:t>
      </w:r>
      <w:r>
        <w:rPr>
          <w:rFonts w:ascii="Century" w:hAnsi="Century" w:hint="eastAsia"/>
          <w:b/>
          <w:bCs/>
          <w:rtl/>
        </w:rPr>
        <w:t>ושושן</w:t>
      </w:r>
      <w:r>
        <w:rPr>
          <w:rFonts w:ascii="Century" w:hAnsi="Century"/>
          <w:b/>
          <w:bCs/>
          <w:rtl/>
        </w:rPr>
        <w:t xml:space="preserve"> </w:t>
      </w:r>
      <w:r>
        <w:rPr>
          <w:rFonts w:ascii="Century" w:hAnsi="Century" w:hint="eastAsia"/>
          <w:b/>
          <w:bCs/>
          <w:rtl/>
        </w:rPr>
        <w:t>ברבי</w:t>
      </w:r>
      <w:r>
        <w:rPr>
          <w:rFonts w:ascii="Century" w:hAnsi="Century"/>
          <w:b/>
          <w:bCs/>
          <w:rtl/>
        </w:rPr>
        <w:t xml:space="preserve"> </w:t>
      </w:r>
      <w:r>
        <w:rPr>
          <w:rFonts w:ascii="Century" w:hAnsi="Century" w:hint="eastAsia"/>
          <w:b/>
          <w:bCs/>
          <w:rtl/>
        </w:rPr>
        <w:t>נ</w:t>
      </w:r>
      <w:r>
        <w:rPr>
          <w:rFonts w:ascii="Century" w:hAnsi="Century"/>
          <w:b/>
          <w:bCs/>
          <w:rtl/>
        </w:rPr>
        <w:t xml:space="preserve">' </w:t>
      </w:r>
      <w:r>
        <w:rPr>
          <w:rFonts w:ascii="Century" w:hAnsi="Century" w:hint="eastAsia"/>
          <w:b/>
          <w:bCs/>
          <w:rtl/>
        </w:rPr>
        <w:t>מדינת</w:t>
      </w:r>
      <w:r>
        <w:rPr>
          <w:rFonts w:ascii="Century" w:hAnsi="Century"/>
          <w:b/>
          <w:bCs/>
          <w:rtl/>
        </w:rPr>
        <w:t xml:space="preserve"> </w:t>
      </w:r>
      <w:r>
        <w:rPr>
          <w:rFonts w:ascii="Century" w:hAnsi="Century" w:hint="eastAsia"/>
          <w:b/>
          <w:bCs/>
          <w:rtl/>
        </w:rPr>
        <w:t>ישראל</w:t>
      </w:r>
      <w:r>
        <w:rPr>
          <w:rFonts w:ascii="Century" w:hAnsi="Century"/>
          <w:rtl/>
        </w:rPr>
        <w:t xml:space="preserve"> (21.1.15)</w:t>
      </w:r>
      <w:r>
        <w:rPr>
          <w:rtl/>
        </w:rPr>
        <w:t xml:space="preserve">; </w:t>
      </w:r>
      <w:hyperlink r:id="rId44" w:history="1">
        <w:r w:rsidRPr="00F428D9">
          <w:rPr>
            <w:rStyle w:val="Hyperlink"/>
            <w:rFonts w:ascii="Calibri" w:hAnsi="Calibri" w:hint="eastAsia"/>
            <w:rtl/>
          </w:rPr>
          <w:t>ע</w:t>
        </w:r>
        <w:r w:rsidRPr="00F428D9">
          <w:rPr>
            <w:rStyle w:val="Hyperlink"/>
            <w:rFonts w:ascii="Calibri" w:hAnsi="Calibri"/>
            <w:rtl/>
          </w:rPr>
          <w:t>"</w:t>
        </w:r>
        <w:r w:rsidRPr="00F428D9">
          <w:rPr>
            <w:rStyle w:val="Hyperlink"/>
            <w:rFonts w:ascii="Calibri" w:hAnsi="Calibri" w:hint="eastAsia"/>
            <w:rtl/>
          </w:rPr>
          <w:t>פ</w:t>
        </w:r>
        <w:r w:rsidRPr="00F428D9">
          <w:rPr>
            <w:rStyle w:val="Hyperlink"/>
            <w:rFonts w:ascii="Calibri" w:hAnsi="Calibri"/>
            <w:rtl/>
          </w:rPr>
          <w:t xml:space="preserve"> 7349/14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פלונית</w:t>
      </w:r>
      <w:r>
        <w:rPr>
          <w:rFonts w:ascii="Calibri" w:hAnsi="Calibri"/>
          <w:b/>
          <w:bCs/>
          <w:rtl/>
        </w:rPr>
        <w:t xml:space="preserve"> </w:t>
      </w:r>
      <w:r>
        <w:rPr>
          <w:rFonts w:ascii="Calibri" w:hAnsi="Calibri"/>
          <w:rtl/>
        </w:rPr>
        <w:t>(14.5.15)).</w:t>
      </w:r>
    </w:p>
    <w:p w14:paraId="022AF371" w14:textId="77777777" w:rsidR="00B76862" w:rsidRDefault="00B76862">
      <w:pPr>
        <w:spacing w:after="160" w:line="259" w:lineRule="auto"/>
        <w:ind w:left="720"/>
        <w:contextualSpacing/>
        <w:rPr>
          <w:rtl/>
        </w:rPr>
      </w:pPr>
    </w:p>
    <w:p w14:paraId="44C9F0CB" w14:textId="77777777" w:rsidR="00B76862" w:rsidRDefault="00F428D9">
      <w:pPr>
        <w:numPr>
          <w:ilvl w:val="0"/>
          <w:numId w:val="1"/>
        </w:numPr>
        <w:spacing w:line="360" w:lineRule="auto"/>
        <w:jc w:val="both"/>
      </w:pPr>
      <w:r>
        <w:rPr>
          <w:rtl/>
        </w:rPr>
        <w:t>במקרה זה, אינני רואה מחסום דיוני כלשהו המונע קביעה בדבר מטרת הגידול ואף הונחו בפני די נתונים לצורך גיבוש מסקנה בנושא. הטעם לכך נובע מהנימוקים הבאים</w:t>
      </w:r>
      <w:r>
        <w:rPr>
          <w:rFonts w:hint="cs"/>
          <w:rtl/>
        </w:rPr>
        <w:t>:</w:t>
      </w:r>
      <w:r>
        <w:rPr>
          <w:rtl/>
        </w:rPr>
        <w:t xml:space="preserve"> </w:t>
      </w:r>
    </w:p>
    <w:p w14:paraId="1227852D" w14:textId="77777777" w:rsidR="00B76862" w:rsidRDefault="00B76862">
      <w:pPr>
        <w:spacing w:line="360" w:lineRule="auto"/>
        <w:ind w:left="720"/>
        <w:jc w:val="both"/>
        <w:rPr>
          <w:rtl/>
        </w:rPr>
      </w:pPr>
    </w:p>
    <w:p w14:paraId="112CC945" w14:textId="77777777" w:rsidR="00B76862" w:rsidRDefault="00F428D9">
      <w:pPr>
        <w:spacing w:line="360" w:lineRule="auto"/>
        <w:ind w:left="720"/>
        <w:jc w:val="both"/>
        <w:rPr>
          <w:rtl/>
        </w:rPr>
      </w:pPr>
      <w:r>
        <w:rPr>
          <w:b/>
          <w:bCs/>
          <w:rtl/>
        </w:rPr>
        <w:t>ראשית</w:t>
      </w:r>
      <w:r>
        <w:rPr>
          <w:rtl/>
        </w:rPr>
        <w:t xml:space="preserve">, כל אחד מהצדדים ניסה לשכנע בשלב הטיעון לעונש בדבר מטרת גידול הסמים לשיטתו. מכך נובעת הסכמה דיונית שהנושא יוכרע על ידי בית המשפט במסגרת גזר הדין. </w:t>
      </w:r>
    </w:p>
    <w:p w14:paraId="7E321F33" w14:textId="77777777" w:rsidR="00B76862" w:rsidRDefault="00B76862">
      <w:pPr>
        <w:spacing w:line="360" w:lineRule="auto"/>
        <w:ind w:left="720"/>
        <w:jc w:val="both"/>
        <w:rPr>
          <w:rtl/>
        </w:rPr>
      </w:pPr>
    </w:p>
    <w:p w14:paraId="63E3DE23" w14:textId="77777777" w:rsidR="00B76862" w:rsidRDefault="00F428D9">
      <w:pPr>
        <w:spacing w:line="360" w:lineRule="auto"/>
        <w:ind w:left="720"/>
        <w:jc w:val="both"/>
      </w:pPr>
      <w:r>
        <w:rPr>
          <w:b/>
          <w:bCs/>
          <w:rtl/>
        </w:rPr>
        <w:t>שנית</w:t>
      </w:r>
      <w:r>
        <w:rPr>
          <w:rtl/>
        </w:rPr>
        <w:t>, וזה העיקר, אין מדובר במסקנה שהצריכה הבאת ראיות מעבר לעובדות כתב האישום, אלא היא נגזרת מהעובדות שהוכחו בשלב בירור האשמה (לאפשרות הסקת מסקנות הקשורות לכמות הסם</w:t>
      </w:r>
      <w:r>
        <w:rPr>
          <w:rFonts w:hint="cs"/>
          <w:rtl/>
        </w:rPr>
        <w:t xml:space="preserve"> שנתפס</w:t>
      </w:r>
      <w:r>
        <w:rPr>
          <w:rtl/>
        </w:rPr>
        <w:t xml:space="preserve">, ראה למשל </w:t>
      </w:r>
      <w:hyperlink r:id="rId45" w:history="1">
        <w:r w:rsidRPr="00F428D9">
          <w:rPr>
            <w:rStyle w:val="Hyperlink"/>
            <w:rFonts w:ascii="Arial" w:hAnsi="Arial"/>
            <w:rtl/>
          </w:rPr>
          <w:t>דנ"פ 10402/07</w:t>
        </w:r>
      </w:hyperlink>
      <w:r>
        <w:rPr>
          <w:rFonts w:ascii="Arial" w:hAnsi="Arial"/>
          <w:rtl/>
        </w:rPr>
        <w:t xml:space="preserve"> </w:t>
      </w:r>
      <w:r>
        <w:rPr>
          <w:rFonts w:ascii="Arial" w:hAnsi="Arial"/>
          <w:b/>
          <w:bCs/>
          <w:rtl/>
        </w:rPr>
        <w:t>מטיס נ' מדינת ישראל</w:t>
      </w:r>
      <w:r>
        <w:rPr>
          <w:rFonts w:ascii="Arial" w:hAnsi="Arial"/>
          <w:rtl/>
        </w:rPr>
        <w:t xml:space="preserve"> (29.1.08)</w:t>
      </w:r>
      <w:r>
        <w:rPr>
          <w:rtl/>
        </w:rPr>
        <w:t xml:space="preserve">). בעניין זה ראוי להפנות עוד לפסק דינו של כב' ס. הנשיא השופט ר. שפירא במסגרת </w:t>
      </w:r>
      <w:hyperlink r:id="rId46" w:history="1">
        <w:r w:rsidRPr="00F428D9">
          <w:rPr>
            <w:rStyle w:val="Hyperlink"/>
            <w:rtl/>
          </w:rPr>
          <w:t>עפ"ג 28110-10-15</w:t>
        </w:r>
      </w:hyperlink>
      <w:r>
        <w:rPr>
          <w:rtl/>
        </w:rPr>
        <w:t xml:space="preserve"> </w:t>
      </w:r>
      <w:r>
        <w:rPr>
          <w:b/>
          <w:bCs/>
          <w:rtl/>
        </w:rPr>
        <w:t>מדינת ישראל נ' דוד</w:t>
      </w:r>
      <w:r>
        <w:rPr>
          <w:rtl/>
        </w:rPr>
        <w:t xml:space="preserve"> (17.12.15), שם נקבע כי מקום בו לא צוין בכתב האישום שמטרת הגידול היא מסחרית, יש להניח לטובת הנאשם את ההנחה הנוחה יותר, כלומר שמדובר בגידול לשימוש עצמי. יצוין כי במקרה שם</w:t>
      </w:r>
      <w:r>
        <w:rPr>
          <w:rFonts w:hint="cs"/>
          <w:rtl/>
        </w:rPr>
        <w:t>,</w:t>
      </w:r>
      <w:r>
        <w:rPr>
          <w:rtl/>
        </w:rPr>
        <w:t xml:space="preserve"> מדובר היה אף בכמות העולה על החזקה הקבועה בפקודת הסמים ביחס לכמות הסם</w:t>
      </w:r>
      <w:r>
        <w:rPr>
          <w:rFonts w:hint="cs"/>
          <w:rtl/>
        </w:rPr>
        <w:t xml:space="preserve"> (</w:t>
      </w:r>
      <w:hyperlink r:id="rId47" w:history="1">
        <w:r w:rsidR="008F426A" w:rsidRPr="008F426A">
          <w:rPr>
            <w:rStyle w:val="Hyperlink"/>
            <w:rtl/>
          </w:rPr>
          <w:t>סעיף 31(3)לפקודה).</w:t>
        </w:r>
      </w:hyperlink>
      <w:r>
        <w:rPr>
          <w:rtl/>
        </w:rPr>
        <w:t xml:space="preserve"> </w:t>
      </w:r>
    </w:p>
    <w:p w14:paraId="37CDD33C" w14:textId="77777777" w:rsidR="00B76862" w:rsidRDefault="00B76862">
      <w:pPr>
        <w:spacing w:after="160" w:line="259" w:lineRule="auto"/>
        <w:ind w:left="720"/>
        <w:contextualSpacing/>
        <w:rPr>
          <w:rtl/>
        </w:rPr>
      </w:pPr>
    </w:p>
    <w:p w14:paraId="6E2D7B90" w14:textId="77777777" w:rsidR="00B76862" w:rsidRDefault="00F428D9">
      <w:pPr>
        <w:numPr>
          <w:ilvl w:val="0"/>
          <w:numId w:val="1"/>
        </w:numPr>
        <w:spacing w:line="360" w:lineRule="auto"/>
        <w:jc w:val="both"/>
      </w:pPr>
      <w:r>
        <w:rPr>
          <w:rtl/>
        </w:rPr>
        <w:t>וכעת לגופו של עניין. אינני מקבל את טענת המאשימה לפיה מעובדות כתב האישום "</w:t>
      </w:r>
      <w:r>
        <w:rPr>
          <w:rFonts w:cs="Miriam"/>
          <w:rtl/>
        </w:rPr>
        <w:t>ברור</w:t>
      </w:r>
      <w:r>
        <w:rPr>
          <w:rtl/>
        </w:rPr>
        <w:t xml:space="preserve">" שאין מדובר בסמים שגודלו לצריכה עצמית בלבד. עובדות כתב האישום, אינן מאפשרות קביעה ברמה </w:t>
      </w:r>
      <w:r>
        <w:rPr>
          <w:rFonts w:hint="cs"/>
          <w:rtl/>
        </w:rPr>
        <w:t xml:space="preserve">שמעבר </w:t>
      </w:r>
      <w:r>
        <w:rPr>
          <w:rtl/>
        </w:rPr>
        <w:t>ל</w:t>
      </w:r>
      <w:r>
        <w:rPr>
          <w:rFonts w:hint="cs"/>
          <w:rtl/>
        </w:rPr>
        <w:t xml:space="preserve">קיומו של </w:t>
      </w:r>
      <w:r>
        <w:rPr>
          <w:rtl/>
        </w:rPr>
        <w:t xml:space="preserve">ספק סביר, שמטרת הגידול חורגת משימושו האישי של הנאשם (ראה </w:t>
      </w:r>
      <w:hyperlink r:id="rId48" w:history="1">
        <w:r w:rsidR="008F426A" w:rsidRPr="008F426A">
          <w:rPr>
            <w:rStyle w:val="Hyperlink"/>
            <w:rtl/>
          </w:rPr>
          <w:t>סעיף 40י'(ג)</w:t>
        </w:r>
      </w:hyperlink>
      <w:r>
        <w:rPr>
          <w:rtl/>
        </w:rPr>
        <w:t xml:space="preserve"> ל</w:t>
      </w:r>
      <w:hyperlink r:id="rId49" w:history="1">
        <w:r w:rsidRPr="00F428D9">
          <w:rPr>
            <w:rStyle w:val="Hyperlink"/>
            <w:rtl/>
          </w:rPr>
          <w:t>חוק העונשין</w:t>
        </w:r>
      </w:hyperlink>
      <w:r>
        <w:rPr>
          <w:rtl/>
        </w:rPr>
        <w:t xml:space="preserve">). למסקנה זו אני מגיע לאור הכמות המועטה של הצמחים שנמצאו בדירה (חמישה במספר). אדגיש כי משקל הצמחים אינו הנתון המשמעותי העיקרי. העיקר בעיני הוא שמדובר בחמישה צמחים בלבד. משקלם של הצמחים הנו פונקציה של עיתוי התפיסה, שהרי ברי לכל שאם היו מגיעים השוטרים לאחר תקופת זמן, היו מוצאים שתילים במשקל גדול יותר, או לחלופין, את היבול, כפי שהיה במקרה זה ביחס לסם המוכן שנתפס במקום. משכך, אין משמעות רבה לכך שמדובר במשקל נמוך מאוד, אשר אף לא צוין בכתב האישום. עם זאת, ברור שכאשר המשקל נמוך ממשקל החזקה הקבועה </w:t>
      </w:r>
      <w:hyperlink r:id="rId50" w:history="1">
        <w:r w:rsidR="008F426A" w:rsidRPr="008F426A">
          <w:rPr>
            <w:rStyle w:val="Hyperlink"/>
            <w:rtl/>
          </w:rPr>
          <w:t>בסעיף 31(3)</w:t>
        </w:r>
      </w:hyperlink>
      <w:r>
        <w:rPr>
          <w:rtl/>
        </w:rPr>
        <w:t xml:space="preserve"> לפקודת הסמים, מצבו של הנאשם קל יותר וכך הוא המצב בענייננו. לפיכך, אין מקום לקביעה שהנאשם גידל את הסמים שלא לשימושו האישי. </w:t>
      </w:r>
    </w:p>
    <w:p w14:paraId="61EA2A30" w14:textId="77777777" w:rsidR="00B76862" w:rsidRDefault="00B76862">
      <w:pPr>
        <w:spacing w:after="160" w:line="259" w:lineRule="auto"/>
        <w:ind w:left="720"/>
        <w:contextualSpacing/>
        <w:rPr>
          <w:rtl/>
        </w:rPr>
      </w:pPr>
    </w:p>
    <w:p w14:paraId="6F615C69" w14:textId="77777777" w:rsidR="00B76862" w:rsidRDefault="00B76862">
      <w:pPr>
        <w:spacing w:after="160" w:line="259" w:lineRule="auto"/>
        <w:ind w:left="720"/>
        <w:contextualSpacing/>
        <w:rPr>
          <w:rtl/>
        </w:rPr>
      </w:pPr>
    </w:p>
    <w:p w14:paraId="05231458" w14:textId="77777777" w:rsidR="00B76862" w:rsidRDefault="00F428D9">
      <w:pPr>
        <w:numPr>
          <w:ilvl w:val="0"/>
          <w:numId w:val="1"/>
        </w:numPr>
        <w:spacing w:line="360" w:lineRule="auto"/>
        <w:jc w:val="both"/>
      </w:pPr>
      <w:r>
        <w:rPr>
          <w:rtl/>
        </w:rPr>
        <w:t>מנגד, אני סבור שדווקא המסקנה ההפוכה ניתנת להסקה מעובדות כתב האישום ברמה הנדרשת. כידוע, לצורך קביעת נסיבה מקלה, די להוכיח אפשרות סבירה יותר מרעותה (</w:t>
      </w:r>
      <w:hyperlink r:id="rId51" w:history="1">
        <w:r w:rsidR="008F426A" w:rsidRPr="008F426A">
          <w:rPr>
            <w:rStyle w:val="Hyperlink"/>
            <w:rtl/>
          </w:rPr>
          <w:t>סעיף 40י(ג)</w:t>
        </w:r>
      </w:hyperlink>
      <w:r>
        <w:rPr>
          <w:rtl/>
        </w:rPr>
        <w:t xml:space="preserve"> ל</w:t>
      </w:r>
      <w:hyperlink r:id="rId52" w:history="1">
        <w:r w:rsidRPr="00F428D9">
          <w:rPr>
            <w:rStyle w:val="Hyperlink"/>
            <w:rtl/>
          </w:rPr>
          <w:t>חוק העונשין</w:t>
        </w:r>
      </w:hyperlink>
      <w:r>
        <w:rPr>
          <w:rtl/>
        </w:rPr>
        <w:t xml:space="preserve">). במקרה זה, כאמור, אני סבור שהמסקנה לפיה מדובר היה בגידול למטרת שימוש עצמי, סבירה יותר מזו ההפוכה, ומשכך עמד הנאשם בנטל ההוכחה המוטל עליו. מסקנה זו נלמדת מכך שמדובר היה בחמישה שתילים בלבד, כמות המתיישבת היטב עם כוונה לשימוש עצמי. בנוסף, נמצא במקום יבול מגידול קודם, במשקל של 117 גרם, לגביו </w:t>
      </w:r>
      <w:r>
        <w:rPr>
          <w:u w:val="single"/>
          <w:rtl/>
        </w:rPr>
        <w:t>מוסכם</w:t>
      </w:r>
      <w:r>
        <w:rPr>
          <w:rtl/>
        </w:rPr>
        <w:t xml:space="preserve"> על המאשימה שהוחזק למטרת שימוש עצמי. מתקשה אני לראות הפרדה עניינית בין היבול לבין הגידול (וממילא שהמאשימה לא ניסתה כלל לספק הסבר כלשהו). בנתונים אלו, אני בדעה כי הנאשם עמד בנטל הנדרש ממנו, על מנת להוכיח שמדובר היה בגידול למטרת שימוש עצמי. </w:t>
      </w:r>
    </w:p>
    <w:p w14:paraId="2DD03289" w14:textId="77777777" w:rsidR="00B76862" w:rsidRDefault="00B76862">
      <w:pPr>
        <w:spacing w:line="360" w:lineRule="auto"/>
        <w:ind w:left="720"/>
        <w:contextualSpacing/>
        <w:jc w:val="both"/>
        <w:rPr>
          <w:rFonts w:cs="Miriam"/>
          <w:rtl/>
        </w:rPr>
      </w:pPr>
    </w:p>
    <w:p w14:paraId="272F7EF3" w14:textId="77777777" w:rsidR="00B76862" w:rsidRDefault="00F428D9">
      <w:pPr>
        <w:numPr>
          <w:ilvl w:val="0"/>
          <w:numId w:val="1"/>
        </w:numPr>
        <w:spacing w:line="360" w:lineRule="auto"/>
        <w:jc w:val="both"/>
        <w:rPr>
          <w:rFonts w:cs="Times New Roman"/>
        </w:rPr>
      </w:pPr>
      <w:r>
        <w:rPr>
          <w:b/>
          <w:bCs/>
          <w:rtl/>
        </w:rPr>
        <w:t>מדיניות הענישה:</w:t>
      </w:r>
      <w:r>
        <w:rPr>
          <w:rFonts w:ascii="David" w:hAnsi="David"/>
          <w:rtl/>
        </w:rPr>
        <w:t xml:space="preserve"> </w:t>
      </w:r>
      <w:r>
        <w:rPr>
          <w:rtl/>
        </w:rPr>
        <w:t>מדיניות הענישה בעבירות של גידול וייצור סמים מסוכנים משתנה ממקרה למקרה ותלויה בין היתר בסוג הסם, כמותו ובנסיבותיו של הנאשם (עבר פלילי, שיקום, תסקיר חיובי וכיוצב'). עם זאת נקבע לא אחת כי יש להחמיר עם אלו שמגדלים סמים (</w:t>
      </w:r>
      <w:hyperlink r:id="rId53" w:history="1">
        <w:r w:rsidRPr="00F428D9">
          <w:rPr>
            <w:rStyle w:val="Hyperlink"/>
            <w:rtl/>
          </w:rPr>
          <w:t>ע"פ (י-ם) 1987-04-10</w:t>
        </w:r>
      </w:hyperlink>
      <w:r>
        <w:rPr>
          <w:rtl/>
        </w:rPr>
        <w:t xml:space="preserve"> </w:t>
      </w:r>
      <w:r>
        <w:rPr>
          <w:b/>
          <w:bCs/>
          <w:rtl/>
        </w:rPr>
        <w:t>מדינת ישראל נ' אלוני</w:t>
      </w:r>
      <w:r>
        <w:rPr>
          <w:rtl/>
        </w:rPr>
        <w:t xml:space="preserve"> (28.6.2010)). </w:t>
      </w:r>
    </w:p>
    <w:p w14:paraId="6425E733" w14:textId="77777777" w:rsidR="00B76862" w:rsidRDefault="00B76862">
      <w:pPr>
        <w:spacing w:after="160" w:line="259" w:lineRule="auto"/>
        <w:ind w:left="720"/>
        <w:contextualSpacing/>
        <w:rPr>
          <w:rtl/>
        </w:rPr>
      </w:pPr>
    </w:p>
    <w:p w14:paraId="1D236ED7" w14:textId="77777777" w:rsidR="00B76862" w:rsidRDefault="00F428D9">
      <w:pPr>
        <w:spacing w:line="360" w:lineRule="auto"/>
        <w:ind w:left="720"/>
        <w:jc w:val="both"/>
        <w:rPr>
          <w:rFonts w:cs="Times New Roman"/>
        </w:rPr>
      </w:pPr>
      <w:r>
        <w:rPr>
          <w:rtl/>
        </w:rPr>
        <w:t>ב</w:t>
      </w:r>
      <w:hyperlink r:id="rId54" w:history="1">
        <w:r w:rsidRPr="00F428D9">
          <w:rPr>
            <w:rStyle w:val="Hyperlink"/>
            <w:rtl/>
          </w:rPr>
          <w:t>ע"פ 972/11</w:t>
        </w:r>
      </w:hyperlink>
      <w:r>
        <w:rPr>
          <w:rtl/>
        </w:rPr>
        <w:t xml:space="preserve"> </w:t>
      </w:r>
      <w:r>
        <w:rPr>
          <w:b/>
          <w:bCs/>
          <w:rtl/>
        </w:rPr>
        <w:t>מדינת ישראל נ' יניב יונה</w:t>
      </w:r>
      <w:r>
        <w:rPr>
          <w:rtl/>
        </w:rPr>
        <w:t xml:space="preserve"> (4.7.12) נקבע כך: </w:t>
      </w:r>
    </w:p>
    <w:p w14:paraId="735FE360" w14:textId="77777777" w:rsidR="00B76862" w:rsidRDefault="00B76862">
      <w:pPr>
        <w:spacing w:line="360" w:lineRule="auto"/>
        <w:ind w:left="720"/>
        <w:jc w:val="both"/>
        <w:rPr>
          <w:rFonts w:cs="Times New Roman"/>
        </w:rPr>
      </w:pPr>
    </w:p>
    <w:p w14:paraId="40A2DFB2" w14:textId="77777777" w:rsidR="00B76862" w:rsidRDefault="00F428D9">
      <w:pPr>
        <w:autoSpaceDE w:val="0"/>
        <w:autoSpaceDN w:val="0"/>
        <w:adjustRightInd w:val="0"/>
        <w:spacing w:before="100" w:after="100"/>
        <w:ind w:left="1440" w:right="1134"/>
        <w:jc w:val="both"/>
        <w:rPr>
          <w:rFonts w:cs="Miriam"/>
        </w:rPr>
      </w:pPr>
      <w:r>
        <w:rPr>
          <w:rFonts w:cs="Miriam"/>
        </w:rPr>
        <w:t>"</w:t>
      </w:r>
      <w:r>
        <w:rPr>
          <w:rFonts w:cs="Miriam"/>
          <w:rtl/>
        </w:rPr>
        <w:t>את</w:t>
      </w:r>
      <w:r>
        <w:rPr>
          <w:rFonts w:cs="Miriam"/>
        </w:rPr>
        <w:t xml:space="preserve"> </w:t>
      </w:r>
      <w:r>
        <w:rPr>
          <w:rFonts w:cs="Miriam"/>
          <w:rtl/>
        </w:rPr>
        <w:t>נגע</w:t>
      </w:r>
      <w:r>
        <w:rPr>
          <w:rFonts w:cs="Miriam"/>
        </w:rPr>
        <w:t xml:space="preserve"> </w:t>
      </w:r>
      <w:r>
        <w:rPr>
          <w:rFonts w:cs="Miriam"/>
          <w:rtl/>
        </w:rPr>
        <w:t>הסמים</w:t>
      </w:r>
      <w:r>
        <w:rPr>
          <w:rFonts w:cs="Miriam"/>
        </w:rPr>
        <w:t xml:space="preserve"> </w:t>
      </w:r>
      <w:r>
        <w:rPr>
          <w:rFonts w:cs="Miriam"/>
          <w:rtl/>
        </w:rPr>
        <w:t>יש</w:t>
      </w:r>
      <w:r>
        <w:rPr>
          <w:rFonts w:cs="Miriam"/>
        </w:rPr>
        <w:t xml:space="preserve"> </w:t>
      </w:r>
      <w:r>
        <w:rPr>
          <w:rFonts w:cs="Miriam"/>
          <w:rtl/>
        </w:rPr>
        <w:t>לעקור</w:t>
      </w:r>
      <w:r>
        <w:rPr>
          <w:rFonts w:cs="Miriam"/>
        </w:rPr>
        <w:t xml:space="preserve"> </w:t>
      </w:r>
      <w:r>
        <w:rPr>
          <w:rFonts w:cs="Miriam"/>
          <w:rtl/>
        </w:rPr>
        <w:t>מן</w:t>
      </w:r>
      <w:r>
        <w:rPr>
          <w:rFonts w:cs="Miriam"/>
        </w:rPr>
        <w:t xml:space="preserve"> </w:t>
      </w:r>
      <w:r>
        <w:rPr>
          <w:rFonts w:cs="Miriam"/>
          <w:rtl/>
        </w:rPr>
        <w:t>השורש</w:t>
      </w:r>
      <w:r>
        <w:rPr>
          <w:rFonts w:cs="Miriam"/>
        </w:rPr>
        <w:t xml:space="preserve">. </w:t>
      </w:r>
      <w:r>
        <w:rPr>
          <w:rFonts w:cs="Miriam"/>
          <w:rtl/>
        </w:rPr>
        <w:t>ייצור</w:t>
      </w:r>
      <w:r>
        <w:rPr>
          <w:rFonts w:cs="Miriam"/>
        </w:rPr>
        <w:t xml:space="preserve">, </w:t>
      </w:r>
      <w:r>
        <w:rPr>
          <w:rFonts w:cs="Miriam"/>
          <w:rtl/>
        </w:rPr>
        <w:t>הפצה</w:t>
      </w:r>
      <w:r>
        <w:rPr>
          <w:rFonts w:cs="Miriam"/>
        </w:rPr>
        <w:t xml:space="preserve">, </w:t>
      </w:r>
      <w:r>
        <w:rPr>
          <w:rFonts w:cs="Miriam"/>
          <w:rtl/>
        </w:rPr>
        <w:t>סחר</w:t>
      </w:r>
      <w:r>
        <w:rPr>
          <w:rFonts w:cs="Miriam"/>
        </w:rPr>
        <w:t xml:space="preserve"> </w:t>
      </w:r>
      <w:r>
        <w:rPr>
          <w:rFonts w:cs="Miriam"/>
          <w:rtl/>
        </w:rPr>
        <w:t>וכמובן</w:t>
      </w:r>
      <w:r>
        <w:rPr>
          <w:rFonts w:cs="Miriam"/>
        </w:rPr>
        <w:t xml:space="preserve"> </w:t>
      </w:r>
      <w:r>
        <w:rPr>
          <w:rFonts w:cs="Miriam"/>
          <w:rtl/>
        </w:rPr>
        <w:t>גם</w:t>
      </w:r>
      <w:r>
        <w:rPr>
          <w:rFonts w:cs="Miriam"/>
        </w:rPr>
        <w:t xml:space="preserve"> </w:t>
      </w:r>
      <w:r>
        <w:rPr>
          <w:rFonts w:cs="Miriam"/>
          <w:rtl/>
        </w:rPr>
        <w:t>שימוש</w:t>
      </w:r>
      <w:r>
        <w:rPr>
          <w:rFonts w:cs="Miriam"/>
        </w:rPr>
        <w:t xml:space="preserve"> </w:t>
      </w:r>
      <w:r>
        <w:rPr>
          <w:rFonts w:cs="Miriam"/>
          <w:rtl/>
        </w:rPr>
        <w:t>בסמים</w:t>
      </w:r>
      <w:r>
        <w:rPr>
          <w:rFonts w:cs="Miriam"/>
        </w:rPr>
        <w:t xml:space="preserve"> – </w:t>
      </w:r>
      <w:r>
        <w:rPr>
          <w:rFonts w:cs="Miriam"/>
          <w:rtl/>
        </w:rPr>
        <w:t>כל</w:t>
      </w:r>
      <w:r>
        <w:rPr>
          <w:rFonts w:cs="Miriam"/>
        </w:rPr>
        <w:t xml:space="preserve"> </w:t>
      </w:r>
      <w:r>
        <w:rPr>
          <w:rFonts w:cs="Miriam"/>
          <w:rtl/>
        </w:rPr>
        <w:t>אלו</w:t>
      </w:r>
      <w:r>
        <w:rPr>
          <w:rFonts w:cs="Miriam"/>
        </w:rPr>
        <w:t xml:space="preserve"> </w:t>
      </w:r>
      <w:r>
        <w:rPr>
          <w:rFonts w:cs="Miriam"/>
          <w:rtl/>
        </w:rPr>
        <w:t>מסבים</w:t>
      </w:r>
      <w:r>
        <w:rPr>
          <w:rFonts w:cs="Miriam"/>
        </w:rPr>
        <w:t xml:space="preserve"> </w:t>
      </w:r>
      <w:r>
        <w:rPr>
          <w:rFonts w:cs="Miriam"/>
          <w:rtl/>
        </w:rPr>
        <w:t>נזק</w:t>
      </w:r>
      <w:r>
        <w:rPr>
          <w:rFonts w:cs="Miriam"/>
        </w:rPr>
        <w:t xml:space="preserve"> </w:t>
      </w:r>
      <w:r>
        <w:rPr>
          <w:rFonts w:cs="Miriam"/>
          <w:rtl/>
        </w:rPr>
        <w:t>עצום</w:t>
      </w:r>
      <w:r>
        <w:rPr>
          <w:rFonts w:cs="Miriam"/>
        </w:rPr>
        <w:t xml:space="preserve">. </w:t>
      </w:r>
      <w:r>
        <w:rPr>
          <w:rFonts w:cs="Miriam"/>
          <w:rtl/>
        </w:rPr>
        <w:t>הנזק</w:t>
      </w:r>
      <w:r>
        <w:rPr>
          <w:rFonts w:cs="Miriam"/>
        </w:rPr>
        <w:t xml:space="preserve"> </w:t>
      </w:r>
      <w:r>
        <w:rPr>
          <w:rFonts w:cs="Miriam"/>
          <w:rtl/>
        </w:rPr>
        <w:t>נגרם</w:t>
      </w:r>
      <w:r>
        <w:rPr>
          <w:rFonts w:cs="Miriam"/>
        </w:rPr>
        <w:t xml:space="preserve"> </w:t>
      </w:r>
      <w:r>
        <w:rPr>
          <w:rFonts w:cs="Miriam"/>
          <w:rtl/>
        </w:rPr>
        <w:t>לא</w:t>
      </w:r>
      <w:r>
        <w:rPr>
          <w:rFonts w:cs="Miriam"/>
        </w:rPr>
        <w:t xml:space="preserve"> </w:t>
      </w:r>
      <w:r>
        <w:rPr>
          <w:rFonts w:cs="Miriam"/>
          <w:rtl/>
        </w:rPr>
        <w:t>רק</w:t>
      </w:r>
      <w:r>
        <w:rPr>
          <w:rFonts w:cs="Miriam"/>
        </w:rPr>
        <w:t xml:space="preserve"> </w:t>
      </w:r>
      <w:r>
        <w:rPr>
          <w:rFonts w:cs="Miriam"/>
          <w:rtl/>
        </w:rPr>
        <w:t>למעגל</w:t>
      </w:r>
      <w:r>
        <w:rPr>
          <w:rFonts w:cs="Miriam"/>
        </w:rPr>
        <w:t xml:space="preserve"> </w:t>
      </w:r>
      <w:r>
        <w:rPr>
          <w:rFonts w:cs="Miriam"/>
          <w:rtl/>
        </w:rPr>
        <w:t>הסגור</w:t>
      </w:r>
      <w:r>
        <w:rPr>
          <w:rFonts w:cs="Miriam"/>
        </w:rPr>
        <w:t xml:space="preserve"> </w:t>
      </w:r>
      <w:r>
        <w:rPr>
          <w:rFonts w:cs="Miriam"/>
          <w:rtl/>
        </w:rPr>
        <w:t>של</w:t>
      </w:r>
      <w:r>
        <w:rPr>
          <w:rFonts w:cs="Miriam"/>
        </w:rPr>
        <w:t xml:space="preserve"> </w:t>
      </w:r>
      <w:r>
        <w:rPr>
          <w:rFonts w:cs="Miriam"/>
          <w:rtl/>
        </w:rPr>
        <w:t>המעורבים</w:t>
      </w:r>
      <w:r>
        <w:rPr>
          <w:rFonts w:cs="Miriam"/>
        </w:rPr>
        <w:t xml:space="preserve"> </w:t>
      </w:r>
      <w:r>
        <w:rPr>
          <w:rFonts w:cs="Miriam"/>
          <w:rtl/>
        </w:rPr>
        <w:t>הישירים</w:t>
      </w:r>
      <w:r>
        <w:rPr>
          <w:rFonts w:cs="Miriam"/>
        </w:rPr>
        <w:t xml:space="preserve"> </w:t>
      </w:r>
      <w:r>
        <w:rPr>
          <w:rFonts w:cs="Miriam"/>
          <w:rtl/>
        </w:rPr>
        <w:t>בביצוע</w:t>
      </w:r>
      <w:r>
        <w:rPr>
          <w:rFonts w:cs="Miriam"/>
        </w:rPr>
        <w:t xml:space="preserve"> </w:t>
      </w:r>
      <w:r>
        <w:rPr>
          <w:rFonts w:cs="Miriam"/>
          <w:rtl/>
        </w:rPr>
        <w:t>העבירות</w:t>
      </w:r>
      <w:r>
        <w:rPr>
          <w:rFonts w:cs="Miriam"/>
        </w:rPr>
        <w:t xml:space="preserve">, </w:t>
      </w:r>
      <w:r>
        <w:rPr>
          <w:rFonts w:cs="Miriam"/>
          <w:rtl/>
        </w:rPr>
        <w:t>אלא</w:t>
      </w:r>
      <w:r>
        <w:rPr>
          <w:rFonts w:cs="Miriam"/>
        </w:rPr>
        <w:t xml:space="preserve"> </w:t>
      </w:r>
      <w:r>
        <w:rPr>
          <w:rFonts w:cs="Miriam"/>
          <w:rtl/>
        </w:rPr>
        <w:t>גם</w:t>
      </w:r>
      <w:r>
        <w:rPr>
          <w:rFonts w:cs="Miriam"/>
        </w:rPr>
        <w:t xml:space="preserve"> </w:t>
      </w:r>
      <w:r>
        <w:rPr>
          <w:rFonts w:cs="Miriam"/>
          <w:rtl/>
        </w:rPr>
        <w:t>לחברה</w:t>
      </w:r>
      <w:r>
        <w:rPr>
          <w:rFonts w:cs="Miriam"/>
        </w:rPr>
        <w:t xml:space="preserve"> </w:t>
      </w:r>
      <w:r>
        <w:rPr>
          <w:rFonts w:cs="Miriam"/>
          <w:rtl/>
        </w:rPr>
        <w:t>בכללותה</w:t>
      </w:r>
      <w:r>
        <w:rPr>
          <w:rFonts w:cs="Miriam"/>
        </w:rPr>
        <w:t xml:space="preserve">... </w:t>
      </w:r>
      <w:r>
        <w:rPr>
          <w:rFonts w:cs="Miriam"/>
          <w:rtl/>
        </w:rPr>
        <w:t>למאבק</w:t>
      </w:r>
      <w:r>
        <w:rPr>
          <w:rFonts w:cs="Miriam"/>
        </w:rPr>
        <w:t xml:space="preserve"> </w:t>
      </w:r>
      <w:r>
        <w:rPr>
          <w:rFonts w:cs="Miriam"/>
          <w:rtl/>
        </w:rPr>
        <w:t>בנגע</w:t>
      </w:r>
      <w:r>
        <w:rPr>
          <w:rFonts w:cs="Miriam"/>
        </w:rPr>
        <w:t xml:space="preserve"> </w:t>
      </w:r>
      <w:r>
        <w:rPr>
          <w:rFonts w:cs="Miriam"/>
          <w:rtl/>
        </w:rPr>
        <w:t>הסמים</w:t>
      </w:r>
      <w:r>
        <w:rPr>
          <w:rFonts w:cs="Miriam"/>
        </w:rPr>
        <w:t xml:space="preserve"> </w:t>
      </w:r>
      <w:r>
        <w:rPr>
          <w:rFonts w:cs="Miriam"/>
          <w:rtl/>
        </w:rPr>
        <w:t>יש</w:t>
      </w:r>
      <w:r>
        <w:rPr>
          <w:rFonts w:cs="Miriam"/>
        </w:rPr>
        <w:t xml:space="preserve"> </w:t>
      </w:r>
      <w:r>
        <w:rPr>
          <w:rFonts w:cs="Miriam"/>
          <w:rtl/>
        </w:rPr>
        <w:t>שותפים</w:t>
      </w:r>
      <w:r>
        <w:rPr>
          <w:rFonts w:cs="Miriam"/>
        </w:rPr>
        <w:t xml:space="preserve"> </w:t>
      </w:r>
      <w:r>
        <w:rPr>
          <w:rFonts w:cs="Miriam"/>
          <w:rtl/>
        </w:rPr>
        <w:t>רבים</w:t>
      </w:r>
      <w:r>
        <w:rPr>
          <w:rFonts w:cs="Miriam"/>
        </w:rPr>
        <w:t xml:space="preserve">... </w:t>
      </w:r>
      <w:r>
        <w:rPr>
          <w:rFonts w:cs="Miriam"/>
          <w:rtl/>
        </w:rPr>
        <w:t>אף</w:t>
      </w:r>
      <w:r>
        <w:rPr>
          <w:rFonts w:cs="Miriam"/>
        </w:rPr>
        <w:t xml:space="preserve"> </w:t>
      </w:r>
      <w:r>
        <w:rPr>
          <w:rFonts w:cs="Miriam"/>
          <w:rtl/>
        </w:rPr>
        <w:t>בית</w:t>
      </w:r>
      <w:r>
        <w:rPr>
          <w:rFonts w:cs="Miriam"/>
        </w:rPr>
        <w:t xml:space="preserve"> </w:t>
      </w:r>
      <w:r>
        <w:rPr>
          <w:rFonts w:cs="Miriam"/>
          <w:rtl/>
        </w:rPr>
        <w:t>המשפט</w:t>
      </w:r>
      <w:r>
        <w:rPr>
          <w:rFonts w:cs="Miriam"/>
        </w:rPr>
        <w:t xml:space="preserve"> </w:t>
      </w:r>
      <w:r>
        <w:rPr>
          <w:rFonts w:cs="Miriam"/>
          <w:rtl/>
        </w:rPr>
        <w:t>נוטל</w:t>
      </w:r>
      <w:r>
        <w:rPr>
          <w:rFonts w:cs="Miriam"/>
        </w:rPr>
        <w:t xml:space="preserve"> </w:t>
      </w:r>
      <w:r>
        <w:rPr>
          <w:rFonts w:cs="Miriam"/>
          <w:rtl/>
        </w:rPr>
        <w:t>חלק</w:t>
      </w:r>
      <w:r>
        <w:rPr>
          <w:rFonts w:cs="Miriam"/>
        </w:rPr>
        <w:t xml:space="preserve"> </w:t>
      </w:r>
      <w:r>
        <w:rPr>
          <w:rFonts w:cs="Miriam"/>
          <w:rtl/>
        </w:rPr>
        <w:t>חשוב</w:t>
      </w:r>
      <w:r>
        <w:rPr>
          <w:rFonts w:cs="Miriam"/>
        </w:rPr>
        <w:t xml:space="preserve"> </w:t>
      </w:r>
      <w:r>
        <w:rPr>
          <w:rFonts w:cs="Miriam"/>
          <w:rtl/>
        </w:rPr>
        <w:t>במאבק</w:t>
      </w:r>
      <w:r>
        <w:rPr>
          <w:rFonts w:cs="Miriam"/>
        </w:rPr>
        <w:t xml:space="preserve">, </w:t>
      </w:r>
      <w:r>
        <w:rPr>
          <w:rFonts w:cs="Miriam"/>
          <w:rtl/>
        </w:rPr>
        <w:t>באמצעות</w:t>
      </w:r>
      <w:r>
        <w:rPr>
          <w:rFonts w:cs="Miriam"/>
        </w:rPr>
        <w:t xml:space="preserve"> </w:t>
      </w:r>
      <w:r>
        <w:rPr>
          <w:rFonts w:cs="Miriam"/>
          <w:rtl/>
        </w:rPr>
        <w:t>הטלת</w:t>
      </w:r>
      <w:r>
        <w:rPr>
          <w:rFonts w:cs="Miriam"/>
        </w:rPr>
        <w:t xml:space="preserve"> </w:t>
      </w:r>
      <w:r>
        <w:rPr>
          <w:rFonts w:cs="Miriam"/>
          <w:rtl/>
        </w:rPr>
        <w:t>עונש</w:t>
      </w:r>
      <w:r>
        <w:rPr>
          <w:rFonts w:cs="Miriam"/>
        </w:rPr>
        <w:t xml:space="preserve"> </w:t>
      </w:r>
      <w:r>
        <w:rPr>
          <w:rFonts w:cs="Miriam"/>
          <w:rtl/>
        </w:rPr>
        <w:t>מרתיע</w:t>
      </w:r>
      <w:r>
        <w:rPr>
          <w:rFonts w:cs="Miriam"/>
        </w:rPr>
        <w:t xml:space="preserve"> </w:t>
      </w:r>
      <w:r>
        <w:rPr>
          <w:rFonts w:cs="Miriam"/>
          <w:rtl/>
        </w:rPr>
        <w:t>על</w:t>
      </w:r>
      <w:r>
        <w:rPr>
          <w:rFonts w:cs="Miriam"/>
        </w:rPr>
        <w:t xml:space="preserve"> </w:t>
      </w:r>
      <w:r>
        <w:rPr>
          <w:rFonts w:cs="Miriam"/>
          <w:rtl/>
        </w:rPr>
        <w:t>מי</w:t>
      </w:r>
      <w:r>
        <w:rPr>
          <w:rFonts w:cs="Miriam"/>
        </w:rPr>
        <w:t xml:space="preserve"> </w:t>
      </w:r>
      <w:r>
        <w:rPr>
          <w:rFonts w:cs="Miriam"/>
          <w:rtl/>
        </w:rPr>
        <w:t>שהורשע</w:t>
      </w:r>
      <w:r>
        <w:rPr>
          <w:rFonts w:cs="Miriam"/>
        </w:rPr>
        <w:t xml:space="preserve"> </w:t>
      </w:r>
      <w:r>
        <w:rPr>
          <w:rFonts w:cs="Miriam"/>
          <w:rtl/>
        </w:rPr>
        <w:t>בעבירות</w:t>
      </w:r>
      <w:r>
        <w:rPr>
          <w:rFonts w:cs="Miriam"/>
        </w:rPr>
        <w:t xml:space="preserve"> </w:t>
      </w:r>
      <w:r>
        <w:rPr>
          <w:rFonts w:cs="Miriam"/>
          <w:rtl/>
        </w:rPr>
        <w:t>סמים</w:t>
      </w:r>
      <w:r>
        <w:rPr>
          <w:rFonts w:cs="Miriam"/>
        </w:rPr>
        <w:t xml:space="preserve">... </w:t>
      </w:r>
      <w:r>
        <w:rPr>
          <w:rFonts w:cs="Miriam"/>
          <w:rtl/>
        </w:rPr>
        <w:t>צו</w:t>
      </w:r>
      <w:r>
        <w:rPr>
          <w:rFonts w:cs="Miriam"/>
        </w:rPr>
        <w:t xml:space="preserve"> </w:t>
      </w:r>
      <w:r>
        <w:rPr>
          <w:rFonts w:cs="Miriam"/>
          <w:rtl/>
        </w:rPr>
        <w:t>השעה</w:t>
      </w:r>
      <w:r>
        <w:rPr>
          <w:rFonts w:cs="Miriam"/>
        </w:rPr>
        <w:t xml:space="preserve"> </w:t>
      </w:r>
      <w:r>
        <w:rPr>
          <w:rFonts w:cs="Miriam"/>
          <w:rtl/>
        </w:rPr>
        <w:t>הוא</w:t>
      </w:r>
      <w:r>
        <w:rPr>
          <w:rFonts w:cs="Miriam"/>
        </w:rPr>
        <w:t xml:space="preserve"> </w:t>
      </w:r>
      <w:r>
        <w:rPr>
          <w:rFonts w:cs="Miriam"/>
          <w:rtl/>
        </w:rPr>
        <w:t>להחמיר</w:t>
      </w:r>
      <w:r>
        <w:rPr>
          <w:rFonts w:cs="Miriam"/>
        </w:rPr>
        <w:t xml:space="preserve"> </w:t>
      </w:r>
      <w:r>
        <w:rPr>
          <w:rFonts w:cs="Miriam"/>
          <w:rtl/>
        </w:rPr>
        <w:t>בענישה</w:t>
      </w:r>
      <w:r>
        <w:rPr>
          <w:rFonts w:cs="Miriam"/>
        </w:rPr>
        <w:t xml:space="preserve"> </w:t>
      </w:r>
      <w:r>
        <w:rPr>
          <w:rFonts w:cs="Miriam"/>
          <w:rtl/>
        </w:rPr>
        <w:t>בעבירות</w:t>
      </w:r>
      <w:r>
        <w:rPr>
          <w:rFonts w:cs="Miriam"/>
        </w:rPr>
        <w:t xml:space="preserve"> </w:t>
      </w:r>
      <w:r>
        <w:rPr>
          <w:rFonts w:cs="Miriam"/>
          <w:rtl/>
        </w:rPr>
        <w:t>סמים</w:t>
      </w:r>
      <w:r>
        <w:rPr>
          <w:rFonts w:cs="Miriam"/>
          <w:b/>
          <w:bCs/>
        </w:rPr>
        <w:t>...".</w:t>
      </w:r>
    </w:p>
    <w:p w14:paraId="436C9963" w14:textId="77777777" w:rsidR="00B76862" w:rsidRDefault="00B76862">
      <w:pPr>
        <w:spacing w:line="360" w:lineRule="auto"/>
        <w:ind w:left="720"/>
        <w:jc w:val="both"/>
        <w:rPr>
          <w:rFonts w:cs="Times New Roman"/>
        </w:rPr>
      </w:pPr>
    </w:p>
    <w:p w14:paraId="3845501E" w14:textId="77777777" w:rsidR="00B76862" w:rsidRDefault="00F428D9">
      <w:pPr>
        <w:numPr>
          <w:ilvl w:val="0"/>
          <w:numId w:val="1"/>
        </w:numPr>
        <w:spacing w:line="360" w:lineRule="auto"/>
        <w:jc w:val="both"/>
        <w:rPr>
          <w:rFonts w:cs="Times New Roman"/>
        </w:rPr>
      </w:pPr>
      <w:r>
        <w:rPr>
          <w:rtl/>
        </w:rPr>
        <w:t xml:space="preserve">ראוי גם להבהיר שלמרות שבמקרה זה החזקת הסם הנה לשימוש עצמי, וכך גם קבעתי ביחס למטרת הגידול, אין מדובר בעבירה שניתן להקל בה ראש. ראה לעניין זה: </w:t>
      </w:r>
    </w:p>
    <w:p w14:paraId="561F70FB" w14:textId="77777777" w:rsidR="00B76862" w:rsidRDefault="00B76862">
      <w:pPr>
        <w:spacing w:line="360" w:lineRule="auto"/>
        <w:ind w:left="720"/>
        <w:jc w:val="both"/>
        <w:rPr>
          <w:rFonts w:cs="Times New Roman"/>
        </w:rPr>
      </w:pPr>
    </w:p>
    <w:p w14:paraId="0F3E1E1C" w14:textId="77777777" w:rsidR="00B76862" w:rsidRDefault="00F428D9">
      <w:pPr>
        <w:autoSpaceDE w:val="0"/>
        <w:autoSpaceDN w:val="0"/>
        <w:adjustRightInd w:val="0"/>
        <w:spacing w:before="100" w:after="100"/>
        <w:ind w:left="1440" w:right="1134"/>
        <w:jc w:val="both"/>
        <w:rPr>
          <w:rFonts w:cs="Miriam"/>
          <w:rtl/>
        </w:rPr>
      </w:pPr>
      <w:r>
        <w:rPr>
          <w:rFonts w:cs="Miriam"/>
          <w:rtl/>
        </w:rPr>
        <w:t xml:space="preserve">"יש לזכור כי גם החזקה בסמים לצורך שימוש עצמי – הינה עבירה פלילית, שהעונש בצידה יכול להגיע עד שלוש שנות מאסר (ראו: </w:t>
      </w:r>
      <w:r w:rsidRPr="00F428D9">
        <w:rPr>
          <w:rFonts w:cs="Miriam"/>
          <w:color w:val="000000"/>
          <w:rtl/>
        </w:rPr>
        <w:t>סעיף 7(ג)</w:t>
      </w:r>
      <w:r>
        <w:rPr>
          <w:rFonts w:cs="Miriam"/>
          <w:rtl/>
        </w:rPr>
        <w:t xml:space="preserve"> סייפא לפקודה). למותר לציין, כי מדיניות התביעה בישראל מגלה תקיפות כלפי עבירה זו, והיא איננה נתפסת כעבירה "פעוטת-ערך" (ראו: הנחיה 4.1105 להנחיות היועץ המשפטי לממשלה: "מדיניות התביעה – סמים: אחזקה ושימוש לצריכה עצמית", בפיסקה 5). הדברים האמורים מקבלים משנה תוקף כאשר עסקינן – כמו במקרה שלפנינו – לא רק בעבירה של החזקה, אלא גם בעבירה של גידול הסם המסוכן ללא היתר (אף אם הגידול נעשה, כטענת המשיב, באותן הנסיבות, דהיינו למטרות שימוש עצמי), שכן עבירה זו הינה עבירה המסווגת ברף הגבוה של עבירות הסמים, וככזו היא נושאת עימה עונש מאסר מירבי של עשרים שנים (ראו: </w:t>
      </w:r>
      <w:r w:rsidRPr="00F428D9">
        <w:rPr>
          <w:rFonts w:cs="Miriam"/>
          <w:color w:val="000000"/>
          <w:rtl/>
        </w:rPr>
        <w:t>סעיף 6</w:t>
      </w:r>
      <w:r>
        <w:rPr>
          <w:rFonts w:cs="Miriam"/>
          <w:rtl/>
        </w:rPr>
        <w:t xml:space="preserve"> לפקודה). </w:t>
      </w:r>
    </w:p>
    <w:p w14:paraId="5D15D23D" w14:textId="77777777" w:rsidR="00B76862" w:rsidRDefault="00F428D9">
      <w:pPr>
        <w:spacing w:line="360" w:lineRule="auto"/>
        <w:ind w:left="1440" w:right="851"/>
        <w:rPr>
          <w:rtl/>
        </w:rPr>
      </w:pPr>
      <w:r>
        <w:rPr>
          <w:rtl/>
        </w:rPr>
        <w:t xml:space="preserve">(על"א 8563/07 </w:t>
      </w:r>
      <w:r>
        <w:rPr>
          <w:b/>
          <w:bCs/>
          <w:rtl/>
        </w:rPr>
        <w:t>הועד המחוזי של לשכת עורכי הדין בישראל נ' עו"ד שלומי הרברשטט</w:t>
      </w:r>
      <w:r>
        <w:rPr>
          <w:rtl/>
        </w:rPr>
        <w:t xml:space="preserve"> (24.3.11))</w:t>
      </w:r>
    </w:p>
    <w:p w14:paraId="292F6599" w14:textId="77777777" w:rsidR="00B76862" w:rsidRDefault="00B76862">
      <w:pPr>
        <w:spacing w:line="360" w:lineRule="auto"/>
        <w:rPr>
          <w:rtl/>
        </w:rPr>
      </w:pPr>
    </w:p>
    <w:p w14:paraId="1A596697" w14:textId="77777777" w:rsidR="00B76862" w:rsidRDefault="00F428D9">
      <w:pPr>
        <w:numPr>
          <w:ilvl w:val="0"/>
          <w:numId w:val="1"/>
        </w:numPr>
        <w:spacing w:line="360" w:lineRule="auto"/>
        <w:jc w:val="both"/>
      </w:pPr>
      <w:r>
        <w:rPr>
          <w:rtl/>
        </w:rPr>
        <w:t xml:space="preserve">במקרים בהם כמות הסם שגודלה הייתה ממשית (מספר קילוגרמים ומעלה) הוטלו לרוב עונשי מאסר בפועל, ובמקרים רבים אף שלא בעבודות שירות (ראה למשל </w:t>
      </w:r>
      <w:hyperlink r:id="rId55" w:history="1">
        <w:r w:rsidRPr="00F428D9">
          <w:rPr>
            <w:rStyle w:val="Hyperlink"/>
            <w:rtl/>
          </w:rPr>
          <w:t>רע"פ 3841/16</w:t>
        </w:r>
      </w:hyperlink>
      <w:r>
        <w:rPr>
          <w:rtl/>
        </w:rPr>
        <w:t xml:space="preserve"> </w:t>
      </w:r>
      <w:r>
        <w:rPr>
          <w:b/>
          <w:bCs/>
          <w:rtl/>
        </w:rPr>
        <w:t>יעקב מזרחי נ' מדינת ישראל</w:t>
      </w:r>
      <w:r>
        <w:rPr>
          <w:rtl/>
        </w:rPr>
        <w:t xml:space="preserve"> (16.5.16); </w:t>
      </w:r>
      <w:hyperlink r:id="rId56" w:history="1">
        <w:r w:rsidRPr="00F428D9">
          <w:rPr>
            <w:rStyle w:val="Hyperlink"/>
            <w:rtl/>
          </w:rPr>
          <w:t>רע"פ 1787/15</w:t>
        </w:r>
      </w:hyperlink>
      <w:r>
        <w:rPr>
          <w:rtl/>
        </w:rPr>
        <w:t xml:space="preserve"> </w:t>
      </w:r>
      <w:r>
        <w:rPr>
          <w:b/>
          <w:bCs/>
          <w:rtl/>
        </w:rPr>
        <w:t>עמר נ' מדינת ישראל</w:t>
      </w:r>
      <w:r>
        <w:rPr>
          <w:rtl/>
        </w:rPr>
        <w:t xml:space="preserve"> (24.3.15); </w:t>
      </w:r>
      <w:hyperlink r:id="rId57" w:history="1">
        <w:r w:rsidRPr="00F428D9">
          <w:rPr>
            <w:rStyle w:val="Hyperlink"/>
            <w:rtl/>
          </w:rPr>
          <w:t>רע"פ 7005/14</w:t>
        </w:r>
      </w:hyperlink>
      <w:r>
        <w:rPr>
          <w:rtl/>
        </w:rPr>
        <w:t xml:space="preserve"> </w:t>
      </w:r>
      <w:r>
        <w:rPr>
          <w:b/>
          <w:bCs/>
          <w:rtl/>
        </w:rPr>
        <w:t>דגן נ' מדינת ישראל</w:t>
      </w:r>
      <w:r>
        <w:rPr>
          <w:rtl/>
        </w:rPr>
        <w:t xml:space="preserve"> (30.11.14)). </w:t>
      </w:r>
    </w:p>
    <w:p w14:paraId="72C177AF" w14:textId="77777777" w:rsidR="00B76862" w:rsidRDefault="00B76862">
      <w:pPr>
        <w:spacing w:line="360" w:lineRule="auto"/>
        <w:ind w:left="720"/>
        <w:jc w:val="both"/>
      </w:pPr>
    </w:p>
    <w:p w14:paraId="031963B2" w14:textId="77777777" w:rsidR="00B76862" w:rsidRDefault="00F428D9">
      <w:pPr>
        <w:numPr>
          <w:ilvl w:val="0"/>
          <w:numId w:val="1"/>
        </w:numPr>
        <w:spacing w:line="360" w:lineRule="auto"/>
        <w:jc w:val="both"/>
        <w:rPr>
          <w:rFonts w:cs="Times New Roman"/>
        </w:rPr>
      </w:pPr>
      <w:r>
        <w:rPr>
          <w:rtl/>
        </w:rPr>
        <w:t xml:space="preserve">בעניינו, מדובר בגידול כמות </w:t>
      </w:r>
      <w:r>
        <w:rPr>
          <w:rFonts w:hint="cs"/>
          <w:rtl/>
        </w:rPr>
        <w:t>מועטה</w:t>
      </w:r>
      <w:r>
        <w:rPr>
          <w:rtl/>
        </w:rPr>
        <w:t xml:space="preserve"> של צמחים ואף במשקל שלא צוין. ביחס להחזקת הסם מדובר גם כן במטרה של שימוש עצמי ובמשקל של כ-117 גרם. נסיבות אלו אינן מתאימות למתחמים שנקבעו כמפורט לעיל, ביחס לגידול סמים בכמויות מסחריות. </w:t>
      </w:r>
    </w:p>
    <w:p w14:paraId="00126588" w14:textId="77777777" w:rsidR="00B76862" w:rsidRDefault="00B76862">
      <w:pPr>
        <w:spacing w:line="360" w:lineRule="auto"/>
        <w:ind w:left="720"/>
        <w:jc w:val="both"/>
        <w:rPr>
          <w:rFonts w:cs="Times New Roman"/>
        </w:rPr>
      </w:pPr>
    </w:p>
    <w:p w14:paraId="5CCDB8EC" w14:textId="77777777" w:rsidR="00B76862" w:rsidRDefault="00F428D9">
      <w:pPr>
        <w:numPr>
          <w:ilvl w:val="0"/>
          <w:numId w:val="1"/>
        </w:numPr>
        <w:spacing w:line="360" w:lineRule="auto"/>
        <w:jc w:val="both"/>
        <w:rPr>
          <w:rFonts w:cs="Times New Roman"/>
        </w:rPr>
      </w:pPr>
      <w:r>
        <w:rPr>
          <w:rtl/>
        </w:rPr>
        <w:t xml:space="preserve">הענישה הנוהגת במקרים הדומים לזה שלפני קלה יותר. ראו למשל גזרי הדין הבאים: </w:t>
      </w:r>
    </w:p>
    <w:p w14:paraId="5B3C0E25" w14:textId="77777777" w:rsidR="00B76862" w:rsidRDefault="00B76862">
      <w:pPr>
        <w:spacing w:line="360" w:lineRule="auto"/>
        <w:ind w:left="720"/>
        <w:jc w:val="both"/>
        <w:rPr>
          <w:rtl/>
        </w:rPr>
      </w:pPr>
    </w:p>
    <w:p w14:paraId="29F7773C" w14:textId="77777777" w:rsidR="00B76862" w:rsidRDefault="00F428D9">
      <w:pPr>
        <w:spacing w:line="360" w:lineRule="auto"/>
        <w:ind w:left="720"/>
        <w:jc w:val="both"/>
        <w:rPr>
          <w:rtl/>
        </w:rPr>
      </w:pPr>
      <w:hyperlink r:id="rId58" w:history="1">
        <w:r w:rsidRPr="00F428D9">
          <w:rPr>
            <w:rStyle w:val="Hyperlink"/>
            <w:rtl/>
          </w:rPr>
          <w:t>ת"פ 24322-05-12</w:t>
        </w:r>
      </w:hyperlink>
      <w:r>
        <w:rPr>
          <w:rtl/>
        </w:rPr>
        <w:t xml:space="preserve"> </w:t>
      </w:r>
      <w:r>
        <w:rPr>
          <w:b/>
          <w:bCs/>
          <w:rtl/>
        </w:rPr>
        <w:t>מדינת ישראל נ' נובק</w:t>
      </w:r>
      <w:r>
        <w:rPr>
          <w:rtl/>
        </w:rPr>
        <w:t xml:space="preserve"> (18.3.13), בו הורשע הנאשם בהחזקת סם במשקל מזערי לשימוש עצמי וכן בגידול סמים בכמות שלא פורטה והוטל עליו מאסר מותנה, וכן צווי מבחן ושל"צ. נקבע בעניין זה שמתחם הענישה ההולם את נסיבות העבירה, נע בין מאסר מותנה ועד שישה חודשי מאסר שניתן </w:t>
      </w:r>
      <w:r>
        <w:rPr>
          <w:rFonts w:hint="cs"/>
          <w:rtl/>
        </w:rPr>
        <w:t xml:space="preserve">לשאת בהם </w:t>
      </w:r>
      <w:r>
        <w:rPr>
          <w:rtl/>
        </w:rPr>
        <w:t xml:space="preserve">בעבודות שירות. </w:t>
      </w:r>
    </w:p>
    <w:p w14:paraId="15A611D1" w14:textId="77777777" w:rsidR="00B76862" w:rsidRDefault="00B76862">
      <w:pPr>
        <w:spacing w:line="360" w:lineRule="auto"/>
        <w:ind w:left="720"/>
        <w:jc w:val="both"/>
        <w:rPr>
          <w:rFonts w:cs="Times New Roman"/>
          <w:rtl/>
        </w:rPr>
      </w:pPr>
    </w:p>
    <w:p w14:paraId="1F062A50" w14:textId="77777777" w:rsidR="00B76862" w:rsidRDefault="00F428D9">
      <w:pPr>
        <w:spacing w:line="360" w:lineRule="auto"/>
        <w:ind w:left="720"/>
        <w:jc w:val="both"/>
        <w:rPr>
          <w:rtl/>
        </w:rPr>
      </w:pPr>
      <w:hyperlink r:id="rId59" w:history="1">
        <w:r w:rsidRPr="00F428D9">
          <w:rPr>
            <w:rStyle w:val="Hyperlink"/>
            <w:rtl/>
          </w:rPr>
          <w:t>ת"פ 44091-11-15</w:t>
        </w:r>
      </w:hyperlink>
      <w:r>
        <w:rPr>
          <w:rtl/>
        </w:rPr>
        <w:t xml:space="preserve"> </w:t>
      </w:r>
      <w:r>
        <w:rPr>
          <w:b/>
          <w:bCs/>
          <w:rtl/>
        </w:rPr>
        <w:t>מדינת ישראל נ' תומר ראובני</w:t>
      </w:r>
      <w:r>
        <w:rPr>
          <w:rtl/>
        </w:rPr>
        <w:t xml:space="preserve"> (17.5.16) בו הורשע הנאשם בגידול סמים במשקל של 132 גרם ובהחזקת סם מסוג קנאביס שלא לשימוש עצמי במשקל של כ-170 גרם. בית המשפט קבע כי מתחם העונש ההולם את נסיבות העבירות, הנו עונש מאסר </w:t>
      </w:r>
      <w:r>
        <w:rPr>
          <w:rFonts w:hint="cs"/>
          <w:rtl/>
        </w:rPr>
        <w:t>ש</w:t>
      </w:r>
      <w:r>
        <w:rPr>
          <w:rtl/>
        </w:rPr>
        <w:t xml:space="preserve">ניתן </w:t>
      </w:r>
      <w:r>
        <w:rPr>
          <w:rFonts w:hint="cs"/>
          <w:rtl/>
        </w:rPr>
        <w:t xml:space="preserve">לשאת בו </w:t>
      </w:r>
      <w:r>
        <w:rPr>
          <w:rtl/>
        </w:rPr>
        <w:t>בעבודות שירות ועד 18 חודשי מאסר.</w:t>
      </w:r>
    </w:p>
    <w:p w14:paraId="4A91F90F" w14:textId="77777777" w:rsidR="00B76862" w:rsidRDefault="00B76862">
      <w:pPr>
        <w:spacing w:line="360" w:lineRule="auto"/>
        <w:ind w:left="720"/>
        <w:jc w:val="both"/>
        <w:rPr>
          <w:rtl/>
        </w:rPr>
      </w:pPr>
    </w:p>
    <w:p w14:paraId="5D0C7E8D" w14:textId="77777777" w:rsidR="00B76862" w:rsidRDefault="00F428D9">
      <w:pPr>
        <w:spacing w:line="360" w:lineRule="auto"/>
        <w:ind w:left="720"/>
        <w:jc w:val="both"/>
        <w:rPr>
          <w:rtl/>
        </w:rPr>
      </w:pPr>
      <w:hyperlink r:id="rId60" w:history="1">
        <w:r w:rsidRPr="00F428D9">
          <w:rPr>
            <w:rStyle w:val="Hyperlink"/>
            <w:rtl/>
          </w:rPr>
          <w:t>ת"פ 5119-09-13</w:t>
        </w:r>
      </w:hyperlink>
      <w:r>
        <w:rPr>
          <w:rtl/>
        </w:rPr>
        <w:t xml:space="preserve"> </w:t>
      </w:r>
      <w:r>
        <w:rPr>
          <w:b/>
          <w:bCs/>
          <w:rtl/>
        </w:rPr>
        <w:t>מדינת ישראל נ' אברהם לישנר</w:t>
      </w:r>
      <w:r>
        <w:rPr>
          <w:rtl/>
        </w:rPr>
        <w:t xml:space="preserve"> (6.5.13) הורשע הנאשם עבירה של החזקת סם לשימוש עצמי וכן גידול 18 שתילי סם במשקל 245 גרם והוטלו עליו מאסר מותנה וכן צו של"צ. עם זאת נקבע כי מתחם הענישה ההולם עבירות אלו בנסיבות העניין</w:t>
      </w:r>
      <w:r>
        <w:rPr>
          <w:rFonts w:hint="cs"/>
          <w:rtl/>
        </w:rPr>
        <w:t>,</w:t>
      </w:r>
      <w:r>
        <w:rPr>
          <w:rtl/>
        </w:rPr>
        <w:t xml:space="preserve"> נע בין מאסר קצר שניתן לשאת בו בעבודת שירות ועד 18 חודשי מאסר.</w:t>
      </w:r>
    </w:p>
    <w:p w14:paraId="435FD9B7" w14:textId="77777777" w:rsidR="00B76862" w:rsidRDefault="00B76862">
      <w:pPr>
        <w:spacing w:line="360" w:lineRule="auto"/>
        <w:rPr>
          <w:rtl/>
        </w:rPr>
      </w:pPr>
    </w:p>
    <w:p w14:paraId="4F3009EF" w14:textId="77777777" w:rsidR="00B76862" w:rsidRDefault="00F428D9">
      <w:pPr>
        <w:numPr>
          <w:ilvl w:val="0"/>
          <w:numId w:val="1"/>
        </w:numPr>
        <w:spacing w:line="360" w:lineRule="auto"/>
        <w:jc w:val="both"/>
        <w:rPr>
          <w:rtl/>
        </w:rPr>
      </w:pPr>
      <w:r>
        <w:rPr>
          <w:rtl/>
        </w:rPr>
        <w:t xml:space="preserve">לאור כל זאת, אני בדעה כי מתחם הענישה ההולם את העבירות בנסיבותיו של מקרה זה, נע בין מאסר מותנה ועד 8 חודשי מאסר בפועל.  </w:t>
      </w:r>
    </w:p>
    <w:p w14:paraId="00FA0878" w14:textId="77777777" w:rsidR="00B76862" w:rsidRDefault="00B76862">
      <w:pPr>
        <w:spacing w:line="360" w:lineRule="auto"/>
        <w:ind w:left="360"/>
        <w:jc w:val="both"/>
        <w:rPr>
          <w:b/>
          <w:bCs/>
          <w:u w:val="single"/>
        </w:rPr>
      </w:pPr>
    </w:p>
    <w:p w14:paraId="132393A0" w14:textId="77777777" w:rsidR="00B76862" w:rsidRDefault="00F428D9">
      <w:pPr>
        <w:spacing w:line="360" w:lineRule="auto"/>
        <w:ind w:left="360"/>
        <w:jc w:val="both"/>
        <w:rPr>
          <w:b/>
          <w:bCs/>
          <w:u w:val="single"/>
          <w:rtl/>
        </w:rPr>
      </w:pPr>
      <w:r>
        <w:rPr>
          <w:b/>
          <w:bCs/>
          <w:u w:val="single"/>
          <w:rtl/>
        </w:rPr>
        <w:t>קביעת עונשו של הנאשם.</w:t>
      </w:r>
    </w:p>
    <w:p w14:paraId="56E32529" w14:textId="77777777" w:rsidR="00B76862" w:rsidRDefault="00B76862">
      <w:pPr>
        <w:spacing w:line="360" w:lineRule="auto"/>
        <w:ind w:left="360"/>
        <w:jc w:val="both"/>
        <w:rPr>
          <w:b/>
          <w:bCs/>
          <w:u w:val="single"/>
          <w:rtl/>
        </w:rPr>
      </w:pPr>
    </w:p>
    <w:p w14:paraId="63157889" w14:textId="77777777" w:rsidR="00B76862" w:rsidRDefault="00F428D9">
      <w:pPr>
        <w:numPr>
          <w:ilvl w:val="0"/>
          <w:numId w:val="1"/>
        </w:numPr>
        <w:spacing w:line="360" w:lineRule="auto"/>
        <w:jc w:val="both"/>
      </w:pPr>
      <w:r>
        <w:rPr>
          <w:rtl/>
        </w:rPr>
        <w:t>אקדים ואומר כי המלצת שירות המבחן ראויה בעיני ועל כן בכוונתי לאמצה. הלכה למעשה, המלצת שירות מצויה בגדרי מתחם הענישה שקבעתי, כך שאין הכרח להוכיח במקרה זה סיכויי שיקום ממשיים (</w:t>
      </w:r>
      <w:hyperlink r:id="rId61" w:history="1">
        <w:r w:rsidR="008F426A" w:rsidRPr="008F426A">
          <w:rPr>
            <w:rStyle w:val="Hyperlink"/>
            <w:rtl/>
          </w:rPr>
          <w:t>סעיף 40ד'</w:t>
        </w:r>
      </w:hyperlink>
      <w:r>
        <w:rPr>
          <w:rtl/>
        </w:rPr>
        <w:t xml:space="preserve"> ל</w:t>
      </w:r>
      <w:hyperlink r:id="rId62" w:history="1">
        <w:r w:rsidRPr="00F428D9">
          <w:rPr>
            <w:rStyle w:val="Hyperlink"/>
            <w:rtl/>
          </w:rPr>
          <w:t>חוק העונשין</w:t>
        </w:r>
      </w:hyperlink>
      <w:r>
        <w:rPr>
          <w:rtl/>
        </w:rPr>
        <w:t xml:space="preserve">). ואולם אף אם הייתה נדרשת חריגה מטעמי שיקום, הייתי קובע כך, שכן במקרה זה נכון לנקוט בעניינו של הנאשם גישה שיקומית ולהעדיפה על פני ענישה מוחשית הולמת. </w:t>
      </w:r>
    </w:p>
    <w:p w14:paraId="49BE11CF" w14:textId="77777777" w:rsidR="00B76862" w:rsidRDefault="00B76862">
      <w:pPr>
        <w:spacing w:line="360" w:lineRule="auto"/>
        <w:ind w:left="720"/>
        <w:jc w:val="both"/>
      </w:pPr>
    </w:p>
    <w:p w14:paraId="1BBE1D93" w14:textId="77777777" w:rsidR="00B76862" w:rsidRDefault="00F428D9">
      <w:pPr>
        <w:numPr>
          <w:ilvl w:val="0"/>
          <w:numId w:val="1"/>
        </w:numPr>
        <w:spacing w:line="360" w:lineRule="auto"/>
        <w:jc w:val="both"/>
      </w:pPr>
      <w:r>
        <w:rPr>
          <w:rtl/>
        </w:rPr>
        <w:t>הנאשם אינו אדם צעיר. נסיבות חייו קשות ומזה שנים שהוא מצוי במצוקה רגשית אקוטית, כהגדרת שירות המבחן. העבירות שעבר הנאשם, נעברו על רקע מצבו הרגשי כאמור ולאחר חשיפתן, החל הנאשם בהליך שיקומי במסגרתו חדל לחלוטין משימוש בסמים והחל בטיפול מקצועי. שירות המבחן התרשם כי לנאשם רצון אמיתי בשינוי חייו וכי הוא יכול להיתרם מהליך טיפולי. לאור כך הומלץ על העמדתו במבחן בצירוף עונש מותנה</w:t>
      </w:r>
      <w:r>
        <w:rPr>
          <w:rFonts w:hint="cs"/>
          <w:rtl/>
        </w:rPr>
        <w:t xml:space="preserve"> וצו של"צ</w:t>
      </w:r>
      <w:r>
        <w:rPr>
          <w:rtl/>
        </w:rPr>
        <w:t xml:space="preserve">. </w:t>
      </w:r>
    </w:p>
    <w:p w14:paraId="67814F0A" w14:textId="77777777" w:rsidR="00B76862" w:rsidRDefault="00B76862">
      <w:pPr>
        <w:spacing w:line="360" w:lineRule="auto"/>
        <w:ind w:left="720"/>
        <w:jc w:val="both"/>
      </w:pPr>
    </w:p>
    <w:p w14:paraId="66C22D23" w14:textId="77777777" w:rsidR="00B76862" w:rsidRDefault="00F428D9">
      <w:pPr>
        <w:numPr>
          <w:ilvl w:val="0"/>
          <w:numId w:val="1"/>
        </w:numPr>
        <w:spacing w:line="360" w:lineRule="auto"/>
        <w:jc w:val="both"/>
      </w:pPr>
      <w:r>
        <w:rPr>
          <w:rtl/>
        </w:rPr>
        <w:t>עמדה זו ראיה בעיני בהחלט. שירות המבחן הנו הגוף המקצועי האמון על שיקום נאשמים ועל הערכת הסיכויים לכך. קצין המבחן משמש כזרועו הארוכה של בית המשפט לעניין זה, ועל אף שאין הכרח לאמץ את המלצתו, ברי כי להמלצת שירות המבחן משקל ממשי בבואו של בית המשפט לגזור את דינו של נאשם (</w:t>
      </w:r>
      <w:hyperlink r:id="rId63" w:history="1">
        <w:r w:rsidRPr="00F428D9">
          <w:rPr>
            <w:rStyle w:val="Hyperlink"/>
            <w:rtl/>
          </w:rPr>
          <w:t>ע"פ 3472/11</w:t>
        </w:r>
      </w:hyperlink>
      <w:r>
        <w:rPr>
          <w:rtl/>
        </w:rPr>
        <w:t xml:space="preserve"> </w:t>
      </w:r>
      <w:r>
        <w:rPr>
          <w:b/>
          <w:bCs/>
          <w:rtl/>
        </w:rPr>
        <w:t>פלוני נ' מדינת ישראל</w:t>
      </w:r>
      <w:r>
        <w:rPr>
          <w:rtl/>
        </w:rPr>
        <w:t xml:space="preserve"> (3.9.12)). על חומרת העבירות במקרה זה אין חולק, ועמדתי לעיל על מדיניות הענישה הראויה בעבירות כגון אלו. עם זאת, במקרה זה סברתי כי אין זה נכון להטיל על הנאשם עונש מאסר ולו בעבודות שירות. הנאשם אינו בעל דפוסי התנהגות עברייניים. הוא אינו צעיר ועברו נקי למעט עבירה של גניבת מים, אשר התיישנה והוסברה על רקע מצבו הכלכלי הקשה. נסיבות אלו, על רקע מהות העבירות והמלצת שירות המבחן, מביאים למסקנה לפיה עונש מאסר אינו הולם את נסיבות המקרה ונסיבות העושה (לעניין הימנעות מהטלת עונש מאסר ביחס למי שאינו בעל דפוסי עבריינות מובהקים ראה </w:t>
      </w:r>
      <w:hyperlink r:id="rId64" w:history="1">
        <w:r w:rsidRPr="00F428D9">
          <w:rPr>
            <w:rStyle w:val="Hyperlink"/>
            <w:rtl/>
          </w:rPr>
          <w:t>ע"פ 4318-10-11</w:t>
        </w:r>
      </w:hyperlink>
      <w:r>
        <w:rPr>
          <w:rtl/>
        </w:rPr>
        <w:t xml:space="preserve"> </w:t>
      </w:r>
      <w:r>
        <w:rPr>
          <w:b/>
          <w:bCs/>
          <w:rtl/>
        </w:rPr>
        <w:t>מדינת ישראל נ' רפאילוב ואח'</w:t>
      </w:r>
      <w:r>
        <w:rPr>
          <w:rtl/>
        </w:rPr>
        <w:t xml:space="preserve"> (5.1.12), חוות דעתו של כב' השופט שפירא). </w:t>
      </w:r>
    </w:p>
    <w:p w14:paraId="424A973E" w14:textId="77777777" w:rsidR="00B76862" w:rsidRDefault="00B76862">
      <w:pPr>
        <w:spacing w:line="360" w:lineRule="auto"/>
        <w:ind w:left="720"/>
        <w:jc w:val="both"/>
      </w:pPr>
    </w:p>
    <w:p w14:paraId="42990535" w14:textId="77777777" w:rsidR="00B76862" w:rsidRDefault="00F428D9">
      <w:pPr>
        <w:numPr>
          <w:ilvl w:val="0"/>
          <w:numId w:val="1"/>
        </w:numPr>
        <w:spacing w:line="360" w:lineRule="auto"/>
        <w:jc w:val="both"/>
      </w:pPr>
      <w:r>
        <w:rPr>
          <w:rFonts w:hint="cs"/>
          <w:rtl/>
        </w:rPr>
        <w:t>ביחס לאפשרות להטיל על הנאשם עונש בעבודות שירות, מקובלת עלי עמדת שירות המבחן לפיה האינטנסיביות של ההליך הטיפולי, לא תאפשר לנאשם לבצע עבודות שירות ולעניין זה אפנה לעמדת הממונה אשר סירב לקבל את הנאשם מטעם זה ממש.</w:t>
      </w:r>
    </w:p>
    <w:p w14:paraId="03699A60" w14:textId="77777777" w:rsidR="00B76862" w:rsidRDefault="00B76862">
      <w:pPr>
        <w:spacing w:line="360" w:lineRule="auto"/>
        <w:ind w:left="720"/>
        <w:jc w:val="both"/>
        <w:rPr>
          <w:rtl/>
        </w:rPr>
      </w:pPr>
    </w:p>
    <w:p w14:paraId="0553F95E" w14:textId="77777777" w:rsidR="00B76862" w:rsidRDefault="00F428D9">
      <w:pPr>
        <w:numPr>
          <w:ilvl w:val="0"/>
          <w:numId w:val="1"/>
        </w:numPr>
        <w:spacing w:line="360" w:lineRule="auto"/>
        <w:jc w:val="both"/>
      </w:pPr>
      <w:r>
        <w:rPr>
          <w:rFonts w:hint="cs"/>
          <w:rtl/>
        </w:rPr>
        <w:t>עם זאת, ביצוע צו של"צ, מקיים היטב את האיזון הראוי שבין ענישה מוחשית לבין מניעת פגיעה רבה מידי בנאשם. לאור כך, אף בעניין זה נראית לי המלצתו העקרונית של שירות המבחן.</w:t>
      </w:r>
    </w:p>
    <w:p w14:paraId="0192503D" w14:textId="77777777" w:rsidR="00B76862" w:rsidRDefault="00B76862">
      <w:pPr>
        <w:spacing w:line="360" w:lineRule="auto"/>
        <w:ind w:left="720"/>
        <w:jc w:val="both"/>
        <w:rPr>
          <w:rtl/>
        </w:rPr>
      </w:pPr>
    </w:p>
    <w:p w14:paraId="651CD367" w14:textId="77777777" w:rsidR="00B76862" w:rsidRDefault="00F428D9">
      <w:pPr>
        <w:numPr>
          <w:ilvl w:val="0"/>
          <w:numId w:val="1"/>
        </w:numPr>
        <w:spacing w:line="360" w:lineRule="auto"/>
        <w:jc w:val="both"/>
      </w:pPr>
      <w:r>
        <w:rPr>
          <w:rFonts w:hint="cs"/>
          <w:rtl/>
        </w:rPr>
        <w:t>יצוין עוד ש</w:t>
      </w:r>
      <w:r>
        <w:rPr>
          <w:rtl/>
        </w:rPr>
        <w:t xml:space="preserve">הנאשם אף סובל מבדידות קשה שנים רבות, הוא אינו עובד ונעדר תמיכה משפחתית. על רקע זה נעברו העבירות מושא גזר דין זה. שירות המבחן התרשם ממוטיבציה רבה לשינוי אצל הנאשם, אשר אף החל בפעולות שיקום, וכן הוא סבור כי לאחר הטיפול יפחת משמעותית הסיכוי להישנות העבירות. הערכה מקצועית זו מצדיקה להושיט יד לנאשם ולאפשר לו לעבור הליך שיקומי, אשר ייטיב לא רק את מצבו, אלא אף ישרת את האינטרס הציבורי. אציין עוד כי עונש מאסר כעתירת המאשימה, לא יאפשר לשלב את הנאשם בצו מבחן ויקטע למעשה את ההליך הטיפולי (ראה </w:t>
      </w:r>
      <w:hyperlink r:id="rId65" w:history="1">
        <w:r w:rsidR="008F426A" w:rsidRPr="008F426A">
          <w:rPr>
            <w:rStyle w:val="Hyperlink"/>
            <w:rtl/>
          </w:rPr>
          <w:t>סעיף 1</w:t>
        </w:r>
      </w:hyperlink>
      <w:r>
        <w:rPr>
          <w:rtl/>
        </w:rPr>
        <w:t xml:space="preserve"> ל</w:t>
      </w:r>
      <w:hyperlink r:id="rId66" w:history="1">
        <w:r w:rsidRPr="00F428D9">
          <w:rPr>
            <w:rStyle w:val="Hyperlink"/>
            <w:rtl/>
          </w:rPr>
          <w:t>פקודת המבחן</w:t>
        </w:r>
      </w:hyperlink>
      <w:r>
        <w:rPr>
          <w:rtl/>
        </w:rPr>
        <w:t xml:space="preserve"> ; </w:t>
      </w:r>
      <w:hyperlink r:id="rId67" w:history="1">
        <w:r w:rsidRPr="00F428D9">
          <w:rPr>
            <w:rStyle w:val="Hyperlink"/>
            <w:rtl/>
          </w:rPr>
          <w:t>ע"פ 4167/12</w:t>
        </w:r>
      </w:hyperlink>
      <w:r>
        <w:rPr>
          <w:rtl/>
        </w:rPr>
        <w:t xml:space="preserve"> </w:t>
      </w:r>
      <w:r>
        <w:rPr>
          <w:b/>
          <w:bCs/>
          <w:rtl/>
        </w:rPr>
        <w:t>אוחנה ואח' נ' מדינת ישראל</w:t>
      </w:r>
      <w:r>
        <w:rPr>
          <w:rtl/>
        </w:rPr>
        <w:t xml:space="preserve"> (17.3.13)). תוצאה זו אינה ראויה לדעתי וראוי להימנע ממנה לאור סיכויי שיקומו של הנאשם. כמו כן, הנאשם אינו מסיים את ההליך כעת, וככל שלא ישתף פעולה עם שירות המבחן, ובוודאי אם יעבור עבירה נוספת, יחודש ההליך נגדו והוא יישא בעונש ההולם את מעשיו (</w:t>
      </w:r>
      <w:hyperlink r:id="rId68" w:history="1">
        <w:r w:rsidRPr="00F428D9">
          <w:rPr>
            <w:rStyle w:val="Hyperlink"/>
            <w:rtl/>
          </w:rPr>
          <w:t>עפ"ג 39953-11-13</w:t>
        </w:r>
      </w:hyperlink>
      <w:r>
        <w:rPr>
          <w:rtl/>
        </w:rPr>
        <w:t xml:space="preserve"> </w:t>
      </w:r>
      <w:r>
        <w:rPr>
          <w:b/>
          <w:bCs/>
          <w:rtl/>
        </w:rPr>
        <w:t>סבח נ' מדינת ישראל</w:t>
      </w:r>
      <w:r>
        <w:rPr>
          <w:rtl/>
        </w:rPr>
        <w:t xml:space="preserve"> (23.1.14)). </w:t>
      </w:r>
    </w:p>
    <w:p w14:paraId="1DE70CCF" w14:textId="77777777" w:rsidR="00B76862" w:rsidRDefault="00B76862">
      <w:pPr>
        <w:spacing w:line="360" w:lineRule="auto"/>
        <w:ind w:left="720"/>
        <w:jc w:val="both"/>
      </w:pPr>
    </w:p>
    <w:p w14:paraId="43E31FD7" w14:textId="77777777" w:rsidR="00B76862" w:rsidRDefault="00F428D9">
      <w:pPr>
        <w:numPr>
          <w:ilvl w:val="0"/>
          <w:numId w:val="1"/>
        </w:numPr>
        <w:spacing w:before="120" w:after="120" w:line="360" w:lineRule="auto"/>
        <w:contextualSpacing/>
        <w:jc w:val="both"/>
      </w:pPr>
      <w:r>
        <w:rPr>
          <w:rtl/>
        </w:rPr>
        <w:t>סיכומו של דבר, לאחר שבחנתי את מכלול השיקולים, הן לקולה והן לחומרה,  אני מטיל על הנאשם את העונשים הבאים:</w:t>
      </w:r>
    </w:p>
    <w:p w14:paraId="7B494F3F" w14:textId="77777777" w:rsidR="00B76862" w:rsidRDefault="00B76862">
      <w:pPr>
        <w:spacing w:before="120" w:after="120" w:line="360" w:lineRule="auto"/>
        <w:ind w:left="360"/>
        <w:contextualSpacing/>
        <w:jc w:val="both"/>
      </w:pPr>
    </w:p>
    <w:p w14:paraId="4672236A" w14:textId="77777777" w:rsidR="00B76862" w:rsidRDefault="00F428D9">
      <w:pPr>
        <w:numPr>
          <w:ilvl w:val="0"/>
          <w:numId w:val="2"/>
        </w:numPr>
        <w:spacing w:before="240" w:after="240" w:line="360" w:lineRule="auto"/>
        <w:contextualSpacing/>
        <w:jc w:val="both"/>
      </w:pPr>
      <w:r>
        <w:rPr>
          <w:rtl/>
        </w:rPr>
        <w:t xml:space="preserve">אני מעמיד את הנאשם במבחן למשך 18 חודשים. מובהר כי תנאי המבחן כוללים בין היתר איסור מוחלט לעשות שימוש בסמים ועמידה במבדקי סמים לפי שיקול דעת שירות המבחן. </w:t>
      </w:r>
    </w:p>
    <w:p w14:paraId="23C57958" w14:textId="77777777" w:rsidR="00B76862" w:rsidRDefault="00B76862">
      <w:pPr>
        <w:spacing w:before="240" w:after="240" w:line="360" w:lineRule="auto"/>
        <w:ind w:left="1440"/>
        <w:contextualSpacing/>
        <w:jc w:val="both"/>
        <w:rPr>
          <w:rtl/>
        </w:rPr>
      </w:pPr>
    </w:p>
    <w:p w14:paraId="69CCE4A8" w14:textId="77777777" w:rsidR="00B76862" w:rsidRDefault="00F428D9">
      <w:pPr>
        <w:spacing w:before="240" w:after="240" w:line="360" w:lineRule="auto"/>
        <w:ind w:left="1440"/>
        <w:contextualSpacing/>
        <w:jc w:val="both"/>
        <w:rPr>
          <w:b/>
          <w:bCs/>
        </w:rPr>
      </w:pPr>
      <w:r>
        <w:rPr>
          <w:b/>
          <w:bCs/>
          <w:rtl/>
        </w:rPr>
        <w:t xml:space="preserve">מובהר לנאשם כי הפרה של צו המבחן, לרבות בדרך של ביצוע עבירה נוספת, עלולה להביא להפקעתו ולענישה נוספת. </w:t>
      </w:r>
    </w:p>
    <w:p w14:paraId="746CEA01" w14:textId="77777777" w:rsidR="00B76862" w:rsidRDefault="00B76862">
      <w:pPr>
        <w:spacing w:before="240" w:after="240" w:line="360" w:lineRule="auto"/>
        <w:ind w:left="1440"/>
        <w:contextualSpacing/>
        <w:jc w:val="both"/>
      </w:pPr>
    </w:p>
    <w:p w14:paraId="115A1490" w14:textId="77777777" w:rsidR="00B76862" w:rsidRDefault="00F428D9">
      <w:pPr>
        <w:numPr>
          <w:ilvl w:val="0"/>
          <w:numId w:val="2"/>
        </w:numPr>
        <w:spacing w:before="240" w:after="240" w:line="360" w:lineRule="auto"/>
        <w:contextualSpacing/>
        <w:jc w:val="both"/>
      </w:pPr>
      <w:r>
        <w:rPr>
          <w:rtl/>
        </w:rPr>
        <w:t xml:space="preserve">מאסר על תנאי לתקופה של  3 חודשים והתנאי הוא שהנאשם לא יעבור במשך 3 שנים  כל עבירה על פקודת הסמים מסוג פשע. </w:t>
      </w:r>
    </w:p>
    <w:p w14:paraId="47D396E1" w14:textId="77777777" w:rsidR="00B76862" w:rsidRDefault="00B76862">
      <w:pPr>
        <w:spacing w:before="240" w:after="240" w:line="360" w:lineRule="auto"/>
        <w:ind w:left="1440"/>
        <w:contextualSpacing/>
        <w:jc w:val="both"/>
      </w:pPr>
    </w:p>
    <w:p w14:paraId="1B5002EB" w14:textId="77777777" w:rsidR="00B76862" w:rsidRDefault="00F428D9">
      <w:pPr>
        <w:numPr>
          <w:ilvl w:val="0"/>
          <w:numId w:val="2"/>
        </w:numPr>
        <w:spacing w:before="240" w:after="240" w:line="360" w:lineRule="auto"/>
        <w:contextualSpacing/>
        <w:jc w:val="both"/>
      </w:pPr>
      <w:r>
        <w:rPr>
          <w:rFonts w:hint="cs"/>
          <w:rtl/>
        </w:rPr>
        <w:t xml:space="preserve">אני מחייב את הנאשם לבצע 100 שעות של"צ. שירות המבחן יגיש תכנית של"צ בתוך 30 יום. </w:t>
      </w:r>
    </w:p>
    <w:p w14:paraId="678CA84B" w14:textId="77777777" w:rsidR="00B76862" w:rsidRDefault="00B76862">
      <w:pPr>
        <w:spacing w:before="240" w:after="240" w:line="360" w:lineRule="auto"/>
        <w:ind w:left="1440"/>
        <w:contextualSpacing/>
        <w:jc w:val="both"/>
        <w:rPr>
          <w:rtl/>
        </w:rPr>
      </w:pPr>
    </w:p>
    <w:p w14:paraId="1A21248F" w14:textId="77777777" w:rsidR="00B76862" w:rsidRDefault="00F428D9">
      <w:pPr>
        <w:spacing w:before="240" w:after="240" w:line="360" w:lineRule="auto"/>
        <w:ind w:left="1440"/>
        <w:contextualSpacing/>
        <w:jc w:val="both"/>
        <w:rPr>
          <w:b/>
          <w:bCs/>
        </w:rPr>
      </w:pPr>
      <w:r>
        <w:rPr>
          <w:rFonts w:hint="cs"/>
          <w:b/>
          <w:bCs/>
          <w:rtl/>
        </w:rPr>
        <w:t>מובהר לנאשם כי עליו לבצע את הצו על פי הוראות שירות המבחן וכי אם לא יעשה כן ניתן יהיה להפקיע את הצו ולהטיל עליו ענישה נוספת.</w:t>
      </w:r>
    </w:p>
    <w:p w14:paraId="0484373A" w14:textId="77777777" w:rsidR="00B76862" w:rsidRDefault="00B76862">
      <w:pPr>
        <w:spacing w:line="360" w:lineRule="auto"/>
        <w:ind w:left="720"/>
        <w:contextualSpacing/>
        <w:jc w:val="both"/>
        <w:rPr>
          <w:b/>
          <w:bCs/>
          <w:rtl/>
        </w:rPr>
      </w:pPr>
    </w:p>
    <w:p w14:paraId="5F47652A" w14:textId="77777777" w:rsidR="00B76862" w:rsidRDefault="00F428D9">
      <w:pPr>
        <w:spacing w:line="360" w:lineRule="auto"/>
        <w:ind w:left="720"/>
        <w:contextualSpacing/>
        <w:jc w:val="both"/>
        <w:rPr>
          <w:b/>
          <w:bCs/>
          <w:u w:val="single"/>
          <w:rtl/>
        </w:rPr>
      </w:pPr>
      <w:r>
        <w:rPr>
          <w:b/>
          <w:bCs/>
          <w:u w:val="single"/>
          <w:rtl/>
        </w:rPr>
        <w:t>יש להמציא את גזר הדין לשירות המבחן.</w:t>
      </w:r>
    </w:p>
    <w:p w14:paraId="5100E5D5" w14:textId="77777777" w:rsidR="00B76862" w:rsidRDefault="00F428D9">
      <w:pPr>
        <w:spacing w:line="360" w:lineRule="auto"/>
        <w:ind w:firstLine="720"/>
        <w:rPr>
          <w:b/>
          <w:bCs/>
          <w:u w:val="single"/>
          <w:rtl/>
        </w:rPr>
      </w:pPr>
      <w:r>
        <w:rPr>
          <w:b/>
          <w:bCs/>
          <w:u w:val="single"/>
          <w:rtl/>
        </w:rPr>
        <w:t>ניתן צו להשמדת המוצגים – סמים וציוד נלווה.</w:t>
      </w:r>
    </w:p>
    <w:p w14:paraId="2A7DF399" w14:textId="77777777" w:rsidR="00B76862" w:rsidRDefault="00F428D9">
      <w:pPr>
        <w:spacing w:line="360" w:lineRule="auto"/>
        <w:ind w:firstLine="720"/>
        <w:rPr>
          <w:b/>
          <w:bCs/>
          <w:u w:val="single"/>
          <w:rtl/>
        </w:rPr>
      </w:pPr>
      <w:r>
        <w:rPr>
          <w:b/>
          <w:bCs/>
          <w:u w:val="single"/>
          <w:rtl/>
        </w:rPr>
        <w:t>זכות ערעור בתוך 45 יום.</w:t>
      </w:r>
    </w:p>
    <w:p w14:paraId="3CF6F88B" w14:textId="77777777" w:rsidR="00B76862" w:rsidRDefault="00B76862">
      <w:pPr>
        <w:rPr>
          <w:rtl/>
        </w:rPr>
      </w:pPr>
    </w:p>
    <w:p w14:paraId="69A9BCAB" w14:textId="77777777" w:rsidR="00B76862" w:rsidRPr="00F428D9" w:rsidRDefault="00F428D9">
      <w:pPr>
        <w:rPr>
          <w:color w:val="FFFFFF"/>
          <w:sz w:val="2"/>
          <w:szCs w:val="2"/>
          <w:rtl/>
        </w:rPr>
      </w:pPr>
      <w:r w:rsidRPr="00F428D9">
        <w:rPr>
          <w:color w:val="FFFFFF"/>
          <w:sz w:val="2"/>
          <w:szCs w:val="2"/>
          <w:rtl/>
        </w:rPr>
        <w:t>5129371</w:t>
      </w:r>
    </w:p>
    <w:p w14:paraId="2FB7D399" w14:textId="77777777" w:rsidR="00B76862" w:rsidRDefault="00F428D9">
      <w:pPr>
        <w:rPr>
          <w:rFonts w:cs="FrankRuehl"/>
          <w:sz w:val="28"/>
          <w:szCs w:val="28"/>
          <w:rtl/>
        </w:rPr>
      </w:pPr>
      <w:r w:rsidRPr="00F428D9">
        <w:rPr>
          <w:rFonts w:ascii="Arial" w:hAnsi="Arial"/>
          <w:color w:val="FFFFFF"/>
          <w:sz w:val="2"/>
          <w:szCs w:val="2"/>
          <w:rtl/>
        </w:rPr>
        <w:t>54678313</w:t>
      </w:r>
      <w:r>
        <w:rPr>
          <w:rFonts w:ascii="Arial" w:hAnsi="Arial"/>
          <w:rtl/>
        </w:rPr>
        <w:t xml:space="preserve">ניתן היום,  ח' סיוון תשע"ו, 14 יוני 2016, בהעדר הצדדים. </w:t>
      </w:r>
    </w:p>
    <w:p w14:paraId="3A3D6881" w14:textId="77777777" w:rsidR="00B76862" w:rsidRDefault="00F428D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0DEE11F" w14:textId="77777777" w:rsidR="00B76862" w:rsidRDefault="00B76862">
      <w:pPr>
        <w:jc w:val="center"/>
        <w:rPr>
          <w:rFonts w:ascii="Arial" w:hAnsi="Arial" w:cs="FrankRuehl"/>
          <w:sz w:val="28"/>
          <w:szCs w:val="28"/>
          <w:rtl/>
        </w:rPr>
      </w:pPr>
    </w:p>
    <w:p w14:paraId="616F4E4E" w14:textId="77777777" w:rsidR="00B76862" w:rsidRDefault="00B76862">
      <w:pPr>
        <w:rPr>
          <w:rFonts w:cs="FrankRuehl"/>
          <w:sz w:val="28"/>
          <w:szCs w:val="28"/>
          <w:rtl/>
        </w:rPr>
      </w:pPr>
    </w:p>
    <w:p w14:paraId="061C03B2" w14:textId="77777777" w:rsidR="00F428D9" w:rsidRPr="00F428D9" w:rsidRDefault="00F428D9" w:rsidP="00F428D9">
      <w:pPr>
        <w:keepNext/>
        <w:rPr>
          <w:rFonts w:ascii="David" w:hAnsi="David"/>
          <w:color w:val="000000"/>
          <w:sz w:val="22"/>
          <w:szCs w:val="22"/>
          <w:rtl/>
        </w:rPr>
      </w:pPr>
    </w:p>
    <w:p w14:paraId="7BC672B7" w14:textId="77777777" w:rsidR="00F428D9" w:rsidRPr="00F428D9" w:rsidRDefault="00F428D9" w:rsidP="00F428D9">
      <w:pPr>
        <w:keepNext/>
        <w:rPr>
          <w:rFonts w:ascii="David" w:hAnsi="David"/>
          <w:color w:val="000000"/>
          <w:sz w:val="22"/>
          <w:szCs w:val="22"/>
          <w:rtl/>
        </w:rPr>
      </w:pPr>
      <w:r w:rsidRPr="00F428D9">
        <w:rPr>
          <w:rFonts w:ascii="David" w:hAnsi="David"/>
          <w:color w:val="000000"/>
          <w:sz w:val="22"/>
          <w:szCs w:val="22"/>
          <w:rtl/>
        </w:rPr>
        <w:t>יוסי טורס 54678313</w:t>
      </w:r>
    </w:p>
    <w:p w14:paraId="072BD962" w14:textId="77777777" w:rsidR="00F428D9" w:rsidRDefault="00F428D9" w:rsidP="00F428D9">
      <w:pPr>
        <w:rPr>
          <w:color w:val="000000"/>
          <w:rtl/>
        </w:rPr>
      </w:pPr>
      <w:r w:rsidRPr="00F428D9">
        <w:rPr>
          <w:color w:val="000000"/>
          <w:rtl/>
        </w:rPr>
        <w:t>נוסח מסמך זה כפוף לשינויי ניסוח ועריכה</w:t>
      </w:r>
    </w:p>
    <w:p w14:paraId="383F44AB" w14:textId="77777777" w:rsidR="00F428D9" w:rsidRDefault="00F428D9" w:rsidP="00F428D9">
      <w:pPr>
        <w:rPr>
          <w:rtl/>
        </w:rPr>
      </w:pPr>
    </w:p>
    <w:p w14:paraId="6E3A1335" w14:textId="77777777" w:rsidR="00F428D9" w:rsidRDefault="00F428D9" w:rsidP="00F428D9">
      <w:pPr>
        <w:jc w:val="center"/>
        <w:rPr>
          <w:color w:val="0000FF"/>
          <w:u w:val="single"/>
          <w:rtl/>
        </w:rPr>
      </w:pPr>
      <w:hyperlink r:id="rId69" w:history="1">
        <w:r>
          <w:rPr>
            <w:rStyle w:val="Hyperlink"/>
            <w:rtl/>
          </w:rPr>
          <w:t>בעניין עריכה ושינויים במסמכי פסיקה, חקיקה ועוד באתר נבו – הקש כאן</w:t>
        </w:r>
      </w:hyperlink>
      <w:r w:rsidR="00CE32B7">
        <w:rPr>
          <w:rFonts w:hint="cs"/>
          <w:color w:val="0000FF"/>
          <w:u w:val="single"/>
          <w:rtl/>
        </w:rPr>
        <w:t xml:space="preserve"> </w:t>
      </w:r>
    </w:p>
    <w:p w14:paraId="44FFD635" w14:textId="77777777" w:rsidR="00B76862" w:rsidRPr="00F428D9" w:rsidRDefault="00B76862" w:rsidP="00F428D9">
      <w:pPr>
        <w:jc w:val="center"/>
        <w:rPr>
          <w:color w:val="0000FF"/>
          <w:u w:val="single"/>
        </w:rPr>
      </w:pPr>
    </w:p>
    <w:sectPr w:rsidR="00B76862" w:rsidRPr="00F428D9" w:rsidSect="00F428D9">
      <w:headerReference w:type="even" r:id="rId70"/>
      <w:headerReference w:type="default" r:id="rId71"/>
      <w:footerReference w:type="even" r:id="rId72"/>
      <w:footerReference w:type="default" r:id="rId7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F0794" w14:textId="77777777" w:rsidR="00C37BE8" w:rsidRDefault="00C37BE8">
      <w:r>
        <w:separator/>
      </w:r>
    </w:p>
  </w:endnote>
  <w:endnote w:type="continuationSeparator" w:id="0">
    <w:p w14:paraId="737DB37B" w14:textId="77777777" w:rsidR="00C37BE8" w:rsidRDefault="00C3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A5315" w14:textId="77777777" w:rsidR="00701B18" w:rsidRDefault="00701B18" w:rsidP="00F428D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51203A1" w14:textId="77777777" w:rsidR="00701B18" w:rsidRPr="00F428D9" w:rsidRDefault="00701B18" w:rsidP="00F428D9">
    <w:pPr>
      <w:pStyle w:val="a4"/>
      <w:pBdr>
        <w:top w:val="single" w:sz="4" w:space="1" w:color="auto"/>
        <w:between w:val="single" w:sz="4" w:space="0" w:color="auto"/>
      </w:pBdr>
      <w:spacing w:after="60"/>
      <w:jc w:val="center"/>
      <w:rPr>
        <w:rFonts w:ascii="FrankRuehl" w:hAnsi="FrankRuehl" w:cs="FrankRuehl"/>
        <w:color w:val="000000"/>
      </w:rPr>
    </w:pPr>
    <w:r w:rsidRPr="00F428D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D01F0" w14:textId="77777777" w:rsidR="00701B18" w:rsidRDefault="00701B18" w:rsidP="00F428D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243B">
      <w:rPr>
        <w:rFonts w:ascii="FrankRuehl" w:hAnsi="FrankRuehl" w:cs="FrankRuehl"/>
        <w:noProof/>
        <w:rtl/>
      </w:rPr>
      <w:t>1</w:t>
    </w:r>
    <w:r>
      <w:rPr>
        <w:rFonts w:ascii="FrankRuehl" w:hAnsi="FrankRuehl" w:cs="FrankRuehl"/>
        <w:rtl/>
      </w:rPr>
      <w:fldChar w:fldCharType="end"/>
    </w:r>
  </w:p>
  <w:p w14:paraId="64E00DA8" w14:textId="77777777" w:rsidR="00701B18" w:rsidRPr="00F428D9" w:rsidRDefault="00701B18" w:rsidP="00F428D9">
    <w:pPr>
      <w:pStyle w:val="a4"/>
      <w:pBdr>
        <w:top w:val="single" w:sz="4" w:space="1" w:color="auto"/>
        <w:between w:val="single" w:sz="4" w:space="0" w:color="auto"/>
      </w:pBdr>
      <w:spacing w:after="60"/>
      <w:jc w:val="center"/>
      <w:rPr>
        <w:rFonts w:ascii="FrankRuehl" w:hAnsi="FrankRuehl" w:cs="FrankRuehl"/>
        <w:color w:val="000000"/>
      </w:rPr>
    </w:pPr>
    <w:r w:rsidRPr="00F428D9">
      <w:rPr>
        <w:rFonts w:ascii="FrankRuehl" w:hAnsi="FrankRuehl" w:cs="FrankRuehl"/>
        <w:color w:val="000000"/>
      </w:rPr>
      <w:pict w14:anchorId="25814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158E3" w14:textId="77777777" w:rsidR="00C37BE8" w:rsidRDefault="00C37BE8">
      <w:r>
        <w:separator/>
      </w:r>
    </w:p>
  </w:footnote>
  <w:footnote w:type="continuationSeparator" w:id="0">
    <w:p w14:paraId="62DE2C59" w14:textId="77777777" w:rsidR="00C37BE8" w:rsidRDefault="00C37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2085C" w14:textId="77777777" w:rsidR="00701B18" w:rsidRPr="00F428D9" w:rsidRDefault="00701B18" w:rsidP="00F428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33947-10-15</w:t>
    </w:r>
    <w:r>
      <w:rPr>
        <w:rFonts w:ascii="David" w:hAnsi="David"/>
        <w:color w:val="000000"/>
        <w:sz w:val="22"/>
        <w:szCs w:val="22"/>
        <w:rtl/>
      </w:rPr>
      <w:tab/>
      <w:t xml:space="preserve"> מדינת ישראל נ' שמעון סבג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83DE0" w14:textId="77777777" w:rsidR="00701B18" w:rsidRPr="00F428D9" w:rsidRDefault="00701B18" w:rsidP="00F428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33947-10-15</w:t>
    </w:r>
    <w:r>
      <w:rPr>
        <w:rFonts w:ascii="David" w:hAnsi="David"/>
        <w:color w:val="000000"/>
        <w:sz w:val="22"/>
        <w:szCs w:val="22"/>
        <w:rtl/>
      </w:rPr>
      <w:tab/>
      <w:t xml:space="preserve"> מדינת ישראל נ' שמעון סבג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762784"/>
    <w:multiLevelType w:val="hybridMultilevel"/>
    <w:tmpl w:val="ABC2E0F6"/>
    <w:lvl w:ilvl="0" w:tplc="E38C1434">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712738D0"/>
    <w:multiLevelType w:val="hybridMultilevel"/>
    <w:tmpl w:val="896438E6"/>
    <w:lvl w:ilvl="0" w:tplc="2A52DA9C">
      <w:start w:val="1"/>
      <w:numFmt w:val="hebrew1"/>
      <w:lvlText w:val="%1."/>
      <w:lvlJc w:val="center"/>
      <w:pPr>
        <w:ind w:left="1440" w:hanging="360"/>
      </w:pPr>
      <w:rPr>
        <w:rFonts w:cs="David"/>
        <w:b w:val="0"/>
        <w:bCs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13122545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581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76862"/>
    <w:rsid w:val="001B53A8"/>
    <w:rsid w:val="00220A54"/>
    <w:rsid w:val="00316604"/>
    <w:rsid w:val="003770F7"/>
    <w:rsid w:val="00701B18"/>
    <w:rsid w:val="008F426A"/>
    <w:rsid w:val="00AB1B0B"/>
    <w:rsid w:val="00B76862"/>
    <w:rsid w:val="00C37BE8"/>
    <w:rsid w:val="00CE32B7"/>
    <w:rsid w:val="00EB243B"/>
    <w:rsid w:val="00F428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5A2612"/>
  <w15:chartTrackingRefBased/>
  <w15:docId w15:val="{532980A2-28B1-4ACA-9676-FA8421F3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686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76862"/>
    <w:pPr>
      <w:tabs>
        <w:tab w:val="center" w:pos="4153"/>
        <w:tab w:val="right" w:pos="8306"/>
      </w:tabs>
    </w:pPr>
  </w:style>
  <w:style w:type="paragraph" w:styleId="a4">
    <w:name w:val="footer"/>
    <w:basedOn w:val="a"/>
    <w:rsid w:val="00B76862"/>
    <w:pPr>
      <w:tabs>
        <w:tab w:val="center" w:pos="4153"/>
        <w:tab w:val="right" w:pos="8306"/>
      </w:tabs>
    </w:pPr>
  </w:style>
  <w:style w:type="character" w:styleId="a5">
    <w:name w:val="page number"/>
    <w:basedOn w:val="a0"/>
    <w:rsid w:val="00B76862"/>
  </w:style>
  <w:style w:type="character" w:styleId="Hyperlink">
    <w:name w:val="Hyperlink"/>
    <w:rsid w:val="00F42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0" TargetMode="External"/><Relationship Id="rId21" Type="http://schemas.openxmlformats.org/officeDocument/2006/relationships/hyperlink" Target="http://www.nevo.co.il/law/70301/40jc.a" TargetMode="External"/><Relationship Id="rId42" Type="http://schemas.openxmlformats.org/officeDocument/2006/relationships/hyperlink" Target="http://www.nevo.co.il/case/17948082" TargetMode="External"/><Relationship Id="rId47" Type="http://schemas.openxmlformats.org/officeDocument/2006/relationships/hyperlink" Target="http://www.nevo.co.il/law/4216/31.3" TargetMode="External"/><Relationship Id="rId63" Type="http://schemas.openxmlformats.org/officeDocument/2006/relationships/hyperlink" Target="http://www.nevo.co.il/case/6244964" TargetMode="External"/><Relationship Id="rId68" Type="http://schemas.openxmlformats.org/officeDocument/2006/relationships/hyperlink" Target="http://www.nevo.co.il/case/10520794" TargetMode="External"/><Relationship Id="rId2" Type="http://schemas.openxmlformats.org/officeDocument/2006/relationships/styles" Target="styles.xml"/><Relationship Id="rId16" Type="http://schemas.openxmlformats.org/officeDocument/2006/relationships/hyperlink" Target="http://www.nevo.co.il/law/70301/40i.4"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4216/6" TargetMode="External"/><Relationship Id="rId32" Type="http://schemas.openxmlformats.org/officeDocument/2006/relationships/hyperlink" Target="http://www.nevo.co.il/case/6241434" TargetMode="External"/><Relationship Id="rId37" Type="http://schemas.openxmlformats.org/officeDocument/2006/relationships/hyperlink" Target="http://www.nevo.co.il/law/70301/40i.3.;40i.4" TargetMode="External"/><Relationship Id="rId40" Type="http://schemas.openxmlformats.org/officeDocument/2006/relationships/hyperlink" Target="http://www.nevo.co.il/law/70301/40j.b" TargetMode="External"/><Relationship Id="rId45" Type="http://schemas.openxmlformats.org/officeDocument/2006/relationships/hyperlink" Target="http://www.nevo.co.il/case/5681790" TargetMode="External"/><Relationship Id="rId53" Type="http://schemas.openxmlformats.org/officeDocument/2006/relationships/hyperlink" Target="http://www.nevo.co.il/case/4804940" TargetMode="External"/><Relationship Id="rId58" Type="http://schemas.openxmlformats.org/officeDocument/2006/relationships/hyperlink" Target="http://www.nevo.co.il/case/5314067" TargetMode="External"/><Relationship Id="rId66" Type="http://schemas.openxmlformats.org/officeDocument/2006/relationships/hyperlink" Target="http://www.nevo.co.il/law/71553"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70301/40d" TargetMode="External"/><Relationship Id="rId19" Type="http://schemas.openxmlformats.org/officeDocument/2006/relationships/hyperlink" Target="http://www.nevo.co.il/law/70301/40j.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1553" TargetMode="External"/><Relationship Id="rId27" Type="http://schemas.openxmlformats.org/officeDocument/2006/relationships/hyperlink" Target="http://www.nevo.co.il/law/4216/7.a.;7.c"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law/70301/40i.5" TargetMode="External"/><Relationship Id="rId43" Type="http://schemas.openxmlformats.org/officeDocument/2006/relationships/hyperlink" Target="http://www.nevo.co.il/case/17009738" TargetMode="External"/><Relationship Id="rId48" Type="http://schemas.openxmlformats.org/officeDocument/2006/relationships/hyperlink" Target="http://www.nevo.co.il/law/70301/40j.c" TargetMode="External"/><Relationship Id="rId56" Type="http://schemas.openxmlformats.org/officeDocument/2006/relationships/hyperlink" Target="http://www.nevo.co.il/case/20111708" TargetMode="External"/><Relationship Id="rId64" Type="http://schemas.openxmlformats.org/officeDocument/2006/relationships/hyperlink" Target="http://www.nevo.co.il/case/2894643"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hyperlink" Target="http://www.nevo.co.il/law/70301/40j.c"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31.3" TargetMode="External"/><Relationship Id="rId17" Type="http://schemas.openxmlformats.org/officeDocument/2006/relationships/hyperlink" Target="http://www.nevo.co.il/law/70301/40i.5"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6" TargetMode="External"/><Relationship Id="rId38" Type="http://schemas.openxmlformats.org/officeDocument/2006/relationships/hyperlink" Target="http://www.nevo.co.il/law/70301/40j.d" TargetMode="External"/><Relationship Id="rId46" Type="http://schemas.openxmlformats.org/officeDocument/2006/relationships/hyperlink" Target="http://www.nevo.co.il/case/20632055" TargetMode="External"/><Relationship Id="rId59" Type="http://schemas.openxmlformats.org/officeDocument/2006/relationships/hyperlink" Target="http://www.nevo.co.il/case/20740036" TargetMode="External"/><Relationship Id="rId67" Type="http://schemas.openxmlformats.org/officeDocument/2006/relationships/hyperlink" Target="http://www.nevo.co.il/case/5585864" TargetMode="External"/><Relationship Id="rId20" Type="http://schemas.openxmlformats.org/officeDocument/2006/relationships/hyperlink" Target="http://www.nevo.co.il/law/70301/40j.d"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5738608" TargetMode="External"/><Relationship Id="rId62" Type="http://schemas.openxmlformats.org/officeDocument/2006/relationships/hyperlink" Target="http://www.nevo.co.il/law/70301"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3." TargetMode="External"/><Relationship Id="rId23" Type="http://schemas.openxmlformats.org/officeDocument/2006/relationships/hyperlink" Target="http://www.nevo.co.il/law/71553/1" TargetMode="External"/><Relationship Id="rId28" Type="http://schemas.openxmlformats.org/officeDocument/2006/relationships/hyperlink" Target="http://www.nevo.co.il/law/70301/40jc.a"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18107527"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20033641" TargetMode="External"/><Relationship Id="rId44" Type="http://schemas.openxmlformats.org/officeDocument/2006/relationships/hyperlink" Target="http://www.nevo.co.il/case/18131336"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7986473" TargetMode="External"/><Relationship Id="rId65" Type="http://schemas.openxmlformats.org/officeDocument/2006/relationships/hyperlink" Target="http://www.nevo.co.il/law/71553/1"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40j.b" TargetMode="External"/><Relationship Id="rId39" Type="http://schemas.openxmlformats.org/officeDocument/2006/relationships/hyperlink" Target="http://www.nevo.co.il/law/70301" TargetMode="External"/><Relationship Id="rId34" Type="http://schemas.openxmlformats.org/officeDocument/2006/relationships/hyperlink" Target="http://www.nevo.co.il/law/4216/7.c" TargetMode="External"/><Relationship Id="rId50" Type="http://schemas.openxmlformats.org/officeDocument/2006/relationships/hyperlink" Target="http://www.nevo.co.il/law/4216/31.3" TargetMode="External"/><Relationship Id="rId55" Type="http://schemas.openxmlformats.org/officeDocument/2006/relationships/hyperlink" Target="http://www.nevo.co.il/case/21474175" TargetMode="External"/><Relationship Id="rId7" Type="http://schemas.openxmlformats.org/officeDocument/2006/relationships/hyperlink" Target="http://www.nevo.co.il/law/4216" TargetMode="Externa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3015</Words>
  <Characters>15078</Characters>
  <Application>Microsoft Office Word</Application>
  <DocSecurity>0</DocSecurity>
  <Lines>125</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18057</CharactersWithSpaces>
  <SharedDoc>false</SharedDoc>
  <HLinks>
    <vt:vector size="378" baseType="variant">
      <vt:variant>
        <vt:i4>393283</vt:i4>
      </vt:variant>
      <vt:variant>
        <vt:i4>186</vt:i4>
      </vt:variant>
      <vt:variant>
        <vt:i4>0</vt:i4>
      </vt:variant>
      <vt:variant>
        <vt:i4>5</vt:i4>
      </vt:variant>
      <vt:variant>
        <vt:lpwstr>http://www.nevo.co.il/advertisements/nevo-100.doc</vt:lpwstr>
      </vt:variant>
      <vt:variant>
        <vt:lpwstr/>
      </vt:variant>
      <vt:variant>
        <vt:i4>3997809</vt:i4>
      </vt:variant>
      <vt:variant>
        <vt:i4>183</vt:i4>
      </vt:variant>
      <vt:variant>
        <vt:i4>0</vt:i4>
      </vt:variant>
      <vt:variant>
        <vt:i4>5</vt:i4>
      </vt:variant>
      <vt:variant>
        <vt:lpwstr>http://www.nevo.co.il/case/10520794</vt:lpwstr>
      </vt:variant>
      <vt:variant>
        <vt:lpwstr/>
      </vt:variant>
      <vt:variant>
        <vt:i4>3211378</vt:i4>
      </vt:variant>
      <vt:variant>
        <vt:i4>180</vt:i4>
      </vt:variant>
      <vt:variant>
        <vt:i4>0</vt:i4>
      </vt:variant>
      <vt:variant>
        <vt:i4>5</vt:i4>
      </vt:variant>
      <vt:variant>
        <vt:lpwstr>http://www.nevo.co.il/case/5585864</vt:lpwstr>
      </vt:variant>
      <vt:variant>
        <vt:lpwstr/>
      </vt:variant>
      <vt:variant>
        <vt:i4>8257634</vt:i4>
      </vt:variant>
      <vt:variant>
        <vt:i4>177</vt:i4>
      </vt:variant>
      <vt:variant>
        <vt:i4>0</vt:i4>
      </vt:variant>
      <vt:variant>
        <vt:i4>5</vt:i4>
      </vt:variant>
      <vt:variant>
        <vt:lpwstr>http://www.nevo.co.il/law/71553</vt:lpwstr>
      </vt:variant>
      <vt:variant>
        <vt:lpwstr/>
      </vt:variant>
      <vt:variant>
        <vt:i4>5308497</vt:i4>
      </vt:variant>
      <vt:variant>
        <vt:i4>174</vt:i4>
      </vt:variant>
      <vt:variant>
        <vt:i4>0</vt:i4>
      </vt:variant>
      <vt:variant>
        <vt:i4>5</vt:i4>
      </vt:variant>
      <vt:variant>
        <vt:lpwstr>http://www.nevo.co.il/law/71553/1</vt:lpwstr>
      </vt:variant>
      <vt:variant>
        <vt:lpwstr/>
      </vt:variant>
      <vt:variant>
        <vt:i4>4063356</vt:i4>
      </vt:variant>
      <vt:variant>
        <vt:i4>171</vt:i4>
      </vt:variant>
      <vt:variant>
        <vt:i4>0</vt:i4>
      </vt:variant>
      <vt:variant>
        <vt:i4>5</vt:i4>
      </vt:variant>
      <vt:variant>
        <vt:lpwstr>http://www.nevo.co.il/case/2894643</vt:lpwstr>
      </vt:variant>
      <vt:variant>
        <vt:lpwstr/>
      </vt:variant>
      <vt:variant>
        <vt:i4>4128884</vt:i4>
      </vt:variant>
      <vt:variant>
        <vt:i4>168</vt:i4>
      </vt:variant>
      <vt:variant>
        <vt:i4>0</vt:i4>
      </vt:variant>
      <vt:variant>
        <vt:i4>5</vt:i4>
      </vt:variant>
      <vt:variant>
        <vt:lpwstr>http://www.nevo.co.il/case/6244964</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6619233</vt:i4>
      </vt:variant>
      <vt:variant>
        <vt:i4>162</vt:i4>
      </vt:variant>
      <vt:variant>
        <vt:i4>0</vt:i4>
      </vt:variant>
      <vt:variant>
        <vt:i4>5</vt:i4>
      </vt:variant>
      <vt:variant>
        <vt:lpwstr>http://www.nevo.co.il/law/70301/40d</vt:lpwstr>
      </vt:variant>
      <vt:variant>
        <vt:lpwstr/>
      </vt:variant>
      <vt:variant>
        <vt:i4>3670140</vt:i4>
      </vt:variant>
      <vt:variant>
        <vt:i4>159</vt:i4>
      </vt:variant>
      <vt:variant>
        <vt:i4>0</vt:i4>
      </vt:variant>
      <vt:variant>
        <vt:i4>5</vt:i4>
      </vt:variant>
      <vt:variant>
        <vt:lpwstr>http://www.nevo.co.il/case/7986473</vt:lpwstr>
      </vt:variant>
      <vt:variant>
        <vt:lpwstr/>
      </vt:variant>
      <vt:variant>
        <vt:i4>3539056</vt:i4>
      </vt:variant>
      <vt:variant>
        <vt:i4>156</vt:i4>
      </vt:variant>
      <vt:variant>
        <vt:i4>0</vt:i4>
      </vt:variant>
      <vt:variant>
        <vt:i4>5</vt:i4>
      </vt:variant>
      <vt:variant>
        <vt:lpwstr>http://www.nevo.co.il/case/20740036</vt:lpwstr>
      </vt:variant>
      <vt:variant>
        <vt:lpwstr/>
      </vt:variant>
      <vt:variant>
        <vt:i4>3342453</vt:i4>
      </vt:variant>
      <vt:variant>
        <vt:i4>153</vt:i4>
      </vt:variant>
      <vt:variant>
        <vt:i4>0</vt:i4>
      </vt:variant>
      <vt:variant>
        <vt:i4>5</vt:i4>
      </vt:variant>
      <vt:variant>
        <vt:lpwstr>http://www.nevo.co.il/case/5314067</vt:lpwstr>
      </vt:variant>
      <vt:variant>
        <vt:lpwstr/>
      </vt:variant>
      <vt:variant>
        <vt:i4>3473529</vt:i4>
      </vt:variant>
      <vt:variant>
        <vt:i4>150</vt:i4>
      </vt:variant>
      <vt:variant>
        <vt:i4>0</vt:i4>
      </vt:variant>
      <vt:variant>
        <vt:i4>5</vt:i4>
      </vt:variant>
      <vt:variant>
        <vt:lpwstr>http://www.nevo.co.il/case/18107527</vt:lpwstr>
      </vt:variant>
      <vt:variant>
        <vt:lpwstr/>
      </vt:variant>
      <vt:variant>
        <vt:i4>3276914</vt:i4>
      </vt:variant>
      <vt:variant>
        <vt:i4>147</vt:i4>
      </vt:variant>
      <vt:variant>
        <vt:i4>0</vt:i4>
      </vt:variant>
      <vt:variant>
        <vt:i4>5</vt:i4>
      </vt:variant>
      <vt:variant>
        <vt:lpwstr>http://www.nevo.co.il/case/20111708</vt:lpwstr>
      </vt:variant>
      <vt:variant>
        <vt:lpwstr/>
      </vt:variant>
      <vt:variant>
        <vt:i4>3473523</vt:i4>
      </vt:variant>
      <vt:variant>
        <vt:i4>144</vt:i4>
      </vt:variant>
      <vt:variant>
        <vt:i4>0</vt:i4>
      </vt:variant>
      <vt:variant>
        <vt:i4>5</vt:i4>
      </vt:variant>
      <vt:variant>
        <vt:lpwstr>http://www.nevo.co.il/case/21474175</vt:lpwstr>
      </vt:variant>
      <vt:variant>
        <vt:lpwstr/>
      </vt:variant>
      <vt:variant>
        <vt:i4>3670139</vt:i4>
      </vt:variant>
      <vt:variant>
        <vt:i4>141</vt:i4>
      </vt:variant>
      <vt:variant>
        <vt:i4>0</vt:i4>
      </vt:variant>
      <vt:variant>
        <vt:i4>5</vt:i4>
      </vt:variant>
      <vt:variant>
        <vt:lpwstr>http://www.nevo.co.il/case/5738608</vt:lpwstr>
      </vt:variant>
      <vt:variant>
        <vt:lpwstr/>
      </vt:variant>
      <vt:variant>
        <vt:i4>3997820</vt:i4>
      </vt:variant>
      <vt:variant>
        <vt:i4>138</vt:i4>
      </vt:variant>
      <vt:variant>
        <vt:i4>0</vt:i4>
      </vt:variant>
      <vt:variant>
        <vt:i4>5</vt:i4>
      </vt:variant>
      <vt:variant>
        <vt:lpwstr>http://www.nevo.co.il/case/4804940</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4915211</vt:i4>
      </vt:variant>
      <vt:variant>
        <vt:i4>132</vt:i4>
      </vt:variant>
      <vt:variant>
        <vt:i4>0</vt:i4>
      </vt:variant>
      <vt:variant>
        <vt:i4>5</vt:i4>
      </vt:variant>
      <vt:variant>
        <vt:lpwstr>http://www.nevo.co.il/law/70301/40j.c</vt:lpwstr>
      </vt:variant>
      <vt:variant>
        <vt:lpwstr/>
      </vt:variant>
      <vt:variant>
        <vt:i4>6488187</vt:i4>
      </vt:variant>
      <vt:variant>
        <vt:i4>129</vt:i4>
      </vt:variant>
      <vt:variant>
        <vt:i4>0</vt:i4>
      </vt:variant>
      <vt:variant>
        <vt:i4>5</vt:i4>
      </vt:variant>
      <vt:variant>
        <vt:lpwstr>http://www.nevo.co.il/law/4216/31.3</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4915211</vt:i4>
      </vt:variant>
      <vt:variant>
        <vt:i4>123</vt:i4>
      </vt:variant>
      <vt:variant>
        <vt:i4>0</vt:i4>
      </vt:variant>
      <vt:variant>
        <vt:i4>5</vt:i4>
      </vt:variant>
      <vt:variant>
        <vt:lpwstr>http://www.nevo.co.il/law/70301/40j.c</vt:lpwstr>
      </vt:variant>
      <vt:variant>
        <vt:lpwstr/>
      </vt:variant>
      <vt:variant>
        <vt:i4>6488187</vt:i4>
      </vt:variant>
      <vt:variant>
        <vt:i4>120</vt:i4>
      </vt:variant>
      <vt:variant>
        <vt:i4>0</vt:i4>
      </vt:variant>
      <vt:variant>
        <vt:i4>5</vt:i4>
      </vt:variant>
      <vt:variant>
        <vt:lpwstr>http://www.nevo.co.il/law/4216/31.3</vt:lpwstr>
      </vt:variant>
      <vt:variant>
        <vt:lpwstr/>
      </vt:variant>
      <vt:variant>
        <vt:i4>3342455</vt:i4>
      </vt:variant>
      <vt:variant>
        <vt:i4>117</vt:i4>
      </vt:variant>
      <vt:variant>
        <vt:i4>0</vt:i4>
      </vt:variant>
      <vt:variant>
        <vt:i4>5</vt:i4>
      </vt:variant>
      <vt:variant>
        <vt:lpwstr>http://www.nevo.co.il/case/20632055</vt:lpwstr>
      </vt:variant>
      <vt:variant>
        <vt:lpwstr/>
      </vt:variant>
      <vt:variant>
        <vt:i4>3801210</vt:i4>
      </vt:variant>
      <vt:variant>
        <vt:i4>114</vt:i4>
      </vt:variant>
      <vt:variant>
        <vt:i4>0</vt:i4>
      </vt:variant>
      <vt:variant>
        <vt:i4>5</vt:i4>
      </vt:variant>
      <vt:variant>
        <vt:lpwstr>http://www.nevo.co.il/case/5681790</vt:lpwstr>
      </vt:variant>
      <vt:variant>
        <vt:lpwstr/>
      </vt:variant>
      <vt:variant>
        <vt:i4>3276924</vt:i4>
      </vt:variant>
      <vt:variant>
        <vt:i4>111</vt:i4>
      </vt:variant>
      <vt:variant>
        <vt:i4>0</vt:i4>
      </vt:variant>
      <vt:variant>
        <vt:i4>5</vt:i4>
      </vt:variant>
      <vt:variant>
        <vt:lpwstr>http://www.nevo.co.il/case/18131336</vt:lpwstr>
      </vt:variant>
      <vt:variant>
        <vt:lpwstr/>
      </vt:variant>
      <vt:variant>
        <vt:i4>3866740</vt:i4>
      </vt:variant>
      <vt:variant>
        <vt:i4>108</vt:i4>
      </vt:variant>
      <vt:variant>
        <vt:i4>0</vt:i4>
      </vt:variant>
      <vt:variant>
        <vt:i4>5</vt:i4>
      </vt:variant>
      <vt:variant>
        <vt:lpwstr>http://www.nevo.co.il/case/17009738</vt:lpwstr>
      </vt:variant>
      <vt:variant>
        <vt:lpwstr/>
      </vt:variant>
      <vt:variant>
        <vt:i4>3670135</vt:i4>
      </vt:variant>
      <vt:variant>
        <vt:i4>105</vt:i4>
      </vt:variant>
      <vt:variant>
        <vt:i4>0</vt:i4>
      </vt:variant>
      <vt:variant>
        <vt:i4>5</vt:i4>
      </vt:variant>
      <vt:variant>
        <vt:lpwstr>http://www.nevo.co.il/case/17948082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4915211</vt:i4>
      </vt:variant>
      <vt:variant>
        <vt:i4>99</vt:i4>
      </vt:variant>
      <vt:variant>
        <vt:i4>0</vt:i4>
      </vt:variant>
      <vt:variant>
        <vt:i4>5</vt:i4>
      </vt:variant>
      <vt:variant>
        <vt:lpwstr>http://www.nevo.co.il/law/70301/40j.b</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4915211</vt:i4>
      </vt:variant>
      <vt:variant>
        <vt:i4>93</vt:i4>
      </vt:variant>
      <vt:variant>
        <vt:i4>0</vt:i4>
      </vt:variant>
      <vt:variant>
        <vt:i4>5</vt:i4>
      </vt:variant>
      <vt:variant>
        <vt:lpwstr>http://www.nevo.co.il/law/70301/40j.d</vt:lpwstr>
      </vt:variant>
      <vt:variant>
        <vt:lpwstr/>
      </vt:variant>
      <vt:variant>
        <vt:i4>786462</vt:i4>
      </vt:variant>
      <vt:variant>
        <vt:i4>90</vt:i4>
      </vt:variant>
      <vt:variant>
        <vt:i4>0</vt:i4>
      </vt:variant>
      <vt:variant>
        <vt:i4>5</vt:i4>
      </vt:variant>
      <vt:variant>
        <vt:lpwstr>http://www.nevo.co.il/law/70301/40i.3.;40i.4</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4915208</vt:i4>
      </vt:variant>
      <vt:variant>
        <vt:i4>84</vt:i4>
      </vt:variant>
      <vt:variant>
        <vt:i4>0</vt:i4>
      </vt:variant>
      <vt:variant>
        <vt:i4>5</vt:i4>
      </vt:variant>
      <vt:variant>
        <vt:lpwstr>http://www.nevo.co.il/law/70301/40i.5</vt:lpwstr>
      </vt:variant>
      <vt:variant>
        <vt:lpwstr/>
      </vt:variant>
      <vt:variant>
        <vt:i4>2752612</vt:i4>
      </vt:variant>
      <vt:variant>
        <vt:i4>81</vt:i4>
      </vt:variant>
      <vt:variant>
        <vt:i4>0</vt:i4>
      </vt:variant>
      <vt:variant>
        <vt:i4>5</vt:i4>
      </vt:variant>
      <vt:variant>
        <vt:lpwstr>http://www.nevo.co.il/law/4216/7.c</vt:lpwstr>
      </vt:variant>
      <vt:variant>
        <vt:lpwstr/>
      </vt:variant>
      <vt:variant>
        <vt:i4>4718666</vt:i4>
      </vt:variant>
      <vt:variant>
        <vt:i4>78</vt:i4>
      </vt:variant>
      <vt:variant>
        <vt:i4>0</vt:i4>
      </vt:variant>
      <vt:variant>
        <vt:i4>5</vt:i4>
      </vt:variant>
      <vt:variant>
        <vt:lpwstr>http://www.nevo.co.il/law/4216/6</vt:lpwstr>
      </vt:variant>
      <vt:variant>
        <vt:lpwstr/>
      </vt:variant>
      <vt:variant>
        <vt:i4>3276916</vt:i4>
      </vt:variant>
      <vt:variant>
        <vt:i4>75</vt:i4>
      </vt:variant>
      <vt:variant>
        <vt:i4>0</vt:i4>
      </vt:variant>
      <vt:variant>
        <vt:i4>5</vt:i4>
      </vt:variant>
      <vt:variant>
        <vt:lpwstr>http://www.nevo.co.il/case/6241434</vt:lpwstr>
      </vt:variant>
      <vt:variant>
        <vt:lpwstr/>
      </vt:variant>
      <vt:variant>
        <vt:i4>3473521</vt:i4>
      </vt:variant>
      <vt:variant>
        <vt:i4>72</vt:i4>
      </vt:variant>
      <vt:variant>
        <vt:i4>0</vt:i4>
      </vt:variant>
      <vt:variant>
        <vt:i4>5</vt:i4>
      </vt:variant>
      <vt:variant>
        <vt:lpwstr>http://www.nevo.co.il/case/20033641</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6750245</vt:i4>
      </vt:variant>
      <vt:variant>
        <vt:i4>63</vt:i4>
      </vt:variant>
      <vt:variant>
        <vt:i4>0</vt:i4>
      </vt:variant>
      <vt:variant>
        <vt:i4>5</vt:i4>
      </vt:variant>
      <vt:variant>
        <vt:lpwstr>http://www.nevo.co.il/law/70301/40jc.a</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5177418</vt:i4>
      </vt:variant>
      <vt:variant>
        <vt:i4>57</vt:i4>
      </vt:variant>
      <vt:variant>
        <vt:i4>0</vt:i4>
      </vt:variant>
      <vt:variant>
        <vt:i4>5</vt:i4>
      </vt:variant>
      <vt:variant>
        <vt:lpwstr>http://www.nevo.co.il/law/4216/10</vt:lpwstr>
      </vt:variant>
      <vt:variant>
        <vt:lpwstr/>
      </vt:variant>
      <vt:variant>
        <vt:i4>8257637</vt:i4>
      </vt:variant>
      <vt:variant>
        <vt:i4>54</vt:i4>
      </vt:variant>
      <vt:variant>
        <vt:i4>0</vt:i4>
      </vt:variant>
      <vt:variant>
        <vt:i4>5</vt:i4>
      </vt:variant>
      <vt:variant>
        <vt:lpwstr>http://www.nevo.co.il/law/4216</vt:lpwstr>
      </vt:variant>
      <vt:variant>
        <vt:lpwstr/>
      </vt:variant>
      <vt:variant>
        <vt:i4>4718666</vt:i4>
      </vt:variant>
      <vt:variant>
        <vt:i4>51</vt:i4>
      </vt:variant>
      <vt:variant>
        <vt:i4>0</vt:i4>
      </vt:variant>
      <vt:variant>
        <vt:i4>5</vt:i4>
      </vt:variant>
      <vt:variant>
        <vt:lpwstr>http://www.nevo.co.il/law/4216/6</vt:lpwstr>
      </vt:variant>
      <vt:variant>
        <vt:lpwstr/>
      </vt:variant>
      <vt:variant>
        <vt:i4>5308497</vt:i4>
      </vt:variant>
      <vt:variant>
        <vt:i4>48</vt:i4>
      </vt:variant>
      <vt:variant>
        <vt:i4>0</vt:i4>
      </vt:variant>
      <vt:variant>
        <vt:i4>5</vt:i4>
      </vt:variant>
      <vt:variant>
        <vt:lpwstr>http://www.nevo.co.il/law/71553/1</vt:lpwstr>
      </vt:variant>
      <vt:variant>
        <vt:lpwstr/>
      </vt:variant>
      <vt:variant>
        <vt:i4>8257634</vt:i4>
      </vt:variant>
      <vt:variant>
        <vt:i4>45</vt:i4>
      </vt:variant>
      <vt:variant>
        <vt:i4>0</vt:i4>
      </vt:variant>
      <vt:variant>
        <vt:i4>5</vt:i4>
      </vt:variant>
      <vt:variant>
        <vt:lpwstr>http://www.nevo.co.il/law/71553</vt:lpwstr>
      </vt:variant>
      <vt:variant>
        <vt:lpwstr/>
      </vt:variant>
      <vt:variant>
        <vt:i4>6750245</vt:i4>
      </vt:variant>
      <vt:variant>
        <vt:i4>42</vt:i4>
      </vt:variant>
      <vt:variant>
        <vt:i4>0</vt:i4>
      </vt:variant>
      <vt:variant>
        <vt:i4>5</vt:i4>
      </vt:variant>
      <vt:variant>
        <vt:lpwstr>http://www.nevo.co.il/law/70301/40jc.a</vt:lpwstr>
      </vt:variant>
      <vt:variant>
        <vt:lpwstr/>
      </vt:variant>
      <vt:variant>
        <vt:i4>4915211</vt:i4>
      </vt:variant>
      <vt:variant>
        <vt:i4>39</vt:i4>
      </vt:variant>
      <vt:variant>
        <vt:i4>0</vt:i4>
      </vt:variant>
      <vt:variant>
        <vt:i4>5</vt:i4>
      </vt:variant>
      <vt:variant>
        <vt:lpwstr>http://www.nevo.co.il/law/70301/40j.d</vt:lpwstr>
      </vt:variant>
      <vt:variant>
        <vt:lpwstr/>
      </vt:variant>
      <vt:variant>
        <vt:i4>4915211</vt:i4>
      </vt:variant>
      <vt:variant>
        <vt:i4>36</vt:i4>
      </vt:variant>
      <vt:variant>
        <vt:i4>0</vt:i4>
      </vt:variant>
      <vt:variant>
        <vt:i4>5</vt:i4>
      </vt:variant>
      <vt:variant>
        <vt:lpwstr>http://www.nevo.co.il/law/70301/40j.c</vt:lpwstr>
      </vt:variant>
      <vt:variant>
        <vt:lpwstr/>
      </vt:variant>
      <vt:variant>
        <vt:i4>4915211</vt:i4>
      </vt:variant>
      <vt:variant>
        <vt:i4>33</vt:i4>
      </vt:variant>
      <vt:variant>
        <vt:i4>0</vt:i4>
      </vt:variant>
      <vt:variant>
        <vt:i4>5</vt:i4>
      </vt:variant>
      <vt:variant>
        <vt:lpwstr>http://www.nevo.co.il/law/70301/40j.b</vt:lpwstr>
      </vt:variant>
      <vt:variant>
        <vt:lpwstr/>
      </vt:variant>
      <vt:variant>
        <vt:i4>4915208</vt:i4>
      </vt:variant>
      <vt:variant>
        <vt:i4>30</vt:i4>
      </vt:variant>
      <vt:variant>
        <vt:i4>0</vt:i4>
      </vt:variant>
      <vt:variant>
        <vt:i4>5</vt:i4>
      </vt:variant>
      <vt:variant>
        <vt:lpwstr>http://www.nevo.co.il/law/70301/40i.5</vt:lpwstr>
      </vt:variant>
      <vt:variant>
        <vt:lpwstr/>
      </vt:variant>
      <vt:variant>
        <vt:i4>4915208</vt:i4>
      </vt:variant>
      <vt:variant>
        <vt:i4>27</vt:i4>
      </vt:variant>
      <vt:variant>
        <vt:i4>0</vt:i4>
      </vt:variant>
      <vt:variant>
        <vt:i4>5</vt:i4>
      </vt:variant>
      <vt:variant>
        <vt:lpwstr>http://www.nevo.co.il/law/70301/40i.4</vt:lpwstr>
      </vt:variant>
      <vt:variant>
        <vt:lpwstr/>
      </vt:variant>
      <vt:variant>
        <vt:i4>6619195</vt:i4>
      </vt:variant>
      <vt:variant>
        <vt:i4>24</vt:i4>
      </vt:variant>
      <vt:variant>
        <vt:i4>0</vt:i4>
      </vt:variant>
      <vt:variant>
        <vt:i4>5</vt:i4>
      </vt:variant>
      <vt:variant>
        <vt:lpwstr>http://www.nevo.co.il/law/70301/40i.3.</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6488187</vt:i4>
      </vt:variant>
      <vt:variant>
        <vt:i4>15</vt:i4>
      </vt:variant>
      <vt:variant>
        <vt:i4>0</vt:i4>
      </vt:variant>
      <vt:variant>
        <vt:i4>5</vt:i4>
      </vt:variant>
      <vt:variant>
        <vt:lpwstr>http://www.nevo.co.il/law/4216/31.3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2025-04-22T22:52:00Z</dcterms:created>
  <dcterms:modified xsi:type="dcterms:W3CDTF">2025-04-22T22:52:00Z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33947</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שמעון סבג</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20160614</vt:lpwstr>
  </property>
  <property fmtid="{D5CDD505-2E9C-101B-9397-08002B2CF9AE}" pid="13" name="TYPE_N_DATE">
    <vt:lpwstr>38020160614</vt:lpwstr>
  </property>
  <property fmtid="{D5CDD505-2E9C-101B-9397-08002B2CF9AE}" pid="14" name="CASESLISTTMP1">
    <vt:lpwstr>13093721;20033641;6241434;17948082;17009738;18131336;5681790;20632055;4804940;5738608;21474175;20111708;18107527;5314067;20740036;7986473;6244964;2894643;5585864;10520794</vt:lpwstr>
  </property>
  <property fmtid="{D5CDD505-2E9C-101B-9397-08002B2CF9AE}" pid="15" name="CASENOTES1">
    <vt:lpwstr>ProcID=108;184&amp;PartA=8563&amp;PartC=07</vt:lpwstr>
  </property>
  <property fmtid="{D5CDD505-2E9C-101B-9397-08002B2CF9AE}" pid="16" name="WORDNUMPAGES">
    <vt:lpwstr>9</vt:lpwstr>
  </property>
  <property fmtid="{D5CDD505-2E9C-101B-9397-08002B2CF9AE}" pid="17" name="TYPE_ABS_DATE">
    <vt:lpwstr>380020160614</vt:lpwstr>
  </property>
  <property fmtid="{D5CDD505-2E9C-101B-9397-08002B2CF9AE}" pid="18" name="ISABSTRACT">
    <vt:lpwstr>Y</vt:lpwstr>
  </property>
  <property fmtid="{D5CDD505-2E9C-101B-9397-08002B2CF9AE}" pid="19" name="LAWLISTTMP1">
    <vt:lpwstr>4216/006:2;010;007.a;007.c:2;031.3:2</vt:lpwstr>
  </property>
  <property fmtid="{D5CDD505-2E9C-101B-9397-08002B2CF9AE}" pid="20" name="LAWLISTTMP2">
    <vt:lpwstr>70301/40jc.a;040i.5;040i.3;040i.4;040j.d;040j.b;040j.c:2;040d</vt:lpwstr>
  </property>
  <property fmtid="{D5CDD505-2E9C-101B-9397-08002B2CF9AE}" pid="21" name="LAWLISTTMP3">
    <vt:lpwstr>71553/001</vt:lpwstr>
  </property>
</Properties>
</file>