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93A0F" w14:textId="77777777" w:rsidR="00234B8D" w:rsidRPr="00F74279" w:rsidRDefault="00234B8D" w:rsidP="00F74279">
      <w:pPr>
        <w:pStyle w:val="a4"/>
        <w:tabs>
          <w:tab w:val="clear" w:pos="8306"/>
        </w:tabs>
        <w:rPr>
          <w:rFonts w:ascii="Times New Roman" w:hAnsi="Times New Roman" w:hint="cs"/>
          <w:rtl/>
        </w:rPr>
      </w:pPr>
      <w:bookmarkStart w:id="0" w:name="LastJudge"/>
    </w:p>
    <w:tbl>
      <w:tblPr>
        <w:bidiVisual/>
        <w:tblW w:w="0" w:type="auto"/>
        <w:jc w:val="center"/>
        <w:tblLook w:val="0000" w:firstRow="0" w:lastRow="0" w:firstColumn="0" w:lastColumn="0" w:noHBand="0" w:noVBand="0"/>
      </w:tblPr>
      <w:tblGrid>
        <w:gridCol w:w="6396"/>
        <w:gridCol w:w="236"/>
        <w:gridCol w:w="2088"/>
      </w:tblGrid>
      <w:tr w:rsidR="00234B8D" w:rsidRPr="004075C2" w14:paraId="51753FF1" w14:textId="77777777">
        <w:trPr>
          <w:trHeight w:hRule="exact" w:val="418"/>
          <w:jc w:val="center"/>
        </w:trPr>
        <w:tc>
          <w:tcPr>
            <w:tcW w:w="8720" w:type="dxa"/>
            <w:gridSpan w:val="3"/>
          </w:tcPr>
          <w:p w14:paraId="79050A9E" w14:textId="77777777" w:rsidR="00234B8D" w:rsidRPr="004075C2" w:rsidRDefault="004075C2">
            <w:pPr>
              <w:pStyle w:val="a4"/>
              <w:tabs>
                <w:tab w:val="clear" w:pos="8306"/>
              </w:tabs>
              <w:jc w:val="center"/>
              <w:rPr>
                <w:rFonts w:ascii="Tahoma" w:hAnsi="Tahoma" w:cs="Tahoma"/>
                <w:b/>
                <w:bCs/>
                <w:color w:val="000080"/>
                <w:sz w:val="20"/>
                <w:szCs w:val="20"/>
                <w:rtl/>
              </w:rPr>
            </w:pPr>
            <w:r w:rsidRPr="004075C2">
              <w:rPr>
                <w:rFonts w:ascii="Tahoma" w:hAnsi="Tahoma" w:cs="Tahoma"/>
                <w:b/>
                <w:bCs/>
                <w:color w:val="000080"/>
                <w:sz w:val="20"/>
                <w:szCs w:val="20"/>
                <w:rtl/>
              </w:rPr>
              <w:t>בית משפט השלום בבאר שבע</w:t>
            </w:r>
          </w:p>
        </w:tc>
      </w:tr>
      <w:tr w:rsidR="00234B8D" w:rsidRPr="004075C2" w14:paraId="13DCCDDF" w14:textId="77777777">
        <w:trPr>
          <w:trHeight w:val="337"/>
          <w:jc w:val="center"/>
        </w:trPr>
        <w:tc>
          <w:tcPr>
            <w:tcW w:w="6396" w:type="dxa"/>
          </w:tcPr>
          <w:p w14:paraId="1A22D3CC" w14:textId="77777777" w:rsidR="00234B8D" w:rsidRPr="004075C2" w:rsidRDefault="004075C2">
            <w:pPr>
              <w:rPr>
                <w:b/>
                <w:bCs/>
                <w:sz w:val="26"/>
                <w:szCs w:val="26"/>
                <w:rtl/>
              </w:rPr>
            </w:pPr>
            <w:r w:rsidRPr="004075C2">
              <w:rPr>
                <w:b/>
                <w:bCs/>
                <w:sz w:val="26"/>
                <w:szCs w:val="26"/>
                <w:rtl/>
              </w:rPr>
              <w:t>ת"פ</w:t>
            </w:r>
            <w:r w:rsidRPr="004075C2">
              <w:rPr>
                <w:rFonts w:hint="cs"/>
                <w:b/>
                <w:bCs/>
                <w:sz w:val="26"/>
                <w:szCs w:val="26"/>
                <w:rtl/>
              </w:rPr>
              <w:t xml:space="preserve"> </w:t>
            </w:r>
            <w:r w:rsidRPr="004075C2">
              <w:rPr>
                <w:b/>
                <w:bCs/>
                <w:sz w:val="26"/>
                <w:szCs w:val="26"/>
                <w:rtl/>
              </w:rPr>
              <w:t>35202-10-15</w:t>
            </w:r>
            <w:r w:rsidRPr="004075C2">
              <w:rPr>
                <w:rFonts w:hint="cs"/>
                <w:b/>
                <w:bCs/>
                <w:sz w:val="26"/>
                <w:szCs w:val="26"/>
                <w:rtl/>
              </w:rPr>
              <w:t xml:space="preserve"> </w:t>
            </w:r>
            <w:r w:rsidRPr="004075C2">
              <w:rPr>
                <w:b/>
                <w:bCs/>
                <w:sz w:val="26"/>
                <w:szCs w:val="26"/>
                <w:rtl/>
              </w:rPr>
              <w:t>מדינת ישראל נ' אלעואדרה(עציר)</w:t>
            </w:r>
          </w:p>
          <w:p w14:paraId="45240B61" w14:textId="77777777" w:rsidR="00234B8D" w:rsidRPr="004075C2" w:rsidRDefault="00234B8D">
            <w:pPr>
              <w:rPr>
                <w:b/>
                <w:bCs/>
                <w:sz w:val="26"/>
                <w:szCs w:val="26"/>
                <w:rtl/>
              </w:rPr>
            </w:pPr>
          </w:p>
        </w:tc>
        <w:tc>
          <w:tcPr>
            <w:tcW w:w="236" w:type="dxa"/>
          </w:tcPr>
          <w:p w14:paraId="12D57304" w14:textId="77777777" w:rsidR="00234B8D" w:rsidRPr="004075C2" w:rsidRDefault="00234B8D">
            <w:pPr>
              <w:pStyle w:val="a4"/>
              <w:jc w:val="right"/>
              <w:rPr>
                <w:b/>
                <w:bCs/>
                <w:sz w:val="26"/>
                <w:szCs w:val="26"/>
                <w:rtl/>
              </w:rPr>
            </w:pPr>
          </w:p>
        </w:tc>
        <w:tc>
          <w:tcPr>
            <w:tcW w:w="2088" w:type="dxa"/>
          </w:tcPr>
          <w:p w14:paraId="21AA0DB6" w14:textId="77777777" w:rsidR="00234B8D" w:rsidRPr="004075C2" w:rsidRDefault="004075C2">
            <w:pPr>
              <w:pStyle w:val="a4"/>
              <w:tabs>
                <w:tab w:val="clear" w:pos="4153"/>
              </w:tabs>
              <w:jc w:val="right"/>
              <w:rPr>
                <w:b/>
                <w:bCs/>
                <w:sz w:val="26"/>
                <w:szCs w:val="26"/>
                <w:rtl/>
              </w:rPr>
            </w:pPr>
            <w:r w:rsidRPr="004075C2">
              <w:rPr>
                <w:b/>
                <w:bCs/>
                <w:sz w:val="26"/>
                <w:szCs w:val="26"/>
                <w:rtl/>
              </w:rPr>
              <w:t>26 אוקטובר 2016</w:t>
            </w:r>
          </w:p>
        </w:tc>
      </w:tr>
    </w:tbl>
    <w:p w14:paraId="18D293D2" w14:textId="77777777" w:rsidR="00234B8D" w:rsidRPr="004075C2" w:rsidRDefault="00234B8D">
      <w:pPr>
        <w:pStyle w:val="a4"/>
        <w:jc w:val="center"/>
        <w:rPr>
          <w:rFonts w:ascii="Tahoma" w:hAnsi="Tahoma" w:cs="Tahoma"/>
          <w:b/>
          <w:bCs/>
          <w:color w:val="000080"/>
          <w:sz w:val="20"/>
          <w:szCs w:val="20"/>
          <w:rtl/>
        </w:rPr>
      </w:pPr>
    </w:p>
    <w:p w14:paraId="617D8E6B" w14:textId="77777777" w:rsidR="00234B8D" w:rsidRPr="004075C2" w:rsidRDefault="00234B8D">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234B8D" w:rsidRPr="004075C2" w14:paraId="6F0F7F1A" w14:textId="77777777">
        <w:trPr>
          <w:gridAfter w:val="1"/>
          <w:wAfter w:w="56" w:type="dxa"/>
        </w:trPr>
        <w:tc>
          <w:tcPr>
            <w:tcW w:w="8718" w:type="dxa"/>
            <w:gridSpan w:val="2"/>
            <w:shd w:val="clear" w:color="auto" w:fill="auto"/>
          </w:tcPr>
          <w:p w14:paraId="28CD8261" w14:textId="77777777" w:rsidR="00234B8D" w:rsidRPr="004075C2" w:rsidRDefault="004075C2">
            <w:pPr>
              <w:spacing w:line="360" w:lineRule="auto"/>
              <w:jc w:val="both"/>
              <w:rPr>
                <w:rFonts w:ascii="Times New Roman" w:eastAsia="Times New Roman" w:hAnsi="Times New Roman"/>
                <w:b/>
                <w:bCs/>
                <w:sz w:val="26"/>
                <w:szCs w:val="26"/>
                <w:rtl/>
              </w:rPr>
            </w:pPr>
            <w:r w:rsidRPr="004075C2">
              <w:rPr>
                <w:rFonts w:ascii="Times New Roman" w:eastAsia="Times New Roman" w:hAnsi="Times New Roman" w:hint="cs"/>
                <w:b/>
                <w:bCs/>
                <w:sz w:val="26"/>
                <w:szCs w:val="26"/>
                <w:rtl/>
              </w:rPr>
              <w:t>לפני כבוד ה</w:t>
            </w:r>
            <w:r w:rsidRPr="004075C2">
              <w:rPr>
                <w:rFonts w:ascii="Times New Roman" w:eastAsia="Times New Roman" w:hAnsi="Times New Roman" w:hint="cs"/>
                <w:rtl/>
              </w:rPr>
              <w:t>שופט דניאל בן טולילה</w:t>
            </w:r>
            <w:r w:rsidRPr="004075C2">
              <w:rPr>
                <w:rStyle w:val="TimesNewRomanTimesNewRoman"/>
                <w:rFonts w:eastAsia="Times New Roman"/>
                <w:rtl/>
              </w:rPr>
              <w:t xml:space="preserve"> </w:t>
            </w:r>
          </w:p>
        </w:tc>
      </w:tr>
      <w:tr w:rsidR="00234B8D" w:rsidRPr="004075C2" w14:paraId="7C35F005" w14:textId="77777777">
        <w:trPr>
          <w:cantSplit/>
          <w:trHeight w:val="724"/>
        </w:trPr>
        <w:tc>
          <w:tcPr>
            <w:tcW w:w="2880" w:type="dxa"/>
            <w:shd w:val="clear" w:color="auto" w:fill="auto"/>
          </w:tcPr>
          <w:p w14:paraId="408C0DAB" w14:textId="77777777" w:rsidR="00234B8D" w:rsidRPr="004075C2" w:rsidRDefault="00234B8D">
            <w:pPr>
              <w:ind w:left="26"/>
              <w:rPr>
                <w:rFonts w:ascii="Times New Roman" w:eastAsia="Times New Roman" w:hAnsi="Times New Roman"/>
                <w:b/>
                <w:bCs/>
                <w:sz w:val="26"/>
                <w:szCs w:val="26"/>
                <w:rtl/>
              </w:rPr>
            </w:pPr>
            <w:bookmarkStart w:id="1" w:name="FirstAppellant"/>
            <w:bookmarkStart w:id="2" w:name="FirstLawyer"/>
          </w:p>
          <w:p w14:paraId="57F53176" w14:textId="77777777" w:rsidR="00234B8D" w:rsidRPr="004075C2" w:rsidRDefault="004075C2">
            <w:pPr>
              <w:ind w:left="26"/>
              <w:rPr>
                <w:rFonts w:ascii="Times New Roman" w:eastAsia="Times New Roman" w:hAnsi="Times New Roman"/>
                <w:b/>
                <w:bCs/>
                <w:sz w:val="26"/>
                <w:szCs w:val="26"/>
                <w:rtl/>
              </w:rPr>
            </w:pPr>
            <w:r w:rsidRPr="004075C2">
              <w:rPr>
                <w:rFonts w:ascii="Times New Roman" w:eastAsia="Times New Roman" w:hAnsi="Times New Roman" w:hint="cs"/>
                <w:b/>
                <w:bCs/>
                <w:sz w:val="26"/>
                <w:szCs w:val="26"/>
                <w:rtl/>
              </w:rPr>
              <w:t>המאשימה</w:t>
            </w:r>
          </w:p>
        </w:tc>
        <w:tc>
          <w:tcPr>
            <w:tcW w:w="5922" w:type="dxa"/>
            <w:gridSpan w:val="2"/>
            <w:shd w:val="clear" w:color="auto" w:fill="auto"/>
          </w:tcPr>
          <w:p w14:paraId="74775B9F" w14:textId="77777777" w:rsidR="00234B8D" w:rsidRPr="004075C2" w:rsidRDefault="00234B8D">
            <w:pPr>
              <w:rPr>
                <w:rFonts w:ascii="Times New Roman" w:eastAsia="Times New Roman" w:hAnsi="Times New Roman" w:cs="Times New Roman"/>
                <w:rtl/>
              </w:rPr>
            </w:pPr>
          </w:p>
          <w:p w14:paraId="2202E836" w14:textId="77777777" w:rsidR="00234B8D" w:rsidRPr="004075C2" w:rsidRDefault="004075C2">
            <w:pPr>
              <w:rPr>
                <w:rFonts w:ascii="Times New Roman" w:eastAsia="Times New Roman" w:hAnsi="Times New Roman"/>
                <w:b/>
                <w:bCs/>
                <w:sz w:val="26"/>
                <w:szCs w:val="26"/>
                <w:rtl/>
              </w:rPr>
            </w:pPr>
            <w:r w:rsidRPr="004075C2">
              <w:rPr>
                <w:rFonts w:ascii="Times New Roman" w:eastAsia="Times New Roman" w:hAnsi="Times New Roman" w:hint="cs"/>
                <w:rtl/>
              </w:rPr>
              <w:t xml:space="preserve">מדינת ישראל – פמ"ד </w:t>
            </w:r>
          </w:p>
          <w:p w14:paraId="6493266C" w14:textId="77777777" w:rsidR="00234B8D" w:rsidRPr="004075C2" w:rsidRDefault="004075C2">
            <w:pPr>
              <w:rPr>
                <w:rFonts w:ascii="Times New Roman" w:eastAsia="Times New Roman" w:hAnsi="Times New Roman"/>
                <w:b/>
                <w:bCs/>
                <w:sz w:val="26"/>
                <w:szCs w:val="26"/>
                <w:rtl/>
              </w:rPr>
            </w:pPr>
            <w:r w:rsidRPr="004075C2">
              <w:rPr>
                <w:rFonts w:ascii="Times New Roman" w:eastAsia="Times New Roman" w:hAnsi="Times New Roman" w:hint="cs"/>
                <w:b/>
                <w:bCs/>
                <w:sz w:val="26"/>
                <w:szCs w:val="26"/>
                <w:rtl/>
              </w:rPr>
              <w:t xml:space="preserve">ע"י ב"כ עו"ד אסף בר יוסף ועו"ד צרי </w:t>
            </w:r>
          </w:p>
        </w:tc>
      </w:tr>
      <w:bookmarkEnd w:id="1"/>
      <w:bookmarkEnd w:id="2"/>
      <w:tr w:rsidR="00234B8D" w:rsidRPr="004075C2" w14:paraId="733019F9" w14:textId="77777777">
        <w:tc>
          <w:tcPr>
            <w:tcW w:w="8802" w:type="dxa"/>
            <w:gridSpan w:val="3"/>
            <w:shd w:val="clear" w:color="auto" w:fill="auto"/>
            <w:vAlign w:val="center"/>
          </w:tcPr>
          <w:p w14:paraId="3C45FA82" w14:textId="77777777" w:rsidR="00234B8D" w:rsidRPr="004075C2" w:rsidRDefault="00234B8D">
            <w:pPr>
              <w:jc w:val="center"/>
              <w:rPr>
                <w:rFonts w:ascii="Arial" w:eastAsia="Times New Roman" w:hAnsi="Arial"/>
                <w:b/>
                <w:bCs/>
                <w:sz w:val="26"/>
                <w:szCs w:val="26"/>
                <w:rtl/>
              </w:rPr>
            </w:pPr>
          </w:p>
          <w:p w14:paraId="63A82F75" w14:textId="77777777" w:rsidR="00234B8D" w:rsidRPr="004075C2" w:rsidRDefault="004075C2">
            <w:pPr>
              <w:jc w:val="center"/>
              <w:rPr>
                <w:rFonts w:ascii="Arial" w:eastAsia="Times New Roman" w:hAnsi="Arial"/>
                <w:b/>
                <w:bCs/>
                <w:sz w:val="26"/>
                <w:szCs w:val="26"/>
                <w:rtl/>
              </w:rPr>
            </w:pPr>
            <w:r w:rsidRPr="004075C2">
              <w:rPr>
                <w:rFonts w:ascii="Arial" w:eastAsia="Times New Roman" w:hAnsi="Arial"/>
                <w:b/>
                <w:bCs/>
                <w:sz w:val="26"/>
                <w:szCs w:val="26"/>
                <w:rtl/>
              </w:rPr>
              <w:t>נגד</w:t>
            </w:r>
          </w:p>
          <w:p w14:paraId="46317A5D" w14:textId="77777777" w:rsidR="00234B8D" w:rsidRPr="004075C2" w:rsidRDefault="00234B8D">
            <w:pPr>
              <w:rPr>
                <w:rFonts w:ascii="Arial" w:eastAsia="Times New Roman" w:hAnsi="Arial"/>
                <w:b/>
                <w:bCs/>
                <w:sz w:val="26"/>
                <w:szCs w:val="26"/>
              </w:rPr>
            </w:pPr>
          </w:p>
        </w:tc>
      </w:tr>
      <w:tr w:rsidR="00234B8D" w:rsidRPr="004075C2" w14:paraId="37E5BA35" w14:textId="77777777">
        <w:tc>
          <w:tcPr>
            <w:tcW w:w="2880" w:type="dxa"/>
            <w:shd w:val="clear" w:color="auto" w:fill="auto"/>
          </w:tcPr>
          <w:p w14:paraId="17615DA5" w14:textId="77777777" w:rsidR="00234B8D" w:rsidRPr="004075C2" w:rsidRDefault="004075C2">
            <w:pPr>
              <w:ind w:left="26"/>
              <w:rPr>
                <w:rFonts w:ascii="Times New Roman" w:eastAsia="Times New Roman" w:hAnsi="Times New Roman"/>
                <w:b/>
                <w:bCs/>
                <w:sz w:val="26"/>
                <w:szCs w:val="26"/>
                <w:rtl/>
              </w:rPr>
            </w:pPr>
            <w:r w:rsidRPr="004075C2">
              <w:rPr>
                <w:rFonts w:ascii="Times New Roman" w:eastAsia="Times New Roman" w:hAnsi="Times New Roman" w:hint="cs"/>
                <w:b/>
                <w:bCs/>
                <w:sz w:val="26"/>
                <w:szCs w:val="26"/>
                <w:rtl/>
              </w:rPr>
              <w:t>הנאשם</w:t>
            </w:r>
          </w:p>
        </w:tc>
        <w:tc>
          <w:tcPr>
            <w:tcW w:w="5922" w:type="dxa"/>
            <w:gridSpan w:val="2"/>
            <w:shd w:val="clear" w:color="auto" w:fill="auto"/>
          </w:tcPr>
          <w:p w14:paraId="0D5243E8" w14:textId="77777777" w:rsidR="00234B8D" w:rsidRPr="004075C2" w:rsidRDefault="004075C2" w:rsidP="00F74279">
            <w:pPr>
              <w:rPr>
                <w:rFonts w:ascii="Times New Roman" w:eastAsia="Times New Roman" w:hAnsi="Times New Roman"/>
                <w:b/>
                <w:bCs/>
                <w:sz w:val="26"/>
                <w:szCs w:val="26"/>
                <w:rtl/>
              </w:rPr>
            </w:pPr>
            <w:r w:rsidRPr="004075C2">
              <w:rPr>
                <w:rFonts w:ascii="Times New Roman" w:eastAsia="Times New Roman" w:hAnsi="Times New Roman" w:cs="Times New Roman" w:hint="cs"/>
                <w:rtl/>
              </w:rPr>
              <w:t xml:space="preserve"> </w:t>
            </w:r>
            <w:r w:rsidRPr="004075C2">
              <w:rPr>
                <w:rFonts w:ascii="Times New Roman" w:eastAsia="Times New Roman" w:hAnsi="Times New Roman" w:hint="cs"/>
                <w:rtl/>
              </w:rPr>
              <w:t>יוסף אלעואדרה (עציר)</w:t>
            </w:r>
            <w:r w:rsidRPr="004075C2">
              <w:rPr>
                <w:rFonts w:ascii="Times New Roman" w:eastAsia="Times New Roman" w:hAnsi="Times New Roman" w:cs="Times New Roman" w:hint="cs"/>
                <w:rtl/>
              </w:rPr>
              <w:t xml:space="preserve"> </w:t>
            </w:r>
          </w:p>
          <w:p w14:paraId="2803E144" w14:textId="77777777" w:rsidR="00234B8D" w:rsidRPr="004075C2" w:rsidRDefault="004075C2">
            <w:pPr>
              <w:rPr>
                <w:rFonts w:ascii="Times New Roman" w:eastAsia="Times New Roman" w:hAnsi="Times New Roman"/>
                <w:b/>
                <w:bCs/>
                <w:sz w:val="26"/>
                <w:szCs w:val="26"/>
                <w:rtl/>
              </w:rPr>
            </w:pPr>
            <w:r w:rsidRPr="004075C2">
              <w:rPr>
                <w:rFonts w:ascii="Times New Roman" w:eastAsia="Times New Roman" w:hAnsi="Times New Roman" w:hint="cs"/>
                <w:b/>
                <w:bCs/>
                <w:sz w:val="26"/>
                <w:szCs w:val="26"/>
                <w:rtl/>
              </w:rPr>
              <w:t>ע"י ב"כ עוה"ד ויקטור אוזן ועינת סופר בסרגליק</w:t>
            </w:r>
          </w:p>
        </w:tc>
      </w:tr>
    </w:tbl>
    <w:p w14:paraId="03254831" w14:textId="77777777" w:rsidR="00234B8D" w:rsidRPr="004075C2" w:rsidRDefault="004075C2">
      <w:pPr>
        <w:spacing w:line="360" w:lineRule="auto"/>
        <w:jc w:val="both"/>
        <w:rPr>
          <w:sz w:val="6"/>
          <w:szCs w:val="6"/>
          <w:rtl/>
        </w:rPr>
      </w:pPr>
      <w:r w:rsidRPr="004075C2">
        <w:rPr>
          <w:sz w:val="6"/>
          <w:szCs w:val="6"/>
          <w:rtl/>
        </w:rPr>
        <w:t>&lt;#1#&gt;</w:t>
      </w:r>
    </w:p>
    <w:p w14:paraId="484F3779" w14:textId="77777777" w:rsidR="00234B8D" w:rsidRPr="004075C2" w:rsidRDefault="00234B8D">
      <w:pPr>
        <w:pStyle w:val="12"/>
        <w:rPr>
          <w:b w:val="0"/>
          <w:bCs w:val="0"/>
          <w:u w:val="none"/>
          <w:rtl/>
        </w:rPr>
      </w:pPr>
    </w:p>
    <w:p w14:paraId="220FF53A" w14:textId="77777777" w:rsidR="003524E5" w:rsidRDefault="004075C2">
      <w:pPr>
        <w:spacing w:line="360" w:lineRule="auto"/>
        <w:jc w:val="center"/>
        <w:rPr>
          <w:rFonts w:ascii="Arial" w:hAnsi="Arial"/>
          <w:b/>
          <w:color w:val="FF0000"/>
          <w:sz w:val="28"/>
          <w:rtl/>
        </w:rPr>
      </w:pPr>
      <w:r w:rsidRPr="004075C2">
        <w:rPr>
          <w:rFonts w:ascii="Arial" w:hAnsi="Arial"/>
          <w:b/>
          <w:color w:val="FF0000"/>
          <w:sz w:val="28"/>
          <w:rtl/>
        </w:rPr>
        <w:t>במסמך זה הושמטו פרוטוקולי</w:t>
      </w:r>
      <w:bookmarkStart w:id="3" w:name="LawTable"/>
      <w:bookmarkEnd w:id="3"/>
    </w:p>
    <w:p w14:paraId="593F7B80" w14:textId="77777777" w:rsidR="003524E5" w:rsidRPr="003524E5" w:rsidRDefault="003524E5" w:rsidP="003524E5">
      <w:pPr>
        <w:spacing w:after="120" w:line="240" w:lineRule="exact"/>
        <w:ind w:left="283" w:hanging="283"/>
        <w:jc w:val="both"/>
        <w:rPr>
          <w:rFonts w:ascii="FrankRuehl" w:hAnsi="FrankRuehl" w:cs="FrankRuehl"/>
          <w:color w:val="FF0000"/>
          <w:rtl/>
        </w:rPr>
      </w:pPr>
    </w:p>
    <w:p w14:paraId="7371B7A3" w14:textId="77777777" w:rsidR="003524E5" w:rsidRPr="003524E5" w:rsidRDefault="003524E5" w:rsidP="003524E5">
      <w:pPr>
        <w:spacing w:after="120" w:line="240" w:lineRule="exact"/>
        <w:ind w:left="283" w:hanging="283"/>
        <w:jc w:val="both"/>
        <w:rPr>
          <w:rFonts w:ascii="FrankRuehl" w:hAnsi="FrankRuehl" w:cs="FrankRuehl"/>
          <w:color w:val="FF0000"/>
          <w:rtl/>
        </w:rPr>
      </w:pPr>
      <w:r w:rsidRPr="003524E5">
        <w:rPr>
          <w:rFonts w:ascii="FrankRuehl" w:hAnsi="FrankRuehl" w:cs="FrankRuehl"/>
          <w:color w:val="FF0000"/>
          <w:rtl/>
        </w:rPr>
        <w:t xml:space="preserve">חקיקה שאוזכרה: </w:t>
      </w:r>
    </w:p>
    <w:p w14:paraId="6C9ED5C2" w14:textId="77777777" w:rsidR="003524E5" w:rsidRPr="003524E5" w:rsidRDefault="003524E5" w:rsidP="003524E5">
      <w:pPr>
        <w:spacing w:after="120" w:line="240" w:lineRule="exact"/>
        <w:ind w:left="283" w:hanging="283"/>
        <w:jc w:val="both"/>
        <w:rPr>
          <w:rFonts w:ascii="FrankRuehl" w:hAnsi="FrankRuehl" w:cs="FrankRuehl"/>
          <w:color w:val="0000FF"/>
          <w:u w:val="single"/>
          <w:rtl/>
        </w:rPr>
      </w:pPr>
      <w:hyperlink r:id="rId6" w:history="1">
        <w:r w:rsidRPr="003524E5">
          <w:rPr>
            <w:rStyle w:val="Hyperlink"/>
            <w:rFonts w:ascii="FrankRuehl" w:hAnsi="FrankRuehl" w:cs="FrankRuehl"/>
            <w:rtl/>
          </w:rPr>
          <w:t>פקודת הסמים המסוכנים [נוסח חדש], תשל"ג-1973</w:t>
        </w:r>
      </w:hyperlink>
      <w:r w:rsidRPr="003524E5">
        <w:rPr>
          <w:rFonts w:ascii="FrankRuehl" w:hAnsi="FrankRuehl" w:cs="FrankRuehl"/>
          <w:color w:val="0000FF"/>
          <w:u w:val="single"/>
          <w:rtl/>
        </w:rPr>
        <w:t xml:space="preserve">: סע'  </w:t>
      </w:r>
      <w:hyperlink r:id="rId7" w:history="1">
        <w:r w:rsidRPr="003524E5">
          <w:rPr>
            <w:rStyle w:val="Hyperlink"/>
            <w:rFonts w:ascii="FrankRuehl" w:hAnsi="FrankRuehl" w:cs="FrankRuehl"/>
          </w:rPr>
          <w:t>13</w:t>
        </w:r>
      </w:hyperlink>
      <w:r w:rsidRPr="003524E5">
        <w:rPr>
          <w:rFonts w:ascii="FrankRuehl" w:hAnsi="FrankRuehl" w:cs="FrankRuehl"/>
          <w:color w:val="0000FF"/>
          <w:u w:val="single"/>
          <w:rtl/>
        </w:rPr>
        <w:t xml:space="preserve">, </w:t>
      </w:r>
      <w:hyperlink r:id="rId8" w:history="1">
        <w:r w:rsidRPr="003524E5">
          <w:rPr>
            <w:rStyle w:val="Hyperlink"/>
            <w:rFonts w:ascii="FrankRuehl" w:hAnsi="FrankRuehl" w:cs="FrankRuehl"/>
          </w:rPr>
          <w:t>19</w:t>
        </w:r>
        <w:r w:rsidRPr="003524E5">
          <w:rPr>
            <w:rStyle w:val="Hyperlink"/>
            <w:rFonts w:ascii="FrankRuehl" w:hAnsi="FrankRuehl" w:cs="FrankRuehl"/>
            <w:rtl/>
          </w:rPr>
          <w:t>א</w:t>
        </w:r>
      </w:hyperlink>
    </w:p>
    <w:p w14:paraId="247B62E6" w14:textId="77777777" w:rsidR="003524E5" w:rsidRPr="003524E5" w:rsidRDefault="003524E5" w:rsidP="003524E5">
      <w:pPr>
        <w:spacing w:after="120" w:line="240" w:lineRule="exact"/>
        <w:ind w:left="283" w:hanging="283"/>
        <w:jc w:val="both"/>
        <w:rPr>
          <w:rFonts w:ascii="FrankRuehl" w:hAnsi="FrankRuehl" w:cs="FrankRuehl"/>
          <w:color w:val="0000FF"/>
          <w:u w:val="single"/>
          <w:rtl/>
        </w:rPr>
      </w:pPr>
      <w:hyperlink r:id="rId9" w:history="1">
        <w:r w:rsidRPr="003524E5">
          <w:rPr>
            <w:rStyle w:val="Hyperlink"/>
            <w:rFonts w:ascii="FrankRuehl" w:hAnsi="FrankRuehl" w:cs="FrankRuehl"/>
            <w:rtl/>
          </w:rPr>
          <w:t>חוק העונשין, תשל"ז-1977</w:t>
        </w:r>
      </w:hyperlink>
      <w:r w:rsidRPr="003524E5">
        <w:rPr>
          <w:rFonts w:ascii="FrankRuehl" w:hAnsi="FrankRuehl" w:cs="FrankRuehl"/>
          <w:color w:val="0000FF"/>
          <w:u w:val="single"/>
          <w:rtl/>
        </w:rPr>
        <w:t xml:space="preserve">: סע'  </w:t>
      </w:r>
      <w:hyperlink r:id="rId10" w:history="1">
        <w:r w:rsidRPr="003524E5">
          <w:rPr>
            <w:rStyle w:val="Hyperlink"/>
            <w:rFonts w:ascii="FrankRuehl" w:hAnsi="FrankRuehl" w:cs="FrankRuehl"/>
          </w:rPr>
          <w:t>40</w:t>
        </w:r>
        <w:r w:rsidRPr="003524E5">
          <w:rPr>
            <w:rStyle w:val="Hyperlink"/>
            <w:rFonts w:ascii="FrankRuehl" w:hAnsi="FrankRuehl" w:cs="FrankRuehl"/>
            <w:rtl/>
          </w:rPr>
          <w:t>ג(א)</w:t>
        </w:r>
      </w:hyperlink>
    </w:p>
    <w:p w14:paraId="2C8DC8EE" w14:textId="77777777" w:rsidR="003524E5" w:rsidRPr="003524E5" w:rsidRDefault="003524E5" w:rsidP="003524E5">
      <w:pPr>
        <w:spacing w:after="120" w:line="240" w:lineRule="exact"/>
        <w:ind w:left="283" w:hanging="283"/>
        <w:jc w:val="both"/>
        <w:rPr>
          <w:rFonts w:ascii="FrankRuehl" w:hAnsi="FrankRuehl" w:cs="FrankRuehl"/>
          <w:rtl/>
        </w:rPr>
      </w:pPr>
    </w:p>
    <w:p w14:paraId="56620EDA" w14:textId="77777777" w:rsidR="003524E5" w:rsidRPr="003524E5" w:rsidRDefault="003524E5">
      <w:pPr>
        <w:spacing w:line="360" w:lineRule="auto"/>
        <w:jc w:val="center"/>
        <w:rPr>
          <w:rFonts w:ascii="Arial" w:hAnsi="Arial"/>
          <w:sz w:val="28"/>
          <w:rtl/>
        </w:rPr>
      </w:pPr>
      <w:bookmarkStart w:id="4" w:name="LawTable_End"/>
      <w:bookmarkEnd w:id="4"/>
    </w:p>
    <w:p w14:paraId="0AE0AA79" w14:textId="77777777" w:rsidR="003524E5" w:rsidRPr="003524E5" w:rsidRDefault="003524E5">
      <w:pPr>
        <w:spacing w:line="360" w:lineRule="auto"/>
        <w:jc w:val="center"/>
        <w:rPr>
          <w:rFonts w:ascii="Arial" w:hAnsi="Arial"/>
          <w:b/>
          <w:color w:val="FF0000"/>
          <w:sz w:val="28"/>
          <w:rtl/>
        </w:rPr>
      </w:pPr>
    </w:p>
    <w:p w14:paraId="67F89F4C" w14:textId="77777777" w:rsidR="00F74279" w:rsidRDefault="004075C2">
      <w:pPr>
        <w:spacing w:line="360" w:lineRule="auto"/>
        <w:jc w:val="center"/>
        <w:rPr>
          <w:rFonts w:ascii="Arial" w:hAnsi="Arial"/>
          <w:sz w:val="28"/>
          <w:szCs w:val="28"/>
          <w:rtl/>
        </w:rPr>
      </w:pPr>
      <w:r w:rsidRPr="003524E5">
        <w:rPr>
          <w:rFonts w:ascii="Arial" w:hAnsi="Arial"/>
          <w:b/>
          <w:color w:val="FF0000"/>
          <w:sz w:val="28"/>
          <w:rtl/>
        </w:rPr>
        <w:t>ם</w:t>
      </w:r>
    </w:p>
    <w:p w14:paraId="4804216B" w14:textId="77777777" w:rsidR="00F74279" w:rsidRPr="00F74279" w:rsidRDefault="00F74279" w:rsidP="00F74279">
      <w:pPr>
        <w:spacing w:after="120" w:line="240" w:lineRule="exact"/>
        <w:ind w:left="283" w:hanging="283"/>
        <w:jc w:val="both"/>
        <w:rPr>
          <w:rFonts w:ascii="FrankRuehl" w:hAnsi="FrankRuehl" w:cs="FrankRuehl"/>
          <w:rtl/>
        </w:rPr>
      </w:pPr>
    </w:p>
    <w:p w14:paraId="6182D48B" w14:textId="77777777" w:rsidR="00F74279" w:rsidRPr="00F74279" w:rsidRDefault="00F74279" w:rsidP="00F74279">
      <w:pPr>
        <w:spacing w:after="120" w:line="240" w:lineRule="exact"/>
        <w:ind w:left="283" w:hanging="283"/>
        <w:jc w:val="both"/>
        <w:rPr>
          <w:rFonts w:ascii="FrankRuehl" w:hAnsi="FrankRuehl" w:cs="FrankRuehl"/>
          <w:rtl/>
        </w:rPr>
      </w:pPr>
      <w:r w:rsidRPr="00F74279">
        <w:rPr>
          <w:rFonts w:ascii="FrankRuehl" w:hAnsi="FrankRuehl" w:cs="FrankRuehl"/>
          <w:rtl/>
        </w:rPr>
        <w:t xml:space="preserve">חקיקה שאוזכרה: </w:t>
      </w:r>
    </w:p>
    <w:p w14:paraId="7320CE0E" w14:textId="77777777" w:rsidR="00F74279" w:rsidRPr="00F74279" w:rsidRDefault="00F74279" w:rsidP="00F74279">
      <w:pPr>
        <w:spacing w:after="120" w:line="240" w:lineRule="exact"/>
        <w:ind w:left="283" w:hanging="283"/>
        <w:jc w:val="both"/>
        <w:rPr>
          <w:rFonts w:ascii="FrankRuehl" w:hAnsi="FrankRuehl" w:cs="FrankRuehl"/>
          <w:rtl/>
        </w:rPr>
      </w:pPr>
      <w:hyperlink r:id="rId11" w:history="1">
        <w:r w:rsidRPr="00F74279">
          <w:rPr>
            <w:rFonts w:ascii="FrankRuehl" w:hAnsi="FrankRuehl" w:cs="FrankRuehl"/>
            <w:color w:val="0000FF"/>
            <w:u w:val="single"/>
            <w:rtl/>
          </w:rPr>
          <w:t>פקודת הסמים המסוכנים [נוסח חדש], תשל"ג-1973</w:t>
        </w:r>
      </w:hyperlink>
      <w:r w:rsidRPr="00F74279">
        <w:rPr>
          <w:rFonts w:ascii="FrankRuehl" w:hAnsi="FrankRuehl" w:cs="FrankRuehl"/>
          <w:rtl/>
        </w:rPr>
        <w:t xml:space="preserve">: סע'  </w:t>
      </w:r>
      <w:hyperlink r:id="rId12" w:history="1">
        <w:r w:rsidRPr="00F74279">
          <w:rPr>
            <w:rFonts w:ascii="FrankRuehl" w:hAnsi="FrankRuehl" w:cs="FrankRuehl"/>
            <w:color w:val="0000FF"/>
            <w:u w:val="single"/>
            <w:rtl/>
          </w:rPr>
          <w:t>13</w:t>
        </w:r>
      </w:hyperlink>
      <w:r w:rsidRPr="00F74279">
        <w:rPr>
          <w:rFonts w:ascii="FrankRuehl" w:hAnsi="FrankRuehl" w:cs="FrankRuehl"/>
          <w:rtl/>
        </w:rPr>
        <w:t xml:space="preserve">, </w:t>
      </w:r>
      <w:hyperlink r:id="rId13" w:history="1">
        <w:r w:rsidRPr="00F74279">
          <w:rPr>
            <w:rFonts w:ascii="FrankRuehl" w:hAnsi="FrankRuehl" w:cs="FrankRuehl"/>
            <w:color w:val="0000FF"/>
            <w:u w:val="single"/>
            <w:rtl/>
          </w:rPr>
          <w:t>19א</w:t>
        </w:r>
      </w:hyperlink>
    </w:p>
    <w:p w14:paraId="4C8DEF10" w14:textId="77777777" w:rsidR="00F74279" w:rsidRPr="00F74279" w:rsidRDefault="00F74279" w:rsidP="00F74279">
      <w:pPr>
        <w:spacing w:after="120" w:line="240" w:lineRule="exact"/>
        <w:ind w:left="283" w:hanging="283"/>
        <w:jc w:val="both"/>
        <w:rPr>
          <w:rFonts w:ascii="FrankRuehl" w:hAnsi="FrankRuehl" w:cs="FrankRuehl"/>
          <w:rtl/>
        </w:rPr>
      </w:pPr>
      <w:hyperlink r:id="rId14" w:history="1">
        <w:r w:rsidRPr="00F74279">
          <w:rPr>
            <w:rFonts w:ascii="FrankRuehl" w:hAnsi="FrankRuehl" w:cs="FrankRuehl"/>
            <w:color w:val="0000FF"/>
            <w:u w:val="single"/>
            <w:rtl/>
          </w:rPr>
          <w:t>חוק העונשין, תשל"ז-1977</w:t>
        </w:r>
      </w:hyperlink>
      <w:r w:rsidRPr="00F74279">
        <w:rPr>
          <w:rFonts w:ascii="FrankRuehl" w:hAnsi="FrankRuehl" w:cs="FrankRuehl"/>
          <w:rtl/>
        </w:rPr>
        <w:t xml:space="preserve">: סע'  </w:t>
      </w:r>
      <w:hyperlink r:id="rId15" w:history="1">
        <w:r w:rsidRPr="00F74279">
          <w:rPr>
            <w:rFonts w:ascii="FrankRuehl" w:hAnsi="FrankRuehl" w:cs="FrankRuehl"/>
            <w:color w:val="0000FF"/>
            <w:u w:val="single"/>
            <w:rtl/>
          </w:rPr>
          <w:t>40ג(א)</w:t>
        </w:r>
      </w:hyperlink>
    </w:p>
    <w:p w14:paraId="7C191BF0" w14:textId="77777777" w:rsidR="004075C2" w:rsidRPr="004075C2" w:rsidRDefault="004075C2" w:rsidP="00F74279">
      <w:pPr>
        <w:spacing w:line="360" w:lineRule="auto"/>
        <w:rPr>
          <w:rFonts w:ascii="Arial" w:hAnsi="Arial" w:hint="cs"/>
          <w:b/>
          <w:bCs/>
          <w:sz w:val="28"/>
          <w:szCs w:val="28"/>
          <w:rtl/>
        </w:rPr>
      </w:pPr>
    </w:p>
    <w:p w14:paraId="6A51D24D" w14:textId="77777777" w:rsidR="004075C2" w:rsidRPr="004075C2" w:rsidRDefault="004075C2" w:rsidP="004075C2">
      <w:pPr>
        <w:spacing w:line="360" w:lineRule="auto"/>
        <w:jc w:val="center"/>
        <w:rPr>
          <w:rFonts w:ascii="Arial" w:hAnsi="Arial"/>
          <w:b/>
          <w:bCs/>
          <w:sz w:val="28"/>
          <w:szCs w:val="28"/>
          <w:u w:val="single"/>
          <w:rtl/>
        </w:rPr>
      </w:pPr>
      <w:bookmarkStart w:id="5" w:name="PsakDin"/>
      <w:bookmarkEnd w:id="0"/>
      <w:r w:rsidRPr="004075C2">
        <w:rPr>
          <w:rFonts w:ascii="Arial" w:hAnsi="Arial"/>
          <w:b/>
          <w:bCs/>
          <w:sz w:val="28"/>
          <w:szCs w:val="28"/>
          <w:u w:val="single"/>
          <w:rtl/>
        </w:rPr>
        <w:t>גזר דין</w:t>
      </w:r>
    </w:p>
    <w:p w14:paraId="5FFDC796" w14:textId="77777777" w:rsidR="00234B8D" w:rsidRDefault="004075C2">
      <w:pPr>
        <w:spacing w:line="360" w:lineRule="auto"/>
        <w:jc w:val="both"/>
        <w:rPr>
          <w:rtl/>
        </w:rPr>
      </w:pPr>
      <w:bookmarkStart w:id="6" w:name="ABSTRACT_START"/>
      <w:bookmarkEnd w:id="5"/>
      <w:bookmarkEnd w:id="6"/>
      <w:r>
        <w:rPr>
          <w:rFonts w:hint="cs"/>
          <w:rtl/>
        </w:rPr>
        <w:t xml:space="preserve">הנאשם הורשע לאחר ניהול הוכחות בביצוע שתי עבירות של סחר בסם מסוכן בהתאם להוראת </w:t>
      </w:r>
      <w:hyperlink r:id="rId16" w:history="1">
        <w:r w:rsidR="00F74279" w:rsidRPr="00F74279">
          <w:rPr>
            <w:color w:val="0000FF"/>
            <w:u w:val="single"/>
            <w:rtl/>
          </w:rPr>
          <w:t>סעיף 13</w:t>
        </w:r>
      </w:hyperlink>
      <w:r>
        <w:rPr>
          <w:rFonts w:hint="cs"/>
          <w:rtl/>
        </w:rPr>
        <w:t xml:space="preserve"> + </w:t>
      </w:r>
      <w:hyperlink r:id="rId17" w:history="1">
        <w:r w:rsidR="00F74279" w:rsidRPr="00F74279">
          <w:rPr>
            <w:rStyle w:val="Hyperlink"/>
            <w:rFonts w:ascii="David" w:hAnsi="David" w:cs="David"/>
            <w:rtl/>
          </w:rPr>
          <w:t>19א</w:t>
        </w:r>
      </w:hyperlink>
      <w:r>
        <w:rPr>
          <w:rFonts w:hint="cs"/>
          <w:rtl/>
        </w:rPr>
        <w:t xml:space="preserve"> ל</w:t>
      </w:r>
      <w:hyperlink r:id="rId18" w:history="1">
        <w:r w:rsidRPr="004075C2">
          <w:rPr>
            <w:color w:val="0000FF"/>
            <w:u w:val="single"/>
            <w:rtl/>
          </w:rPr>
          <w:t>פקודת הסמים המסוכנים</w:t>
        </w:r>
      </w:hyperlink>
      <w:r>
        <w:rPr>
          <w:rFonts w:hint="cs"/>
          <w:rtl/>
        </w:rPr>
        <w:t xml:space="preserve">. </w:t>
      </w:r>
    </w:p>
    <w:p w14:paraId="25DEA9C0" w14:textId="77777777" w:rsidR="00234B8D" w:rsidRDefault="00234B8D">
      <w:pPr>
        <w:spacing w:line="360" w:lineRule="auto"/>
        <w:jc w:val="both"/>
        <w:rPr>
          <w:rtl/>
        </w:rPr>
      </w:pPr>
    </w:p>
    <w:p w14:paraId="6A22DF92" w14:textId="77777777" w:rsidR="00234B8D" w:rsidRDefault="004075C2">
      <w:pPr>
        <w:spacing w:line="360" w:lineRule="auto"/>
        <w:jc w:val="both"/>
        <w:rPr>
          <w:rFonts w:ascii="Calibri" w:hAnsi="Calibri"/>
        </w:rPr>
      </w:pPr>
      <w:r>
        <w:rPr>
          <w:rFonts w:ascii="Calibri" w:hAnsi="Calibri" w:hint="cs"/>
          <w:rtl/>
        </w:rPr>
        <w:t>על-פי המתואר בחלק הכללי לכתב האישום, במועדים הרלוונטיים לכתב האישום שימש ע.ז כסוכן משטרתי (להלן: "</w:t>
      </w:r>
      <w:r>
        <w:rPr>
          <w:rFonts w:ascii="Calibri" w:hAnsi="Calibri" w:hint="cs"/>
          <w:b/>
          <w:bCs/>
          <w:rtl/>
        </w:rPr>
        <w:t>הסוכן</w:t>
      </w:r>
      <w:r>
        <w:rPr>
          <w:rFonts w:ascii="Calibri" w:hAnsi="Calibri" w:hint="cs"/>
          <w:rtl/>
        </w:rPr>
        <w:t>"). לסוכן היכרות מוקדמת עם עודה עואדרה (להלן: "</w:t>
      </w:r>
      <w:r>
        <w:rPr>
          <w:rFonts w:ascii="Calibri" w:hAnsi="Calibri" w:hint="cs"/>
          <w:b/>
          <w:bCs/>
          <w:rtl/>
        </w:rPr>
        <w:t>עודה</w:t>
      </w:r>
      <w:r>
        <w:rPr>
          <w:rFonts w:ascii="Calibri" w:hAnsi="Calibri" w:hint="cs"/>
          <w:rtl/>
        </w:rPr>
        <w:t>") שהינו קרוב משפחה של הנאשם. עודה הכיר בין הסוכן לבין אחיו, עבד אל האדי עואדרה (להלן: "</w:t>
      </w:r>
      <w:r>
        <w:rPr>
          <w:rFonts w:ascii="Calibri" w:hAnsi="Calibri" w:hint="cs"/>
          <w:b/>
          <w:bCs/>
          <w:rtl/>
        </w:rPr>
        <w:t>עבד</w:t>
      </w:r>
      <w:r>
        <w:rPr>
          <w:rFonts w:ascii="Calibri" w:hAnsi="Calibri" w:hint="cs"/>
          <w:rtl/>
        </w:rPr>
        <w:t>").</w:t>
      </w:r>
    </w:p>
    <w:p w14:paraId="56E7E66A" w14:textId="77777777" w:rsidR="00234B8D" w:rsidRDefault="00234B8D">
      <w:pPr>
        <w:spacing w:line="360" w:lineRule="auto"/>
        <w:jc w:val="both"/>
        <w:rPr>
          <w:rFonts w:ascii="Calibri" w:hAnsi="Calibri"/>
          <w:rtl/>
        </w:rPr>
      </w:pPr>
      <w:bookmarkStart w:id="7" w:name="ABSTRACT_END"/>
      <w:bookmarkEnd w:id="7"/>
    </w:p>
    <w:p w14:paraId="197F4C73" w14:textId="77777777" w:rsidR="00234B8D" w:rsidRDefault="004075C2">
      <w:pPr>
        <w:spacing w:line="360" w:lineRule="auto"/>
        <w:jc w:val="both"/>
        <w:rPr>
          <w:rFonts w:ascii="Calibri" w:hAnsi="Calibri"/>
          <w:rtl/>
        </w:rPr>
      </w:pPr>
      <w:r>
        <w:rPr>
          <w:rFonts w:ascii="Calibri" w:hAnsi="Calibri" w:hint="cs"/>
          <w:rtl/>
        </w:rPr>
        <w:t>במסגרת היכרותם, עודה והסוכן לקחו חלק בעסקת סמים שפרטיה אינם ידועים במדויק למאשימה ובגינה חב הסוכן</w:t>
      </w:r>
      <w:r>
        <w:rPr>
          <w:rFonts w:ascii="Calibri" w:hAnsi="Calibri" w:hint="cs"/>
          <w:color w:val="FF0000"/>
          <w:rtl/>
        </w:rPr>
        <w:t xml:space="preserve"> </w:t>
      </w:r>
      <w:r>
        <w:rPr>
          <w:rFonts w:ascii="Calibri" w:hAnsi="Calibri" w:hint="cs"/>
          <w:rtl/>
        </w:rPr>
        <w:t>סך של  15,000 ₪ לעבד (להלן: "</w:t>
      </w:r>
      <w:r>
        <w:rPr>
          <w:rFonts w:ascii="Calibri" w:hAnsi="Calibri" w:hint="cs"/>
          <w:b/>
          <w:bCs/>
          <w:rtl/>
        </w:rPr>
        <w:t>החוב</w:t>
      </w:r>
      <w:r>
        <w:rPr>
          <w:rFonts w:ascii="Calibri" w:hAnsi="Calibri" w:hint="cs"/>
          <w:rtl/>
        </w:rPr>
        <w:t xml:space="preserve">"). לצורך פירעון החוב, סוכם על ידי הסוכן ועבד כי אלו יבצעו מספר עסקאות סמים שמסגרתן ירכוש הסוכן מעבד "אוקות" (12 פלטות חשיש) </w:t>
      </w:r>
      <w:r>
        <w:rPr>
          <w:rFonts w:ascii="Calibri" w:hAnsi="Calibri" w:hint="cs"/>
          <w:rtl/>
        </w:rPr>
        <w:lastRenderedPageBreak/>
        <w:t>ובאמצעות הרווחים שיפיק, יפרע הסוכן את החוב. במועדים הרלוונטיים לכתב האישום, הנאשם עשה שימוש בטלפון נייד שמספרו 054-2413556 (להלן: "</w:t>
      </w:r>
      <w:r>
        <w:rPr>
          <w:rFonts w:ascii="Calibri" w:hAnsi="Calibri" w:hint="cs"/>
          <w:b/>
          <w:bCs/>
          <w:rtl/>
        </w:rPr>
        <w:t>הנייד של הנאשם</w:t>
      </w:r>
      <w:r>
        <w:rPr>
          <w:rFonts w:ascii="Calibri" w:hAnsi="Calibri" w:hint="cs"/>
          <w:rtl/>
        </w:rPr>
        <w:t>") ועבד עשה שימוש בטלפון נייד שמספרו 052-7576421 (להלן: "</w:t>
      </w:r>
      <w:r>
        <w:rPr>
          <w:rFonts w:ascii="Calibri" w:hAnsi="Calibri" w:hint="cs"/>
          <w:b/>
          <w:bCs/>
          <w:rtl/>
        </w:rPr>
        <w:t>הנייד של עבד</w:t>
      </w:r>
      <w:r>
        <w:rPr>
          <w:rFonts w:ascii="Calibri" w:hAnsi="Calibri" w:hint="cs"/>
          <w:rtl/>
        </w:rPr>
        <w:t>").</w:t>
      </w:r>
    </w:p>
    <w:p w14:paraId="43A48662" w14:textId="77777777" w:rsidR="00234B8D" w:rsidRDefault="00234B8D">
      <w:pPr>
        <w:spacing w:line="360" w:lineRule="auto"/>
        <w:jc w:val="both"/>
        <w:rPr>
          <w:rFonts w:ascii="Calibri" w:hAnsi="Calibri"/>
          <w:rtl/>
        </w:rPr>
      </w:pPr>
    </w:p>
    <w:p w14:paraId="19C436B2" w14:textId="77777777" w:rsidR="00234B8D" w:rsidRDefault="004075C2">
      <w:pPr>
        <w:spacing w:line="360" w:lineRule="auto"/>
        <w:jc w:val="both"/>
        <w:rPr>
          <w:rFonts w:ascii="Calibri" w:hAnsi="Calibri"/>
          <w:rtl/>
        </w:rPr>
      </w:pPr>
      <w:r>
        <w:rPr>
          <w:rFonts w:ascii="Calibri" w:hAnsi="Calibri" w:hint="cs"/>
          <w:rtl/>
        </w:rPr>
        <w:t>על-פי המתואר באישום הראשון, ביום 14.8.15, בשעה 12:00 או בסמוך לכך, הודיע עבד לסוכן טלפונית כי ניתן "</w:t>
      </w:r>
      <w:r>
        <w:rPr>
          <w:rFonts w:ascii="Calibri" w:hAnsi="Calibri" w:hint="cs"/>
          <w:b/>
          <w:bCs/>
          <w:rtl/>
        </w:rPr>
        <w:t>לשתות אצלו קפה</w:t>
      </w:r>
      <w:r>
        <w:rPr>
          <w:rFonts w:ascii="Calibri" w:hAnsi="Calibri" w:hint="cs"/>
          <w:rtl/>
        </w:rPr>
        <w:t>", תוך שהתכוון כי ניתן להוציא את עסקת הסמים לפועל. השניים שוחחו באמצעות הטלפון מספר פעמים וקבעו להיפגש בתחנת הדלק שבכניסה לישוב שגב שלום (להלן: "</w:t>
      </w:r>
      <w:r>
        <w:rPr>
          <w:rFonts w:ascii="Calibri" w:hAnsi="Calibri" w:hint="cs"/>
          <w:b/>
          <w:bCs/>
          <w:rtl/>
        </w:rPr>
        <w:t>תחנת הדלק"</w:t>
      </w:r>
      <w:r>
        <w:rPr>
          <w:rFonts w:ascii="Calibri" w:hAnsi="Calibri" w:hint="cs"/>
          <w:rtl/>
        </w:rPr>
        <w:t>).</w:t>
      </w:r>
    </w:p>
    <w:p w14:paraId="1772FD05" w14:textId="77777777" w:rsidR="00234B8D" w:rsidRDefault="00234B8D">
      <w:pPr>
        <w:spacing w:line="360" w:lineRule="auto"/>
        <w:jc w:val="both"/>
        <w:rPr>
          <w:rFonts w:ascii="Calibri" w:hAnsi="Calibri"/>
          <w:rtl/>
        </w:rPr>
      </w:pPr>
    </w:p>
    <w:p w14:paraId="31615EB1" w14:textId="77777777" w:rsidR="00234B8D" w:rsidRDefault="004075C2">
      <w:pPr>
        <w:spacing w:line="360" w:lineRule="auto"/>
        <w:jc w:val="both"/>
        <w:rPr>
          <w:rFonts w:ascii="Calibri" w:hAnsi="Calibri"/>
          <w:rtl/>
        </w:rPr>
      </w:pPr>
      <w:r>
        <w:rPr>
          <w:rFonts w:ascii="Calibri" w:hAnsi="Calibri" w:hint="cs"/>
          <w:rtl/>
        </w:rPr>
        <w:t>בשעה 15:30 או בסמוך לכן, הגיע הסוכן לתחנת הדלק במונית והמתין לנאשם. בהמשך, הגיע הנאשם לתחנת הדלק בעודו נוהג ברכב מסוג טויוטה לנדקרוזר (להלן: "</w:t>
      </w:r>
      <w:r>
        <w:rPr>
          <w:rFonts w:ascii="Calibri" w:hAnsi="Calibri" w:hint="cs"/>
          <w:b/>
          <w:bCs/>
          <w:rtl/>
        </w:rPr>
        <w:t>הטויוטה</w:t>
      </w:r>
      <w:r>
        <w:rPr>
          <w:rFonts w:ascii="Calibri" w:hAnsi="Calibri" w:hint="cs"/>
          <w:rtl/>
        </w:rPr>
        <w:t>") שעה שלא היו בידיו רישיון נהיגה וביטוח ברי תוקף, וסימן לסוכן לנסוע בעקבותיו.</w:t>
      </w:r>
    </w:p>
    <w:p w14:paraId="7F7A76C7" w14:textId="77777777" w:rsidR="00234B8D" w:rsidRDefault="00234B8D">
      <w:pPr>
        <w:spacing w:line="360" w:lineRule="auto"/>
        <w:jc w:val="both"/>
        <w:rPr>
          <w:rFonts w:ascii="Calibri" w:hAnsi="Calibri"/>
          <w:rtl/>
        </w:rPr>
      </w:pPr>
    </w:p>
    <w:p w14:paraId="182B9F44" w14:textId="77777777" w:rsidR="00234B8D" w:rsidRDefault="004075C2">
      <w:pPr>
        <w:spacing w:line="360" w:lineRule="auto"/>
        <w:jc w:val="both"/>
        <w:rPr>
          <w:rFonts w:ascii="Calibri" w:hAnsi="Calibri"/>
          <w:rtl/>
        </w:rPr>
      </w:pPr>
      <w:r>
        <w:rPr>
          <w:rFonts w:ascii="Calibri" w:hAnsi="Calibri" w:hint="cs"/>
          <w:rtl/>
        </w:rPr>
        <w:t>הסוכן ניגש אל הטויוטה בה נהג הנאשם וזה הודיע לו כי ברשותו 11 פלטות בלבד. במעמד זה, בהתאם לסיכומם של השניים, סחר הנאשם בסמים מסוכנים, ע"י כך שהעביר לסוכן 11 פלטות מסוג חשיש במשקל 95 גר' כ"א, ובתמורה קיבל מהסוכן סך של 26,500 ₪ בגין אותן פלטות וסך של 2,000 ₪ בגין החוב, ועזב את המקום. כי משקלה של כל פלטה עמד על כ-95 גר' נטו. למען הנוחות, תכונה עסקה זו "</w:t>
      </w:r>
      <w:r>
        <w:rPr>
          <w:rFonts w:ascii="Calibri" w:hAnsi="Calibri" w:hint="cs"/>
          <w:b/>
          <w:bCs/>
          <w:rtl/>
        </w:rPr>
        <w:t>העסקה הראשונה</w:t>
      </w:r>
      <w:r>
        <w:rPr>
          <w:rFonts w:ascii="Calibri" w:hAnsi="Calibri" w:hint="cs"/>
          <w:rtl/>
        </w:rPr>
        <w:t xml:space="preserve">". </w:t>
      </w:r>
    </w:p>
    <w:p w14:paraId="5C89A7A1" w14:textId="77777777" w:rsidR="00234B8D" w:rsidRDefault="00234B8D">
      <w:pPr>
        <w:spacing w:line="360" w:lineRule="auto"/>
        <w:jc w:val="both"/>
        <w:rPr>
          <w:rFonts w:ascii="Calibri" w:hAnsi="Calibri"/>
          <w:rtl/>
        </w:rPr>
      </w:pPr>
    </w:p>
    <w:p w14:paraId="27F0A09C" w14:textId="77777777" w:rsidR="00234B8D" w:rsidRDefault="004075C2">
      <w:pPr>
        <w:spacing w:line="360" w:lineRule="auto"/>
        <w:jc w:val="both"/>
        <w:rPr>
          <w:rFonts w:ascii="Calibri" w:hAnsi="Calibri"/>
          <w:rtl/>
        </w:rPr>
      </w:pPr>
      <w:r>
        <w:rPr>
          <w:rFonts w:ascii="Calibri" w:hAnsi="Calibri" w:hint="cs"/>
          <w:rtl/>
        </w:rPr>
        <w:t>על-פי המתואר באישום השני, כשבועיים ימים לאחר ביצוע העסקה הראשונה, התקשר הסוכן לנייד של עבד וביקש ליזום עסקת סמים נוספת. בתגובה השיב עבד כי בשל העדרם של סמים זמינים, מועד ביצוע העסקה יימסר לסוכן בהמשך.</w:t>
      </w:r>
    </w:p>
    <w:p w14:paraId="554E4156" w14:textId="77777777" w:rsidR="00234B8D" w:rsidRDefault="00234B8D">
      <w:pPr>
        <w:spacing w:line="360" w:lineRule="auto"/>
        <w:jc w:val="both"/>
        <w:rPr>
          <w:rFonts w:ascii="Calibri" w:hAnsi="Calibri"/>
          <w:rtl/>
        </w:rPr>
      </w:pPr>
    </w:p>
    <w:p w14:paraId="362D50B7" w14:textId="77777777" w:rsidR="00234B8D" w:rsidRDefault="004075C2">
      <w:pPr>
        <w:spacing w:line="360" w:lineRule="auto"/>
        <w:jc w:val="both"/>
        <w:rPr>
          <w:rFonts w:ascii="Calibri" w:hAnsi="Calibri"/>
          <w:rtl/>
        </w:rPr>
      </w:pPr>
      <w:r>
        <w:rPr>
          <w:rFonts w:ascii="Calibri" w:hAnsi="Calibri" w:hint="cs"/>
          <w:rtl/>
        </w:rPr>
        <w:t>כשבוע לאחר מכן, התקשר עבד מהנייד שלו אל הסוכן והודיע לו כי ניתן "</w:t>
      </w:r>
      <w:r>
        <w:rPr>
          <w:rFonts w:ascii="Calibri" w:hAnsi="Calibri" w:hint="cs"/>
          <w:b/>
          <w:bCs/>
          <w:rtl/>
        </w:rPr>
        <w:t>לשתות קפה</w:t>
      </w:r>
      <w:r>
        <w:rPr>
          <w:rFonts w:ascii="Calibri" w:hAnsi="Calibri" w:hint="cs"/>
          <w:rtl/>
        </w:rPr>
        <w:t>", תוך שהתכוון כי ניתן לבצע את עסקת הסמים. בתגובה השיב הסוכן כי אין ביכולתו לשלם עבור הסמים. בצהרי יום 7.9.15, התקשר הסוכן אל הנייד של עבד ושאל אם ניתן "</w:t>
      </w:r>
      <w:r>
        <w:rPr>
          <w:rFonts w:ascii="Calibri" w:hAnsi="Calibri" w:hint="cs"/>
          <w:b/>
          <w:bCs/>
          <w:rtl/>
        </w:rPr>
        <w:t>לשתות קפה</w:t>
      </w:r>
      <w:r>
        <w:rPr>
          <w:rFonts w:ascii="Calibri" w:hAnsi="Calibri" w:hint="cs"/>
          <w:rtl/>
        </w:rPr>
        <w:t>", שעה שהתכוון כי מעוניין להוציא את עסקת הסמים לפועל. במעמד זה סיכמו השניים כי ייפגשו ביום למחרת בשעה 12:00.</w:t>
      </w:r>
    </w:p>
    <w:p w14:paraId="037E5978" w14:textId="77777777" w:rsidR="00234B8D" w:rsidRDefault="00234B8D">
      <w:pPr>
        <w:spacing w:line="360" w:lineRule="auto"/>
        <w:jc w:val="both"/>
        <w:rPr>
          <w:rFonts w:ascii="Calibri" w:hAnsi="Calibri"/>
          <w:rtl/>
        </w:rPr>
      </w:pPr>
    </w:p>
    <w:p w14:paraId="213B1408" w14:textId="77777777" w:rsidR="00234B8D" w:rsidRDefault="004075C2">
      <w:pPr>
        <w:spacing w:line="360" w:lineRule="auto"/>
        <w:jc w:val="both"/>
        <w:rPr>
          <w:rFonts w:ascii="Calibri" w:hAnsi="Calibri"/>
          <w:rtl/>
        </w:rPr>
      </w:pPr>
      <w:r>
        <w:rPr>
          <w:rFonts w:ascii="Calibri" w:hAnsi="Calibri" w:hint="cs"/>
          <w:rtl/>
        </w:rPr>
        <w:t>בהתאם לאמור, ביום 8.9.15, בשעה 12:00 או בסמוך לכך, הודיע עבד לסוכן טלפונית כי "</w:t>
      </w:r>
      <w:r>
        <w:rPr>
          <w:rFonts w:ascii="Calibri" w:hAnsi="Calibri" w:hint="cs"/>
          <w:b/>
          <w:bCs/>
          <w:rtl/>
        </w:rPr>
        <w:t>אפשר לבוא לקפה כמו בפעם הקודמת</w:t>
      </w:r>
      <w:r>
        <w:rPr>
          <w:rFonts w:ascii="Calibri" w:hAnsi="Calibri" w:hint="cs"/>
          <w:rtl/>
        </w:rPr>
        <w:t>". הסוכן הגיע אל מקום המפגש במונית ושם פגש בנאשם אשר הגיע באמצעות רכב מסוג "מאזדה 6" (להלן: "</w:t>
      </w:r>
      <w:r>
        <w:rPr>
          <w:rFonts w:ascii="Calibri" w:hAnsi="Calibri" w:hint="cs"/>
          <w:b/>
          <w:bCs/>
          <w:rtl/>
        </w:rPr>
        <w:t>המאזדה</w:t>
      </w:r>
      <w:r>
        <w:rPr>
          <w:rFonts w:ascii="Calibri" w:hAnsi="Calibri" w:hint="cs"/>
          <w:rtl/>
        </w:rPr>
        <w:t>"), יחד עם שניים נוספים שזהותם לא ידועה למאשימה (להלן: "</w:t>
      </w:r>
      <w:r>
        <w:rPr>
          <w:rFonts w:ascii="Calibri" w:hAnsi="Calibri" w:hint="cs"/>
          <w:b/>
          <w:bCs/>
          <w:rtl/>
        </w:rPr>
        <w:t>הנוספים</w:t>
      </w:r>
      <w:r>
        <w:rPr>
          <w:rFonts w:ascii="Calibri" w:hAnsi="Calibri" w:hint="cs"/>
          <w:rtl/>
        </w:rPr>
        <w:t>"). הסוכן נכנס למאזדה, בעקבות קריאתו של הנאשם, והתיישב בספסל האחורי בסמוך לנאשם. במהלך הנסיעה ביקש הסוכן מהנאשם להעביר את הסמים לאזור חבל לכיש בשל חששו להגיע לישוב שגב שלום, ואף הציע לשלם בעבור כך.</w:t>
      </w:r>
    </w:p>
    <w:p w14:paraId="727C3CA9" w14:textId="77777777" w:rsidR="00234B8D" w:rsidRDefault="00234B8D">
      <w:pPr>
        <w:spacing w:line="360" w:lineRule="auto"/>
        <w:jc w:val="both"/>
        <w:rPr>
          <w:rFonts w:ascii="Calibri" w:hAnsi="Calibri"/>
          <w:rtl/>
        </w:rPr>
      </w:pPr>
    </w:p>
    <w:p w14:paraId="233023B8" w14:textId="77777777" w:rsidR="00234B8D" w:rsidRDefault="004075C2">
      <w:pPr>
        <w:spacing w:line="360" w:lineRule="auto"/>
        <w:jc w:val="both"/>
        <w:rPr>
          <w:rFonts w:ascii="Calibri" w:hAnsi="Calibri"/>
          <w:b/>
          <w:bCs/>
          <w:rtl/>
        </w:rPr>
      </w:pPr>
      <w:r>
        <w:rPr>
          <w:rFonts w:ascii="Calibri" w:hAnsi="Calibri" w:hint="cs"/>
          <w:rtl/>
        </w:rPr>
        <w:lastRenderedPageBreak/>
        <w:t>בהמשך, עצר רכב המאזדה בצד הדרך, ובמעמד זה סחר הנאשם בסמים מסוכנים, ע"י כך שקיבל מהסוכן והנוספים סך של 29,000 ₪ בתמורה ל 12 פלטות של סם מסוכן מסוג חשיש במשקל ממוצע כ-95 גר' כ"א,  וסך של 2,000 ₪ בגין החוב, אשר הועברו לידי הסוכן באמצעות אחד מהנוספים. עסקה זו תיקרא: "</w:t>
      </w:r>
      <w:r>
        <w:rPr>
          <w:rFonts w:ascii="Calibri" w:hAnsi="Calibri" w:hint="cs"/>
          <w:b/>
          <w:bCs/>
          <w:rtl/>
        </w:rPr>
        <w:t>העסקה השנייה</w:t>
      </w:r>
      <w:r>
        <w:rPr>
          <w:rFonts w:ascii="Calibri" w:hAnsi="Calibri" w:hint="cs"/>
          <w:rtl/>
        </w:rPr>
        <w:t>".</w:t>
      </w:r>
    </w:p>
    <w:p w14:paraId="08D71B4B" w14:textId="77777777" w:rsidR="00234B8D" w:rsidRDefault="00234B8D">
      <w:pPr>
        <w:spacing w:line="360" w:lineRule="auto"/>
        <w:jc w:val="both"/>
        <w:rPr>
          <w:rtl/>
        </w:rPr>
      </w:pPr>
    </w:p>
    <w:p w14:paraId="3F3ED0BB" w14:textId="77777777" w:rsidR="00234B8D" w:rsidRDefault="00234B8D">
      <w:pPr>
        <w:spacing w:line="360" w:lineRule="auto"/>
        <w:jc w:val="both"/>
        <w:rPr>
          <w:rFonts w:ascii="Calibri" w:hAnsi="Calibri"/>
          <w:b/>
          <w:bCs/>
          <w:u w:val="single"/>
          <w:rtl/>
        </w:rPr>
      </w:pPr>
    </w:p>
    <w:p w14:paraId="67DA7085" w14:textId="77777777" w:rsidR="00234B8D" w:rsidRDefault="00234B8D">
      <w:pPr>
        <w:spacing w:line="360" w:lineRule="auto"/>
        <w:jc w:val="both"/>
        <w:rPr>
          <w:rFonts w:ascii="Calibri" w:hAnsi="Calibri"/>
          <w:b/>
          <w:bCs/>
          <w:u w:val="single"/>
          <w:rtl/>
        </w:rPr>
      </w:pPr>
    </w:p>
    <w:p w14:paraId="421B8F4F" w14:textId="77777777" w:rsidR="00234B8D" w:rsidRDefault="004075C2">
      <w:pPr>
        <w:spacing w:line="360" w:lineRule="auto"/>
        <w:jc w:val="both"/>
        <w:rPr>
          <w:rFonts w:ascii="Calibri" w:hAnsi="Calibri"/>
          <w:b/>
          <w:bCs/>
          <w:u w:val="single"/>
          <w:rtl/>
        </w:rPr>
      </w:pPr>
      <w:r>
        <w:rPr>
          <w:rFonts w:ascii="Calibri" w:hAnsi="Calibri" w:hint="cs"/>
          <w:b/>
          <w:bCs/>
          <w:u w:val="single"/>
          <w:rtl/>
        </w:rPr>
        <w:t>טיעוני הצדדים:</w:t>
      </w:r>
    </w:p>
    <w:p w14:paraId="3655A03E" w14:textId="77777777" w:rsidR="00234B8D" w:rsidRDefault="004075C2">
      <w:pPr>
        <w:spacing w:line="360" w:lineRule="auto"/>
        <w:jc w:val="both"/>
        <w:rPr>
          <w:rFonts w:ascii="Calibri" w:hAnsi="Calibri"/>
          <w:rtl/>
        </w:rPr>
      </w:pPr>
      <w:r>
        <w:rPr>
          <w:rFonts w:ascii="Calibri" w:hAnsi="Calibri" w:hint="cs"/>
          <w:rtl/>
        </w:rPr>
        <w:t>בא-כוח המאשימה בטיעוניו הכתובים לעונש הפנה לערכים החברתיים המוגנים שבהם פגע הנאשם במעשיו ובכלל זה בבריאות הציבור, הסדר החברתי ושלטון החוק וכמו כן עמד על הצורך במיגורן של עבירות הסמים.</w:t>
      </w:r>
    </w:p>
    <w:p w14:paraId="0DF13C80" w14:textId="77777777" w:rsidR="00234B8D" w:rsidRDefault="00234B8D">
      <w:pPr>
        <w:spacing w:line="360" w:lineRule="auto"/>
        <w:jc w:val="both"/>
        <w:rPr>
          <w:rFonts w:ascii="Calibri" w:hAnsi="Calibri"/>
          <w:rtl/>
        </w:rPr>
      </w:pPr>
    </w:p>
    <w:p w14:paraId="7AAAA308" w14:textId="77777777" w:rsidR="00234B8D" w:rsidRDefault="004075C2">
      <w:pPr>
        <w:spacing w:line="360" w:lineRule="auto"/>
        <w:jc w:val="both"/>
        <w:rPr>
          <w:rFonts w:ascii="Calibri" w:hAnsi="Calibri"/>
          <w:rtl/>
        </w:rPr>
      </w:pPr>
      <w:r>
        <w:rPr>
          <w:rFonts w:ascii="Calibri" w:hAnsi="Calibri" w:hint="cs"/>
          <w:rtl/>
        </w:rPr>
        <w:t xml:space="preserve">לשיטתו, המדובר בשני אירועים נפרדים  ועל כן יש לקבוע מתחם ענישה נפרד לכל אחד מהם. מסקנתו מתבססת על העובדה כי עסקאות הסמים בוצעו בשני מועדים שונים וביניהן חלף פער זמנים של כחודש ימים. </w:t>
      </w:r>
    </w:p>
    <w:p w14:paraId="7F3D745F" w14:textId="77777777" w:rsidR="00234B8D" w:rsidRDefault="00234B8D">
      <w:pPr>
        <w:spacing w:line="360" w:lineRule="auto"/>
        <w:jc w:val="both"/>
        <w:rPr>
          <w:rFonts w:ascii="Calibri" w:hAnsi="Calibri"/>
          <w:rtl/>
        </w:rPr>
      </w:pPr>
    </w:p>
    <w:p w14:paraId="73A65420" w14:textId="77777777" w:rsidR="00234B8D" w:rsidRDefault="004075C2">
      <w:pPr>
        <w:spacing w:line="360" w:lineRule="auto"/>
        <w:jc w:val="both"/>
        <w:rPr>
          <w:rFonts w:ascii="Calibri" w:hAnsi="Calibri"/>
          <w:rtl/>
        </w:rPr>
      </w:pPr>
      <w:r>
        <w:rPr>
          <w:rFonts w:ascii="Calibri" w:hAnsi="Calibri" w:hint="cs"/>
          <w:rtl/>
        </w:rPr>
        <w:t>בבחינת הנסיבות הקשורות בביצוע העבירות זה ביקש ליתן את הדעת לתכנון שקדם לביצוען בשים לב לבקיאותו של הנאשם בפרטי העסקאות ובמעורבותו האקטיבית בהוצאתן לפועל.  לדבריו, לנאשם חלק משמעותי ומרכזי בביצוען של העבירות. בעסקה הראשונה נפגש הנאשם עם הסוכן, ניסה לשכנעו להעתיק את מקום ביצוע העסקה  והפגין ידע בכל הנוגע לכמות הסם ולסכום הכסף שעליו לגבות. את העסקה השניה ניהל הנאשם מהספסל האחורי של הרכב תוך שהורה לנוסע שליד הנהג להעביר לידיו את שקית הסמים, כיוון את מפעיל הסוכן טלפונית לנקודת איסוף הסוכן וכן יזם אפשרות לסחור בעתיד בסמים מסוג קוקאין. האמור לעיל, כך אליבא המאשימה, מצביע על שליטתו של הנאשם במתרחש ועל היותו דמות מרכזית.</w:t>
      </w:r>
    </w:p>
    <w:p w14:paraId="4EF633F4" w14:textId="77777777" w:rsidR="00234B8D" w:rsidRDefault="00234B8D">
      <w:pPr>
        <w:spacing w:line="360" w:lineRule="auto"/>
        <w:jc w:val="both"/>
        <w:rPr>
          <w:rFonts w:ascii="Calibri" w:hAnsi="Calibri"/>
          <w:rtl/>
        </w:rPr>
      </w:pPr>
    </w:p>
    <w:p w14:paraId="5633F9DF" w14:textId="77777777" w:rsidR="00234B8D" w:rsidRDefault="004075C2">
      <w:pPr>
        <w:spacing w:line="360" w:lineRule="auto"/>
        <w:jc w:val="both"/>
        <w:rPr>
          <w:rFonts w:ascii="Calibri" w:hAnsi="Calibri"/>
          <w:rtl/>
        </w:rPr>
      </w:pPr>
      <w:r>
        <w:rPr>
          <w:rFonts w:ascii="Calibri" w:hAnsi="Calibri" w:hint="cs"/>
          <w:rtl/>
        </w:rPr>
        <w:t xml:space="preserve">מבחינת הנזק הצפוי </w:t>
      </w:r>
      <w:r>
        <w:rPr>
          <w:rFonts w:ascii="Calibri" w:hAnsi="Calibri"/>
          <w:rtl/>
        </w:rPr>
        <w:t>–</w:t>
      </w:r>
      <w:r>
        <w:rPr>
          <w:rFonts w:ascii="Calibri" w:hAnsi="Calibri" w:hint="cs"/>
          <w:rtl/>
        </w:rPr>
        <w:t xml:space="preserve"> הלה ביקש להתחשב בכמות הסם ובסיכון שבהגעתו למספר רב של צרכנים, על כל המשתמע מכך. זה ציין כי הגם שמדובר בסם מסוג חשיש אשר אינו נמנה על הסמים "הקשים", הרי שנקבע זה מכבר כי הסמים הקלים מהווים את "יריית הפתיחה" להתמכרות לסמים קשים יותר, לצד הסכנה הגלומה בשימוש בסם עצמו. לאור כל האמור, סבור ב"כ המאשימה כי מתחם העונש ההולם נע בין 24 ל-36 חודשי מאסר בפועל בגין כל עסקת סם, לצד השתת קנס כספי, פסילת רשיון נהיגה לתקופה ממושכת ומאסר מותנה מרתיע.</w:t>
      </w:r>
    </w:p>
    <w:p w14:paraId="2305BEDF" w14:textId="77777777" w:rsidR="00234B8D" w:rsidRDefault="00234B8D">
      <w:pPr>
        <w:spacing w:line="360" w:lineRule="auto"/>
        <w:jc w:val="both"/>
        <w:rPr>
          <w:rFonts w:ascii="Calibri" w:hAnsi="Calibri"/>
          <w:rtl/>
        </w:rPr>
      </w:pPr>
    </w:p>
    <w:p w14:paraId="2E784934" w14:textId="77777777" w:rsidR="00234B8D" w:rsidRDefault="004075C2">
      <w:pPr>
        <w:spacing w:line="360" w:lineRule="auto"/>
        <w:jc w:val="both"/>
        <w:rPr>
          <w:rFonts w:ascii="Calibri" w:hAnsi="Calibri"/>
          <w:rtl/>
        </w:rPr>
      </w:pPr>
      <w:r>
        <w:rPr>
          <w:rFonts w:ascii="Calibri" w:hAnsi="Calibri" w:hint="cs"/>
          <w:rtl/>
        </w:rPr>
        <w:t xml:space="preserve">בגדרי המתחם, זה ביקש ליתן משקל משמעותי לעברו הפלילי המכביד הכולל 12 הרשעות קודמות בגין ביצוען של עבירות שונות לרבות אלימות, מרמה, נשק, רכוש, הפרת הוראה חוקית, תקיפת שוטר ועוד. לדבריו, עונשי המאסר הרבים שריצה הנאשם לא הרתיעו אותו מלשוב ולבצע עבירות נוספות, כשבזו הפעם "הרחיב" את תחומי עיסוקו לעבירות סמים. נוסף לאמור, הנאשם הינו אסיר ברישיון, הלה ביצע את העבירות בתיק דנן כשבעה חודשים בלבד מיום החלטת ועדת השחרורים, 2.3.15, לשחררו על תנאי. ב"כ המאשימה סבור כי בחלופות החוק אין ולו סיבה אחת להקלה בעונשו של הנאשם תוך שהדגיש כי בעבירות כגון דא, אין להעדיף נסיבות אישיות של הנאשם על פני שיקולי גמול והרתעה. בסופם של דברים, הלה עתר להשתת עונש מאסר בפועל, ברף העליון של המתחמים שציין ובאופן מצטבר, לצד מאסר מותנה ממושך, פסילה ממושכת של רישיון הנהיגה וקנס גבוה. </w:t>
      </w:r>
    </w:p>
    <w:p w14:paraId="579D21B6" w14:textId="77777777" w:rsidR="00234B8D" w:rsidRDefault="00234B8D">
      <w:pPr>
        <w:spacing w:line="360" w:lineRule="auto"/>
        <w:jc w:val="both"/>
        <w:rPr>
          <w:rFonts w:ascii="Calibri" w:hAnsi="Calibri"/>
          <w:rtl/>
        </w:rPr>
      </w:pPr>
    </w:p>
    <w:p w14:paraId="42232A72" w14:textId="77777777" w:rsidR="00234B8D" w:rsidRDefault="004075C2">
      <w:pPr>
        <w:spacing w:line="360" w:lineRule="auto"/>
        <w:jc w:val="both"/>
        <w:rPr>
          <w:rFonts w:ascii="Calibri" w:hAnsi="Calibri"/>
          <w:rtl/>
        </w:rPr>
      </w:pPr>
      <w:r>
        <w:rPr>
          <w:rFonts w:ascii="Calibri" w:hAnsi="Calibri" w:hint="cs"/>
          <w:rtl/>
        </w:rPr>
        <w:t xml:space="preserve">באת-כוח הנאשם מנגד, סבורה כי בתיק זה מתקיימות נסיבות רבות אשר יש בהן כדי להקל בעונשו של הנאשם, אפילו זה ניהל התיק ועמד על חפותו. לדבריה, אין מחלוקת שהנאשם הוא לא הדמות הדומיננטית ביזומן והוצאתן לפועל של עסקאות הסמים. הסוכן כלל לא הכיר את הנאשם טרם אותן עסקאות, כשלמעשה כל השיחות המקדימות וכל הפרטים הרלוונטיים נעשו בין הסוכן לבין עבד. לנאשם לא הייתה כל שליטה בסוג הסם, כמותו, המחיר ואופן הוצאתן לפועל של העסקאות. גם אם מבחינה טכנית עניין לנו בעבירה של סחר, הרי שאין זו עבירת הסחר הקלאסית ותפקידו של הנאשם מתמצה בהעברת הסם עבור עבד וקבלת הכספים עבורו. לנאשם לא היה כל רווח כספי מעסקאות אלו. אין ראיה כי הנאשם היה מודע בכלל לטיב החומר או משקלו שאותו העביר עבור עבד לידי הסוכן. חיזוק למסקנה זו ניתן למצוא בעדות הסוכן עצמו, אשר מתייחס לנאשם כמי שעבד שלח אותו להעביר לו את הסמים כטובה. </w:t>
      </w:r>
    </w:p>
    <w:p w14:paraId="5A201D65" w14:textId="77777777" w:rsidR="00234B8D" w:rsidRDefault="00234B8D">
      <w:pPr>
        <w:spacing w:line="360" w:lineRule="auto"/>
        <w:jc w:val="both"/>
        <w:rPr>
          <w:rFonts w:ascii="Calibri" w:hAnsi="Calibri"/>
          <w:rtl/>
        </w:rPr>
      </w:pPr>
    </w:p>
    <w:p w14:paraId="1D149E8F" w14:textId="77777777" w:rsidR="00234B8D" w:rsidRDefault="004075C2">
      <w:pPr>
        <w:spacing w:line="360" w:lineRule="auto"/>
        <w:jc w:val="both"/>
        <w:rPr>
          <w:rFonts w:ascii="Calibri" w:hAnsi="Calibri"/>
          <w:rtl/>
        </w:rPr>
      </w:pPr>
      <w:r>
        <w:rPr>
          <w:rFonts w:ascii="Calibri" w:hAnsi="Calibri" w:hint="cs"/>
          <w:rtl/>
        </w:rPr>
        <w:t xml:space="preserve">מעבר לכך, הפנתה באת-כוח הנאשם למה שלדבריה הינו מצב מעוות שבו דווקא הסוחר העיקרי ומי שמלכתחילה היה חלק מרשימת היעדים, אינו עומד לדין מסיבות שאינן קשורות בנאשם, כאשר דווקא הנאשם שחלקו באותן עסקאות נמוך משמעותית, הוא זה שאמור לשאת במלוא המחיר. </w:t>
      </w:r>
    </w:p>
    <w:p w14:paraId="3B1398E2" w14:textId="77777777" w:rsidR="00234B8D" w:rsidRDefault="00234B8D">
      <w:pPr>
        <w:spacing w:line="360" w:lineRule="auto"/>
        <w:jc w:val="both"/>
        <w:rPr>
          <w:rFonts w:ascii="Calibri" w:hAnsi="Calibri"/>
          <w:rtl/>
        </w:rPr>
      </w:pPr>
    </w:p>
    <w:p w14:paraId="79DCF422" w14:textId="77777777" w:rsidR="00234B8D" w:rsidRDefault="004075C2">
      <w:pPr>
        <w:spacing w:line="360" w:lineRule="auto"/>
        <w:jc w:val="both"/>
        <w:rPr>
          <w:rFonts w:ascii="Calibri" w:hAnsi="Calibri"/>
          <w:rtl/>
        </w:rPr>
      </w:pPr>
      <w:r>
        <w:rPr>
          <w:rFonts w:ascii="Calibri" w:hAnsi="Calibri" w:hint="cs"/>
          <w:rtl/>
        </w:rPr>
        <w:t xml:space="preserve">בשל כל אלה, לדבריה, המתחם בתיק זה אמור להיות נמוך משמעותית מהמתחם לו עותרת המאשימה או מהמתחמים הרגילים הנקבעים בעבירות סחר בנסיבות דומות. מעבר לכך יש מקום לראות בשתי העסקאות כאירוע אחד ולקבע את עונשו בחלקו הנמוך של המתחם. אליבא ההגנה, אמנם לנאשם עבר פלילי, יחד עם זאת אין בו כדי להחמיר עם הנאשם וזאת בשים לב לכך שאף לא אחת מהרשעותיו הקודמות הנה ממן העניין. הנאשם אינו משתמש בסמים ואין לו נגישות לסמים. הנאשם הינו אסיר ברישיון ששוחרר שחרור מוקדם על רקע הליך טיפולי מוצלח שעבר במסגרת מאסרו האחרון, דבר אשר בא לידי ביטוי בחוות דעת חיוביות ביותר שהוצגו בפני ועדת השחרורים. על בית המשפט לקחת בחשבון כי בעקבות הרשעתו בתיק הנוכחי, ייתווסף בכל מקרה עונש מאסר לא מבוטל בשל הפקעת רישיונו. בשל כל אלה סבורה ההגנה כי ניתן להסתפק בתקופת מעצרו של הנאשם, המגיעה לכדי שנה ויותר. </w:t>
      </w:r>
    </w:p>
    <w:p w14:paraId="2C8EBAFB" w14:textId="77777777" w:rsidR="00234B8D" w:rsidRDefault="004075C2">
      <w:pPr>
        <w:spacing w:line="360" w:lineRule="auto"/>
        <w:jc w:val="both"/>
        <w:rPr>
          <w:rFonts w:ascii="Calibri" w:hAnsi="Calibri"/>
        </w:rPr>
      </w:pPr>
      <w:r>
        <w:rPr>
          <w:rFonts w:ascii="Calibri" w:hAnsi="Calibri" w:hint="cs"/>
          <w:rtl/>
        </w:rPr>
        <w:t xml:space="preserve">הנאשם מצדו סיפר על ילדיו, ציין כי הוא נגד סמים באופן עקרוני ולא ימכור לאף אדם סם בשל גישתו זו. בסופם של דברים ביקש את התחשבות בית המשפט. </w:t>
      </w:r>
    </w:p>
    <w:p w14:paraId="7AA8081F" w14:textId="77777777" w:rsidR="00234B8D" w:rsidRDefault="00234B8D">
      <w:pPr>
        <w:spacing w:line="360" w:lineRule="auto"/>
        <w:jc w:val="both"/>
        <w:rPr>
          <w:rFonts w:ascii="Calibri" w:hAnsi="Calibri"/>
          <w:rtl/>
        </w:rPr>
      </w:pPr>
    </w:p>
    <w:p w14:paraId="1B4C7E68" w14:textId="77777777" w:rsidR="00234B8D" w:rsidRDefault="00234B8D">
      <w:pPr>
        <w:spacing w:line="360" w:lineRule="auto"/>
        <w:jc w:val="both"/>
        <w:rPr>
          <w:rFonts w:ascii="Calibri" w:hAnsi="Calibri"/>
          <w:rtl/>
        </w:rPr>
      </w:pPr>
    </w:p>
    <w:p w14:paraId="609A1A0C" w14:textId="77777777" w:rsidR="00234B8D" w:rsidRDefault="004075C2">
      <w:pPr>
        <w:spacing w:line="360" w:lineRule="auto"/>
        <w:jc w:val="both"/>
        <w:rPr>
          <w:rFonts w:ascii="Calibri" w:hAnsi="Calibri"/>
          <w:rtl/>
        </w:rPr>
      </w:pPr>
      <w:r>
        <w:rPr>
          <w:rFonts w:ascii="Calibri" w:hAnsi="Calibri" w:hint="cs"/>
          <w:b/>
          <w:bCs/>
          <w:u w:val="single"/>
          <w:rtl/>
        </w:rPr>
        <w:t>דיון והכרעה</w:t>
      </w:r>
      <w:r>
        <w:rPr>
          <w:rFonts w:ascii="Calibri" w:hAnsi="Calibri" w:hint="cs"/>
          <w:rtl/>
        </w:rPr>
        <w:t>:</w:t>
      </w:r>
    </w:p>
    <w:p w14:paraId="12E61607" w14:textId="77777777" w:rsidR="00234B8D" w:rsidRDefault="004075C2">
      <w:pPr>
        <w:spacing w:line="360" w:lineRule="auto"/>
        <w:jc w:val="both"/>
        <w:rPr>
          <w:rFonts w:ascii="Arial" w:hAnsi="Arial"/>
          <w:rtl/>
        </w:rPr>
      </w:pPr>
      <w:r>
        <w:rPr>
          <w:rFonts w:ascii="Calibri" w:hAnsi="Calibri" w:hint="cs"/>
          <w:rtl/>
        </w:rPr>
        <w:t xml:space="preserve">בהתאם לתיקון 113, </w:t>
      </w:r>
      <w:r>
        <w:rPr>
          <w:rFonts w:hint="eastAsia"/>
          <w:rtl/>
          <w:lang w:eastAsia="he-IL"/>
        </w:rPr>
        <w:t>כאשר</w:t>
      </w:r>
      <w:r>
        <w:rPr>
          <w:rtl/>
          <w:lang w:eastAsia="he-IL"/>
        </w:rPr>
        <w:t xml:space="preserve"> </w:t>
      </w:r>
      <w:r>
        <w:rPr>
          <w:rFonts w:hint="eastAsia"/>
          <w:rtl/>
          <w:lang w:eastAsia="he-IL"/>
        </w:rPr>
        <w:t>אין</w:t>
      </w:r>
      <w:r>
        <w:rPr>
          <w:rtl/>
          <w:lang w:eastAsia="he-IL"/>
        </w:rPr>
        <w:t xml:space="preserve"> </w:t>
      </w:r>
      <w:r>
        <w:rPr>
          <w:rFonts w:hint="eastAsia"/>
          <w:rtl/>
          <w:lang w:eastAsia="he-IL"/>
        </w:rPr>
        <w:t>המדובר</w:t>
      </w:r>
      <w:r>
        <w:rPr>
          <w:rtl/>
          <w:lang w:eastAsia="he-IL"/>
        </w:rPr>
        <w:t xml:space="preserve"> </w:t>
      </w:r>
      <w:r>
        <w:rPr>
          <w:rFonts w:hint="eastAsia"/>
          <w:rtl/>
          <w:lang w:eastAsia="he-IL"/>
        </w:rPr>
        <w:t>בעבירה</w:t>
      </w:r>
      <w:r>
        <w:rPr>
          <w:rtl/>
          <w:lang w:eastAsia="he-IL"/>
        </w:rPr>
        <w:t xml:space="preserve"> </w:t>
      </w:r>
      <w:r>
        <w:rPr>
          <w:rFonts w:hint="eastAsia"/>
          <w:rtl/>
          <w:lang w:eastAsia="he-IL"/>
        </w:rPr>
        <w:t>יחידה</w:t>
      </w:r>
      <w:r>
        <w:rPr>
          <w:rtl/>
          <w:lang w:eastAsia="he-IL"/>
        </w:rPr>
        <w:t xml:space="preserve">, </w:t>
      </w:r>
      <w:r>
        <w:rPr>
          <w:rFonts w:hint="cs"/>
          <w:rtl/>
          <w:lang w:eastAsia="he-IL"/>
        </w:rPr>
        <w:t>וכ</w:t>
      </w:r>
      <w:r>
        <w:rPr>
          <w:rFonts w:hint="eastAsia"/>
          <w:rtl/>
          <w:lang w:eastAsia="he-IL"/>
        </w:rPr>
        <w:t>שלב</w:t>
      </w:r>
      <w:r>
        <w:rPr>
          <w:rtl/>
          <w:lang w:eastAsia="he-IL"/>
        </w:rPr>
        <w:t xml:space="preserve"> </w:t>
      </w:r>
      <w:r>
        <w:rPr>
          <w:rFonts w:hint="eastAsia"/>
          <w:rtl/>
          <w:lang w:eastAsia="he-IL"/>
        </w:rPr>
        <w:t>ראשו</w:t>
      </w:r>
      <w:r>
        <w:rPr>
          <w:rFonts w:hint="cs"/>
          <w:rtl/>
          <w:lang w:eastAsia="he-IL"/>
        </w:rPr>
        <w:t>ן</w:t>
      </w:r>
      <w:r>
        <w:rPr>
          <w:rtl/>
          <w:lang w:eastAsia="he-IL"/>
        </w:rPr>
        <w:t xml:space="preserve">, </w:t>
      </w:r>
      <w:r>
        <w:rPr>
          <w:rFonts w:hint="eastAsia"/>
          <w:rtl/>
          <w:lang w:eastAsia="he-IL"/>
        </w:rPr>
        <w:t>על</w:t>
      </w:r>
      <w:r>
        <w:rPr>
          <w:rtl/>
          <w:lang w:eastAsia="he-IL"/>
        </w:rPr>
        <w:t xml:space="preserve"> </w:t>
      </w:r>
      <w:r>
        <w:rPr>
          <w:rFonts w:hint="eastAsia"/>
          <w:rtl/>
          <w:lang w:eastAsia="he-IL"/>
        </w:rPr>
        <w:t>בית</w:t>
      </w:r>
      <w:r>
        <w:rPr>
          <w:rtl/>
          <w:lang w:eastAsia="he-IL"/>
        </w:rPr>
        <w:t xml:space="preserve"> </w:t>
      </w:r>
      <w:r>
        <w:rPr>
          <w:rFonts w:hint="eastAsia"/>
          <w:rtl/>
          <w:lang w:eastAsia="he-IL"/>
        </w:rPr>
        <w:t>המשפט</w:t>
      </w:r>
      <w:r>
        <w:rPr>
          <w:rtl/>
          <w:lang w:eastAsia="he-IL"/>
        </w:rPr>
        <w:t xml:space="preserve"> </w:t>
      </w:r>
      <w:r>
        <w:rPr>
          <w:rFonts w:hint="eastAsia"/>
          <w:rtl/>
          <w:lang w:eastAsia="he-IL"/>
        </w:rPr>
        <w:t>לקבוע</w:t>
      </w:r>
      <w:r>
        <w:rPr>
          <w:rtl/>
          <w:lang w:eastAsia="he-IL"/>
        </w:rPr>
        <w:t xml:space="preserve"> </w:t>
      </w:r>
      <w:r>
        <w:rPr>
          <w:rFonts w:hint="eastAsia"/>
          <w:rtl/>
          <w:lang w:eastAsia="he-IL"/>
        </w:rPr>
        <w:t>האם</w:t>
      </w:r>
      <w:r>
        <w:rPr>
          <w:rtl/>
          <w:lang w:eastAsia="he-IL"/>
        </w:rPr>
        <w:t xml:space="preserve"> </w:t>
      </w:r>
      <w:r>
        <w:rPr>
          <w:rFonts w:hint="eastAsia"/>
          <w:rtl/>
          <w:lang w:eastAsia="he-IL"/>
        </w:rPr>
        <w:t>מדובר</w:t>
      </w:r>
      <w:r>
        <w:rPr>
          <w:rtl/>
          <w:lang w:eastAsia="he-IL"/>
        </w:rPr>
        <w:t xml:space="preserve"> </w:t>
      </w:r>
      <w:r>
        <w:rPr>
          <w:rFonts w:hint="eastAsia"/>
          <w:rtl/>
          <w:lang w:eastAsia="he-IL"/>
        </w:rPr>
        <w:t>באירוע</w:t>
      </w:r>
      <w:r>
        <w:rPr>
          <w:rtl/>
          <w:lang w:eastAsia="he-IL"/>
        </w:rPr>
        <w:t xml:space="preserve"> </w:t>
      </w:r>
      <w:r>
        <w:rPr>
          <w:rFonts w:hint="eastAsia"/>
          <w:rtl/>
          <w:lang w:eastAsia="he-IL"/>
        </w:rPr>
        <w:t>אחד</w:t>
      </w:r>
      <w:r>
        <w:rPr>
          <w:rtl/>
          <w:lang w:eastAsia="he-IL"/>
        </w:rPr>
        <w:t xml:space="preserve"> </w:t>
      </w:r>
      <w:r>
        <w:rPr>
          <w:rFonts w:hint="eastAsia"/>
          <w:rtl/>
          <w:lang w:eastAsia="he-IL"/>
        </w:rPr>
        <w:t>או</w:t>
      </w:r>
      <w:r>
        <w:rPr>
          <w:rtl/>
          <w:lang w:eastAsia="he-IL"/>
        </w:rPr>
        <w:t xml:space="preserve"> </w:t>
      </w:r>
      <w:r>
        <w:rPr>
          <w:rFonts w:hint="eastAsia"/>
          <w:rtl/>
          <w:lang w:eastAsia="he-IL"/>
        </w:rPr>
        <w:t>בכמה</w:t>
      </w:r>
      <w:r>
        <w:rPr>
          <w:rtl/>
          <w:lang w:eastAsia="he-IL"/>
        </w:rPr>
        <w:t xml:space="preserve"> </w:t>
      </w:r>
      <w:r>
        <w:rPr>
          <w:rFonts w:hint="eastAsia"/>
          <w:rtl/>
          <w:lang w:eastAsia="he-IL"/>
        </w:rPr>
        <w:t>אירועים</w:t>
      </w:r>
      <w:r>
        <w:rPr>
          <w:rtl/>
          <w:lang w:eastAsia="he-IL"/>
        </w:rPr>
        <w:t xml:space="preserve"> </w:t>
      </w:r>
      <w:r>
        <w:rPr>
          <w:rFonts w:hint="eastAsia"/>
          <w:rtl/>
          <w:lang w:eastAsia="he-IL"/>
        </w:rPr>
        <w:t>נפרדים</w:t>
      </w:r>
      <w:r>
        <w:rPr>
          <w:rFonts w:hint="cs"/>
          <w:rtl/>
          <w:lang w:eastAsia="he-IL"/>
        </w:rPr>
        <w:t xml:space="preserve">. </w:t>
      </w:r>
      <w:r>
        <w:rPr>
          <w:rFonts w:ascii="Arial" w:hAnsi="Arial"/>
          <w:rtl/>
        </w:rPr>
        <w:t xml:space="preserve">תקצר היריעה מלפרט את המבחנים השונים שנקבעו בפסיקה ביחס לשאלה מה ייחשב כמעשה אחד, ומה ייחשב כאירוע אחד וזאת לצורך קביעת מתחם עונש הולם על פי תיקון 113. </w:t>
      </w:r>
      <w:r>
        <w:rPr>
          <w:rFonts w:ascii="Arial" w:hAnsi="Arial" w:hint="cs"/>
          <w:rtl/>
        </w:rPr>
        <w:t xml:space="preserve"> </w:t>
      </w:r>
      <w:r>
        <w:rPr>
          <w:rFonts w:ascii="Arial" w:hAnsi="Arial"/>
          <w:rtl/>
        </w:rPr>
        <w:t xml:space="preserve">בית המשפט העליון נדרש באריכות לסוגיה זו במסגרת </w:t>
      </w:r>
      <w:hyperlink r:id="rId19" w:history="1">
        <w:r w:rsidRPr="004075C2">
          <w:rPr>
            <w:rFonts w:ascii="Arial" w:hAnsi="Arial"/>
            <w:color w:val="0000FF"/>
            <w:u w:val="single"/>
            <w:rtl/>
          </w:rPr>
          <w:t>ע"פ 4910/13</w:t>
        </w:r>
      </w:hyperlink>
      <w:r>
        <w:rPr>
          <w:rFonts w:ascii="Arial" w:hAnsi="Arial"/>
          <w:rtl/>
        </w:rPr>
        <w:t xml:space="preserve"> </w:t>
      </w:r>
      <w:r>
        <w:rPr>
          <w:rFonts w:ascii="Arial" w:hAnsi="Arial"/>
          <w:b/>
          <w:bCs/>
          <w:rtl/>
        </w:rPr>
        <w:t>אחמד ג'אבר נ' מדינת ישראל</w:t>
      </w:r>
      <w:r>
        <w:rPr>
          <w:rFonts w:ascii="Arial" w:hAnsi="Arial"/>
          <w:rtl/>
        </w:rPr>
        <w:t xml:space="preserve">. בסופו של פסק דין זה, מתקבלת בדעת רוב עמדת כב' השופטת ברק-ארז יחד עם דעתו של כב' השופט פוגלמן לפיה, בבואו של בית משפט לקבוע אם מדובר באירוע אחד בגינו יש לקבוע מתחם אחד, אם לאו, יש להחיל את מבחן "ניסיון החיים" ומבחן "הקשר ההדוק". </w:t>
      </w:r>
      <w:r>
        <w:rPr>
          <w:rFonts w:ascii="Arial" w:hAnsi="Arial" w:hint="cs"/>
          <w:rtl/>
        </w:rPr>
        <w:t xml:space="preserve">עוד ראה בהקשר לכך, </w:t>
      </w:r>
      <w:hyperlink r:id="rId20" w:history="1">
        <w:r w:rsidRPr="004075C2">
          <w:rPr>
            <w:rFonts w:ascii="Arial" w:hAnsi="Arial"/>
            <w:color w:val="0000FF"/>
            <w:u w:val="single"/>
            <w:rtl/>
          </w:rPr>
          <w:t>ע"פ 361-04-14</w:t>
        </w:r>
      </w:hyperlink>
      <w:r>
        <w:rPr>
          <w:rFonts w:ascii="Arial" w:hAnsi="Arial" w:hint="cs"/>
          <w:rtl/>
        </w:rPr>
        <w:t xml:space="preserve"> </w:t>
      </w:r>
      <w:r>
        <w:rPr>
          <w:rFonts w:ascii="Arial" w:hAnsi="Arial" w:hint="cs"/>
          <w:b/>
          <w:bCs/>
          <w:rtl/>
        </w:rPr>
        <w:t>גיא פן נ' מ"</w:t>
      </w:r>
      <w:r>
        <w:rPr>
          <w:rFonts w:ascii="Arial" w:hAnsi="Arial" w:hint="cs"/>
          <w:rtl/>
        </w:rPr>
        <w:t xml:space="preserve">י, </w:t>
      </w:r>
      <w:hyperlink r:id="rId21" w:history="1">
        <w:r w:rsidRPr="004075C2">
          <w:rPr>
            <w:rFonts w:ascii="Arial" w:hAnsi="Arial"/>
            <w:color w:val="0000FF"/>
            <w:u w:val="single"/>
            <w:rtl/>
          </w:rPr>
          <w:t>רע"פ 4760/14</w:t>
        </w:r>
      </w:hyperlink>
      <w:r>
        <w:rPr>
          <w:rFonts w:ascii="Arial" w:hAnsi="Arial" w:hint="cs"/>
          <w:rtl/>
        </w:rPr>
        <w:t xml:space="preserve"> </w:t>
      </w:r>
      <w:r>
        <w:rPr>
          <w:rFonts w:ascii="Arial" w:hAnsi="Arial" w:hint="cs"/>
          <w:b/>
          <w:bCs/>
          <w:rtl/>
        </w:rPr>
        <w:t xml:space="preserve">קיסלמן נ' מ"י </w:t>
      </w:r>
      <w:r>
        <w:rPr>
          <w:rFonts w:ascii="Arial" w:hAnsi="Arial" w:hint="cs"/>
          <w:rtl/>
        </w:rPr>
        <w:t>ו</w:t>
      </w:r>
      <w:hyperlink r:id="rId22" w:history="1">
        <w:r w:rsidRPr="004075C2">
          <w:rPr>
            <w:rFonts w:ascii="Arial" w:hAnsi="Arial"/>
            <w:color w:val="0000FF"/>
            <w:u w:val="single"/>
            <w:rtl/>
          </w:rPr>
          <w:t>ע"פ 5643/14</w:t>
        </w:r>
      </w:hyperlink>
      <w:r>
        <w:rPr>
          <w:rFonts w:ascii="Arial" w:hAnsi="Arial" w:hint="cs"/>
          <w:rtl/>
        </w:rPr>
        <w:t xml:space="preserve"> </w:t>
      </w:r>
      <w:r>
        <w:rPr>
          <w:rFonts w:ascii="Arial" w:hAnsi="Arial" w:hint="cs"/>
          <w:b/>
          <w:bCs/>
          <w:rtl/>
        </w:rPr>
        <w:t xml:space="preserve">אחמד עיסא נ' מ"י. </w:t>
      </w:r>
    </w:p>
    <w:p w14:paraId="1FE7D1F4" w14:textId="77777777" w:rsidR="00234B8D" w:rsidRDefault="004075C2">
      <w:pPr>
        <w:spacing w:line="360" w:lineRule="auto"/>
        <w:jc w:val="both"/>
        <w:rPr>
          <w:rFonts w:ascii="Arial" w:hAnsi="Arial"/>
          <w:rtl/>
        </w:rPr>
      </w:pPr>
      <w:r>
        <w:rPr>
          <w:rFonts w:ascii="Arial" w:hAnsi="Arial"/>
          <w:rtl/>
        </w:rPr>
        <w:t xml:space="preserve"> </w:t>
      </w:r>
    </w:p>
    <w:p w14:paraId="1B6E3517" w14:textId="77777777" w:rsidR="00234B8D" w:rsidRDefault="004075C2">
      <w:pPr>
        <w:spacing w:line="360" w:lineRule="auto"/>
        <w:jc w:val="both"/>
        <w:rPr>
          <w:rFonts w:ascii="Arial" w:hAnsi="Arial"/>
          <w:rtl/>
        </w:rPr>
      </w:pPr>
      <w:r>
        <w:rPr>
          <w:rFonts w:ascii="Arial" w:hAnsi="Arial"/>
          <w:rtl/>
        </w:rPr>
        <w:t xml:space="preserve">יישום מבחן זה, יחד עם נתוני התיק שבפניי, הביאוני לכלל מסקנה כי יש לקבוע </w:t>
      </w:r>
      <w:r>
        <w:rPr>
          <w:rFonts w:ascii="Arial" w:hAnsi="Arial" w:hint="cs"/>
          <w:rtl/>
        </w:rPr>
        <w:t>מתחם יחיד למכלול מעשיו של הנאשם וזאת הגם שמדובר בשתי עסקאות בהפרש של כחודש בין אחת לרעותה. מסקנה זו מבוססת בין היתר על כך שבשתי העסקאות מדובר בסחר בסם מסוג חשיש, בכמות ובתמורה דומים על ידי אותו סוכן, ובשיטה דומה. עוד יש לתת את הדעת לכך שברקע שתי אותן עסקאות עומד אותו חוב שחב הסוכן לעבד. כפי שצוין בעניין ג'אבר, ההגדרה לתכנית עבריינית אחת: "</w:t>
      </w:r>
      <w:r>
        <w:rPr>
          <w:rFonts w:ascii="Arial" w:hAnsi="Arial" w:hint="cs"/>
          <w:b/>
          <w:bCs/>
          <w:rtl/>
        </w:rPr>
        <w:t>רחבה דיה כדי לכלול גם פעולות עברייניות שבוצעו על פני רצף זמן, כללו מעשים שונים, ביחס לקרבנות שונים ובמקומות שונים, הכול כל עוד הם מהווים מסכת עבריינית אחת</w:t>
      </w:r>
      <w:r>
        <w:rPr>
          <w:rFonts w:ascii="Arial" w:hAnsi="Arial" w:hint="cs"/>
          <w:rtl/>
        </w:rPr>
        <w:t xml:space="preserve">". ודוק, רף הענישה המקסימאלי הרלוונטי במקרה בו נקבע שמדובר באירוע אחד, יכול ויהיה מורכב מצירוף העונשים שניתן להטיל בגין כל אחד מן המעשים. </w:t>
      </w:r>
    </w:p>
    <w:p w14:paraId="6DF776B7" w14:textId="77777777" w:rsidR="00234B8D" w:rsidRDefault="00234B8D">
      <w:pPr>
        <w:spacing w:line="360" w:lineRule="auto"/>
        <w:jc w:val="both"/>
        <w:rPr>
          <w:rtl/>
          <w:lang w:eastAsia="he-IL"/>
        </w:rPr>
      </w:pPr>
    </w:p>
    <w:p w14:paraId="49922FA2" w14:textId="77777777" w:rsidR="00234B8D" w:rsidRDefault="004075C2">
      <w:pPr>
        <w:spacing w:line="360" w:lineRule="auto"/>
        <w:jc w:val="both"/>
        <w:rPr>
          <w:lang w:eastAsia="he-IL"/>
        </w:rPr>
      </w:pPr>
      <w:r>
        <w:rPr>
          <w:rFonts w:hint="eastAsia"/>
          <w:rtl/>
          <w:lang w:eastAsia="he-IL"/>
        </w:rPr>
        <w:t>על</w:t>
      </w:r>
      <w:r>
        <w:rPr>
          <w:rFonts w:hint="cs"/>
          <w:rtl/>
          <w:lang w:eastAsia="he-IL"/>
        </w:rPr>
        <w:t>-</w:t>
      </w:r>
      <w:r>
        <w:rPr>
          <w:rFonts w:hint="eastAsia"/>
          <w:rtl/>
          <w:lang w:eastAsia="he-IL"/>
        </w:rPr>
        <w:t>פי</w:t>
      </w:r>
      <w:r>
        <w:rPr>
          <w:rtl/>
          <w:lang w:eastAsia="he-IL"/>
        </w:rPr>
        <w:t xml:space="preserve"> </w:t>
      </w:r>
      <w:hyperlink r:id="rId23" w:history="1">
        <w:r w:rsidR="00F74279" w:rsidRPr="00F74279">
          <w:rPr>
            <w:rStyle w:val="Hyperlink"/>
            <w:rFonts w:ascii="David" w:hAnsi="David" w:cs="David"/>
            <w:rtl/>
            <w:lang w:eastAsia="he-IL"/>
          </w:rPr>
          <w:t>סעיף 40ג(א)</w:t>
        </w:r>
      </w:hyperlink>
      <w:r>
        <w:rPr>
          <w:rtl/>
          <w:lang w:eastAsia="he-IL"/>
        </w:rPr>
        <w:t xml:space="preserve"> </w:t>
      </w:r>
      <w:r>
        <w:rPr>
          <w:rFonts w:hint="eastAsia"/>
          <w:rtl/>
          <w:lang w:eastAsia="he-IL"/>
        </w:rPr>
        <w:t>ל</w:t>
      </w:r>
      <w:hyperlink r:id="rId24" w:history="1">
        <w:r w:rsidRPr="004075C2">
          <w:rPr>
            <w:color w:val="0000FF"/>
            <w:u w:val="single"/>
            <w:rtl/>
            <w:lang w:eastAsia="he-IL"/>
          </w:rPr>
          <w:t>חוק העונשין</w:t>
        </w:r>
      </w:hyperlink>
      <w:r>
        <w:rPr>
          <w:rtl/>
          <w:lang w:eastAsia="he-IL"/>
        </w:rPr>
        <w:t xml:space="preserve">, </w:t>
      </w:r>
      <w:r>
        <w:rPr>
          <w:rFonts w:hint="eastAsia"/>
          <w:rtl/>
          <w:lang w:eastAsia="he-IL"/>
        </w:rPr>
        <w:t>בקביעת</w:t>
      </w:r>
      <w:r>
        <w:rPr>
          <w:rtl/>
          <w:lang w:eastAsia="he-IL"/>
        </w:rPr>
        <w:t xml:space="preserve"> </w:t>
      </w:r>
      <w:r>
        <w:rPr>
          <w:rFonts w:hint="eastAsia"/>
          <w:rtl/>
          <w:lang w:eastAsia="he-IL"/>
        </w:rPr>
        <w:t>מתחם</w:t>
      </w:r>
      <w:r>
        <w:rPr>
          <w:rtl/>
          <w:lang w:eastAsia="he-IL"/>
        </w:rPr>
        <w:t xml:space="preserve"> </w:t>
      </w:r>
      <w:r>
        <w:rPr>
          <w:rFonts w:hint="eastAsia"/>
          <w:rtl/>
          <w:lang w:eastAsia="he-IL"/>
        </w:rPr>
        <w:t>העונש</w:t>
      </w:r>
      <w:r>
        <w:rPr>
          <w:rtl/>
          <w:lang w:eastAsia="he-IL"/>
        </w:rPr>
        <w:t xml:space="preserve"> </w:t>
      </w:r>
      <w:r>
        <w:rPr>
          <w:rFonts w:hint="eastAsia"/>
          <w:rtl/>
          <w:lang w:eastAsia="he-IL"/>
        </w:rPr>
        <w:t>בהתאם</w:t>
      </w:r>
      <w:r>
        <w:rPr>
          <w:rtl/>
          <w:lang w:eastAsia="he-IL"/>
        </w:rPr>
        <w:t xml:space="preserve"> </w:t>
      </w:r>
      <w:r>
        <w:rPr>
          <w:rFonts w:hint="eastAsia"/>
          <w:rtl/>
          <w:lang w:eastAsia="he-IL"/>
        </w:rPr>
        <w:t>לעקרון</w:t>
      </w:r>
      <w:r>
        <w:rPr>
          <w:rtl/>
          <w:lang w:eastAsia="he-IL"/>
        </w:rPr>
        <w:t xml:space="preserve"> </w:t>
      </w:r>
      <w:r>
        <w:rPr>
          <w:rFonts w:hint="eastAsia"/>
          <w:rtl/>
          <w:lang w:eastAsia="he-IL"/>
        </w:rPr>
        <w:t>ההלימה</w:t>
      </w:r>
      <w:r>
        <w:rPr>
          <w:rtl/>
          <w:lang w:eastAsia="he-IL"/>
        </w:rPr>
        <w:t xml:space="preserve">, </w:t>
      </w:r>
      <w:r>
        <w:rPr>
          <w:rFonts w:hint="eastAsia"/>
          <w:rtl/>
          <w:lang w:eastAsia="he-IL"/>
        </w:rPr>
        <w:t>על</w:t>
      </w:r>
      <w:r>
        <w:rPr>
          <w:rtl/>
          <w:lang w:eastAsia="he-IL"/>
        </w:rPr>
        <w:t xml:space="preserve"> </w:t>
      </w:r>
      <w:r>
        <w:rPr>
          <w:rFonts w:hint="eastAsia"/>
          <w:rtl/>
          <w:lang w:eastAsia="he-IL"/>
        </w:rPr>
        <w:t>בית</w:t>
      </w:r>
      <w:r>
        <w:rPr>
          <w:rtl/>
          <w:lang w:eastAsia="he-IL"/>
        </w:rPr>
        <w:t xml:space="preserve"> </w:t>
      </w:r>
      <w:r>
        <w:rPr>
          <w:rFonts w:hint="eastAsia"/>
          <w:rtl/>
          <w:lang w:eastAsia="he-IL"/>
        </w:rPr>
        <w:t>המשפט</w:t>
      </w:r>
      <w:r>
        <w:rPr>
          <w:rtl/>
          <w:lang w:eastAsia="he-IL"/>
        </w:rPr>
        <w:t xml:space="preserve"> </w:t>
      </w:r>
      <w:r>
        <w:rPr>
          <w:rFonts w:hint="eastAsia"/>
          <w:rtl/>
          <w:lang w:eastAsia="he-IL"/>
        </w:rPr>
        <w:t>להתחשב</w:t>
      </w:r>
      <w:r>
        <w:rPr>
          <w:rtl/>
          <w:lang w:eastAsia="he-IL"/>
        </w:rPr>
        <w:t xml:space="preserve"> "</w:t>
      </w:r>
      <w:r>
        <w:rPr>
          <w:rFonts w:hint="eastAsia"/>
          <w:b/>
          <w:bCs/>
          <w:rtl/>
          <w:lang w:eastAsia="he-IL"/>
        </w:rPr>
        <w:t>בערך</w:t>
      </w:r>
      <w:r>
        <w:rPr>
          <w:b/>
          <w:bCs/>
          <w:rtl/>
          <w:lang w:eastAsia="he-IL"/>
        </w:rPr>
        <w:t xml:space="preserve"> </w:t>
      </w:r>
      <w:r>
        <w:rPr>
          <w:rFonts w:hint="eastAsia"/>
          <w:b/>
          <w:bCs/>
          <w:rtl/>
          <w:lang w:eastAsia="he-IL"/>
        </w:rPr>
        <w:t>החברתי</w:t>
      </w:r>
      <w:r>
        <w:rPr>
          <w:b/>
          <w:bCs/>
          <w:rtl/>
          <w:lang w:eastAsia="he-IL"/>
        </w:rPr>
        <w:t xml:space="preserve"> </w:t>
      </w:r>
      <w:r>
        <w:rPr>
          <w:rFonts w:hint="eastAsia"/>
          <w:b/>
          <w:bCs/>
          <w:rtl/>
          <w:lang w:eastAsia="he-IL"/>
        </w:rPr>
        <w:t>שנפגע</w:t>
      </w:r>
      <w:r>
        <w:rPr>
          <w:b/>
          <w:bCs/>
          <w:rtl/>
          <w:lang w:eastAsia="he-IL"/>
        </w:rPr>
        <w:t xml:space="preserve"> </w:t>
      </w:r>
      <w:r>
        <w:rPr>
          <w:rFonts w:hint="eastAsia"/>
          <w:b/>
          <w:bCs/>
          <w:rtl/>
          <w:lang w:eastAsia="he-IL"/>
        </w:rPr>
        <w:t>מביצוע</w:t>
      </w:r>
      <w:r>
        <w:rPr>
          <w:b/>
          <w:bCs/>
          <w:rtl/>
          <w:lang w:eastAsia="he-IL"/>
        </w:rPr>
        <w:t xml:space="preserve"> </w:t>
      </w:r>
      <w:r>
        <w:rPr>
          <w:rFonts w:hint="eastAsia"/>
          <w:b/>
          <w:bCs/>
          <w:rtl/>
          <w:lang w:eastAsia="he-IL"/>
        </w:rPr>
        <w:t>העבירה</w:t>
      </w:r>
      <w:r>
        <w:rPr>
          <w:b/>
          <w:bCs/>
          <w:rtl/>
          <w:lang w:eastAsia="he-IL"/>
        </w:rPr>
        <w:t xml:space="preserve">, </w:t>
      </w:r>
      <w:r>
        <w:rPr>
          <w:rFonts w:hint="eastAsia"/>
          <w:b/>
          <w:bCs/>
          <w:rtl/>
          <w:lang w:eastAsia="he-IL"/>
        </w:rPr>
        <w:t>במידת</w:t>
      </w:r>
      <w:r>
        <w:rPr>
          <w:b/>
          <w:bCs/>
          <w:rtl/>
          <w:lang w:eastAsia="he-IL"/>
        </w:rPr>
        <w:t xml:space="preserve"> </w:t>
      </w:r>
      <w:r>
        <w:rPr>
          <w:rFonts w:hint="eastAsia"/>
          <w:b/>
          <w:bCs/>
          <w:rtl/>
          <w:lang w:eastAsia="he-IL"/>
        </w:rPr>
        <w:t>הפגיעה</w:t>
      </w:r>
      <w:r>
        <w:rPr>
          <w:b/>
          <w:bCs/>
          <w:rtl/>
          <w:lang w:eastAsia="he-IL"/>
        </w:rPr>
        <w:t xml:space="preserve"> </w:t>
      </w:r>
      <w:r>
        <w:rPr>
          <w:rFonts w:hint="eastAsia"/>
          <w:b/>
          <w:bCs/>
          <w:rtl/>
          <w:lang w:eastAsia="he-IL"/>
        </w:rPr>
        <w:t>בו</w:t>
      </w:r>
      <w:r>
        <w:rPr>
          <w:b/>
          <w:bCs/>
          <w:rtl/>
          <w:lang w:eastAsia="he-IL"/>
        </w:rPr>
        <w:t xml:space="preserve">, </w:t>
      </w:r>
      <w:r>
        <w:rPr>
          <w:rFonts w:hint="eastAsia"/>
          <w:b/>
          <w:bCs/>
          <w:rtl/>
          <w:lang w:eastAsia="he-IL"/>
        </w:rPr>
        <w:t>במדיניות</w:t>
      </w:r>
      <w:r>
        <w:rPr>
          <w:b/>
          <w:bCs/>
          <w:rtl/>
          <w:lang w:eastAsia="he-IL"/>
        </w:rPr>
        <w:t xml:space="preserve"> </w:t>
      </w:r>
      <w:r>
        <w:rPr>
          <w:rFonts w:hint="eastAsia"/>
          <w:b/>
          <w:bCs/>
          <w:rtl/>
          <w:lang w:eastAsia="he-IL"/>
        </w:rPr>
        <w:t>הענישה</w:t>
      </w:r>
      <w:r>
        <w:rPr>
          <w:b/>
          <w:bCs/>
          <w:rtl/>
          <w:lang w:eastAsia="he-IL"/>
        </w:rPr>
        <w:t xml:space="preserve"> </w:t>
      </w:r>
      <w:r>
        <w:rPr>
          <w:rFonts w:hint="eastAsia"/>
          <w:b/>
          <w:bCs/>
          <w:rtl/>
          <w:lang w:eastAsia="he-IL"/>
        </w:rPr>
        <w:t>הנהוגה</w:t>
      </w:r>
      <w:r>
        <w:rPr>
          <w:b/>
          <w:bCs/>
          <w:rtl/>
          <w:lang w:eastAsia="he-IL"/>
        </w:rPr>
        <w:t xml:space="preserve"> </w:t>
      </w:r>
      <w:r>
        <w:rPr>
          <w:rFonts w:hint="eastAsia"/>
          <w:b/>
          <w:bCs/>
          <w:rtl/>
          <w:lang w:eastAsia="he-IL"/>
        </w:rPr>
        <w:t>ובנסיבות</w:t>
      </w:r>
      <w:r>
        <w:rPr>
          <w:b/>
          <w:bCs/>
          <w:rtl/>
          <w:lang w:eastAsia="he-IL"/>
        </w:rPr>
        <w:t xml:space="preserve"> </w:t>
      </w:r>
      <w:r>
        <w:rPr>
          <w:rFonts w:hint="eastAsia"/>
          <w:b/>
          <w:bCs/>
          <w:rtl/>
          <w:lang w:eastAsia="he-IL"/>
        </w:rPr>
        <w:t>הקשורות</w:t>
      </w:r>
      <w:r>
        <w:rPr>
          <w:b/>
          <w:bCs/>
          <w:rtl/>
          <w:lang w:eastAsia="he-IL"/>
        </w:rPr>
        <w:t xml:space="preserve"> </w:t>
      </w:r>
      <w:r>
        <w:rPr>
          <w:rFonts w:hint="eastAsia"/>
          <w:b/>
          <w:bCs/>
          <w:rtl/>
          <w:lang w:eastAsia="he-IL"/>
        </w:rPr>
        <w:t>בביצוע</w:t>
      </w:r>
      <w:r>
        <w:rPr>
          <w:b/>
          <w:bCs/>
          <w:rtl/>
          <w:lang w:eastAsia="he-IL"/>
        </w:rPr>
        <w:t xml:space="preserve"> </w:t>
      </w:r>
      <w:r>
        <w:rPr>
          <w:rFonts w:hint="eastAsia"/>
          <w:b/>
          <w:bCs/>
          <w:rtl/>
          <w:lang w:eastAsia="he-IL"/>
        </w:rPr>
        <w:t>העבירה</w:t>
      </w:r>
      <w:r>
        <w:rPr>
          <w:rtl/>
          <w:lang w:eastAsia="he-IL"/>
        </w:rPr>
        <w:t>".</w:t>
      </w:r>
    </w:p>
    <w:p w14:paraId="083A3C16" w14:textId="77777777" w:rsidR="00234B8D" w:rsidRDefault="00234B8D">
      <w:pPr>
        <w:spacing w:line="360" w:lineRule="auto"/>
        <w:jc w:val="both"/>
        <w:rPr>
          <w:rtl/>
          <w:lang w:eastAsia="he-IL"/>
        </w:rPr>
      </w:pPr>
    </w:p>
    <w:p w14:paraId="3D1FD07D" w14:textId="77777777" w:rsidR="00234B8D" w:rsidRDefault="004075C2">
      <w:pPr>
        <w:spacing w:line="360" w:lineRule="auto"/>
        <w:jc w:val="both"/>
        <w:rPr>
          <w:b/>
          <w:bCs/>
          <w:lang w:eastAsia="he-IL"/>
        </w:rPr>
      </w:pPr>
      <w:r>
        <w:rPr>
          <w:rFonts w:hint="eastAsia"/>
          <w:rtl/>
          <w:lang w:eastAsia="he-IL"/>
        </w:rPr>
        <w:t>הערך</w:t>
      </w:r>
      <w:r>
        <w:rPr>
          <w:rtl/>
          <w:lang w:eastAsia="he-IL"/>
        </w:rPr>
        <w:t xml:space="preserve"> </w:t>
      </w:r>
      <w:r>
        <w:rPr>
          <w:rFonts w:hint="eastAsia"/>
          <w:rtl/>
          <w:lang w:eastAsia="he-IL"/>
        </w:rPr>
        <w:t>החברתי</w:t>
      </w:r>
      <w:r>
        <w:rPr>
          <w:rtl/>
          <w:lang w:eastAsia="he-IL"/>
        </w:rPr>
        <w:t xml:space="preserve"> </w:t>
      </w:r>
      <w:r>
        <w:rPr>
          <w:rFonts w:hint="eastAsia"/>
          <w:rtl/>
          <w:lang w:eastAsia="he-IL"/>
        </w:rPr>
        <w:t>המוגן</w:t>
      </w:r>
      <w:r>
        <w:rPr>
          <w:rtl/>
          <w:lang w:eastAsia="he-IL"/>
        </w:rPr>
        <w:t xml:space="preserve"> </w:t>
      </w:r>
      <w:r>
        <w:rPr>
          <w:rFonts w:hint="eastAsia"/>
          <w:rtl/>
          <w:lang w:eastAsia="he-IL"/>
        </w:rPr>
        <w:t>העומד</w:t>
      </w:r>
      <w:r>
        <w:rPr>
          <w:rtl/>
          <w:lang w:eastAsia="he-IL"/>
        </w:rPr>
        <w:t xml:space="preserve"> </w:t>
      </w:r>
      <w:r>
        <w:rPr>
          <w:rFonts w:hint="eastAsia"/>
          <w:rtl/>
          <w:lang w:eastAsia="he-IL"/>
        </w:rPr>
        <w:t>בבסיס</w:t>
      </w:r>
      <w:r>
        <w:rPr>
          <w:rtl/>
          <w:lang w:eastAsia="he-IL"/>
        </w:rPr>
        <w:t xml:space="preserve"> </w:t>
      </w:r>
      <w:r>
        <w:rPr>
          <w:rFonts w:hint="eastAsia"/>
          <w:rtl/>
          <w:lang w:eastAsia="he-IL"/>
        </w:rPr>
        <w:t>עבירות</w:t>
      </w:r>
      <w:r>
        <w:rPr>
          <w:rtl/>
          <w:lang w:eastAsia="he-IL"/>
        </w:rPr>
        <w:t xml:space="preserve"> </w:t>
      </w:r>
      <w:r>
        <w:rPr>
          <w:rFonts w:hint="eastAsia"/>
          <w:rtl/>
          <w:lang w:eastAsia="he-IL"/>
        </w:rPr>
        <w:t>הסמים</w:t>
      </w:r>
      <w:r>
        <w:rPr>
          <w:rtl/>
          <w:lang w:eastAsia="he-IL"/>
        </w:rPr>
        <w:t xml:space="preserve"> </w:t>
      </w:r>
      <w:r>
        <w:rPr>
          <w:rFonts w:hint="eastAsia"/>
          <w:rtl/>
          <w:lang w:eastAsia="he-IL"/>
        </w:rPr>
        <w:t>הינו</w:t>
      </w:r>
      <w:r>
        <w:rPr>
          <w:rtl/>
          <w:lang w:eastAsia="he-IL"/>
        </w:rPr>
        <w:t xml:space="preserve"> </w:t>
      </w:r>
      <w:r>
        <w:rPr>
          <w:rFonts w:hint="eastAsia"/>
          <w:rtl/>
          <w:lang w:eastAsia="he-IL"/>
        </w:rPr>
        <w:t>בראש</w:t>
      </w:r>
      <w:r>
        <w:rPr>
          <w:rtl/>
          <w:lang w:eastAsia="he-IL"/>
        </w:rPr>
        <w:t xml:space="preserve"> </w:t>
      </w:r>
      <w:r>
        <w:rPr>
          <w:rFonts w:hint="eastAsia"/>
          <w:rtl/>
          <w:lang w:eastAsia="he-IL"/>
        </w:rPr>
        <w:t>ובראשונה</w:t>
      </w:r>
      <w:r>
        <w:rPr>
          <w:rtl/>
          <w:lang w:eastAsia="he-IL"/>
        </w:rPr>
        <w:t xml:space="preserve"> </w:t>
      </w:r>
      <w:r>
        <w:rPr>
          <w:rFonts w:hint="eastAsia"/>
          <w:rtl/>
          <w:lang w:eastAsia="he-IL"/>
        </w:rPr>
        <w:t>בריאות</w:t>
      </w:r>
      <w:r>
        <w:rPr>
          <w:rtl/>
          <w:lang w:eastAsia="he-IL"/>
        </w:rPr>
        <w:t xml:space="preserve"> </w:t>
      </w:r>
      <w:r>
        <w:rPr>
          <w:rFonts w:hint="eastAsia"/>
          <w:rtl/>
          <w:lang w:eastAsia="he-IL"/>
        </w:rPr>
        <w:t>הציבור</w:t>
      </w:r>
      <w:r>
        <w:rPr>
          <w:rtl/>
          <w:lang w:eastAsia="he-IL"/>
        </w:rPr>
        <w:t xml:space="preserve">. </w:t>
      </w:r>
      <w:r>
        <w:rPr>
          <w:rFonts w:hint="eastAsia"/>
          <w:rtl/>
          <w:lang w:eastAsia="he-IL"/>
        </w:rPr>
        <w:t>בתי</w:t>
      </w:r>
      <w:r>
        <w:rPr>
          <w:rtl/>
          <w:lang w:eastAsia="he-IL"/>
        </w:rPr>
        <w:t xml:space="preserve"> </w:t>
      </w:r>
      <w:r>
        <w:rPr>
          <w:rFonts w:hint="eastAsia"/>
          <w:rtl/>
          <w:lang w:eastAsia="he-IL"/>
        </w:rPr>
        <w:t>המשפט</w:t>
      </w:r>
      <w:r>
        <w:rPr>
          <w:rtl/>
          <w:lang w:eastAsia="he-IL"/>
        </w:rPr>
        <w:t xml:space="preserve"> </w:t>
      </w:r>
      <w:r>
        <w:rPr>
          <w:rFonts w:hint="eastAsia"/>
          <w:rtl/>
          <w:lang w:eastAsia="he-IL"/>
        </w:rPr>
        <w:t>חזרו</w:t>
      </w:r>
      <w:r>
        <w:rPr>
          <w:rtl/>
          <w:lang w:eastAsia="he-IL"/>
        </w:rPr>
        <w:t xml:space="preserve"> </w:t>
      </w:r>
      <w:r>
        <w:rPr>
          <w:rFonts w:hint="eastAsia"/>
          <w:rtl/>
          <w:lang w:eastAsia="he-IL"/>
        </w:rPr>
        <w:t>רבות</w:t>
      </w:r>
      <w:r>
        <w:rPr>
          <w:rtl/>
          <w:lang w:eastAsia="he-IL"/>
        </w:rPr>
        <w:t xml:space="preserve"> </w:t>
      </w:r>
      <w:r>
        <w:rPr>
          <w:rFonts w:hint="eastAsia"/>
          <w:rtl/>
          <w:lang w:eastAsia="he-IL"/>
        </w:rPr>
        <w:t>על</w:t>
      </w:r>
      <w:r>
        <w:rPr>
          <w:rtl/>
          <w:lang w:eastAsia="he-IL"/>
        </w:rPr>
        <w:t xml:space="preserve"> </w:t>
      </w:r>
      <w:r>
        <w:rPr>
          <w:rFonts w:hint="eastAsia"/>
          <w:rtl/>
          <w:lang w:eastAsia="he-IL"/>
        </w:rPr>
        <w:t>הצורך</w:t>
      </w:r>
      <w:r>
        <w:rPr>
          <w:rtl/>
          <w:lang w:eastAsia="he-IL"/>
        </w:rPr>
        <w:t xml:space="preserve"> </w:t>
      </w:r>
      <w:r>
        <w:rPr>
          <w:rFonts w:hint="eastAsia"/>
          <w:rtl/>
          <w:lang w:eastAsia="he-IL"/>
        </w:rPr>
        <w:t>במיגור</w:t>
      </w:r>
      <w:r>
        <w:rPr>
          <w:rtl/>
          <w:lang w:eastAsia="he-IL"/>
        </w:rPr>
        <w:t xml:space="preserve"> </w:t>
      </w:r>
      <w:r>
        <w:rPr>
          <w:rFonts w:hint="eastAsia"/>
          <w:rtl/>
          <w:lang w:eastAsia="he-IL"/>
        </w:rPr>
        <w:t>עבירות</w:t>
      </w:r>
      <w:r>
        <w:rPr>
          <w:rtl/>
          <w:lang w:eastAsia="he-IL"/>
        </w:rPr>
        <w:t xml:space="preserve"> </w:t>
      </w:r>
      <w:r>
        <w:rPr>
          <w:rFonts w:hint="eastAsia"/>
          <w:rtl/>
          <w:lang w:eastAsia="he-IL"/>
        </w:rPr>
        <w:t>אלו</w:t>
      </w:r>
      <w:r>
        <w:rPr>
          <w:rtl/>
          <w:lang w:eastAsia="he-IL"/>
        </w:rPr>
        <w:t xml:space="preserve"> </w:t>
      </w:r>
      <w:r>
        <w:rPr>
          <w:rFonts w:hint="eastAsia"/>
          <w:rtl/>
          <w:lang w:eastAsia="he-IL"/>
        </w:rPr>
        <w:t>וזאת</w:t>
      </w:r>
      <w:r>
        <w:rPr>
          <w:rtl/>
          <w:lang w:eastAsia="he-IL"/>
        </w:rPr>
        <w:t xml:space="preserve"> </w:t>
      </w:r>
      <w:r>
        <w:rPr>
          <w:rFonts w:hint="eastAsia"/>
          <w:rtl/>
          <w:lang w:eastAsia="he-IL"/>
        </w:rPr>
        <w:t>בכל</w:t>
      </w:r>
      <w:r>
        <w:rPr>
          <w:rtl/>
          <w:lang w:eastAsia="he-IL"/>
        </w:rPr>
        <w:t xml:space="preserve"> </w:t>
      </w:r>
      <w:r>
        <w:rPr>
          <w:rFonts w:hint="eastAsia"/>
          <w:rtl/>
          <w:lang w:eastAsia="he-IL"/>
        </w:rPr>
        <w:t>שלבי</w:t>
      </w:r>
      <w:r>
        <w:rPr>
          <w:rtl/>
          <w:lang w:eastAsia="he-IL"/>
        </w:rPr>
        <w:t xml:space="preserve"> </w:t>
      </w:r>
      <w:r>
        <w:rPr>
          <w:rFonts w:hint="eastAsia"/>
          <w:rtl/>
          <w:lang w:eastAsia="he-IL"/>
        </w:rPr>
        <w:t>מערך</w:t>
      </w:r>
      <w:r>
        <w:rPr>
          <w:rtl/>
          <w:lang w:eastAsia="he-IL"/>
        </w:rPr>
        <w:t xml:space="preserve"> </w:t>
      </w:r>
      <w:r>
        <w:rPr>
          <w:rFonts w:hint="eastAsia"/>
          <w:rtl/>
          <w:lang w:eastAsia="he-IL"/>
        </w:rPr>
        <w:t>הפצת</w:t>
      </w:r>
      <w:r>
        <w:rPr>
          <w:rtl/>
          <w:lang w:eastAsia="he-IL"/>
        </w:rPr>
        <w:t xml:space="preserve"> </w:t>
      </w:r>
      <w:r>
        <w:rPr>
          <w:rFonts w:hint="eastAsia"/>
          <w:rtl/>
          <w:lang w:eastAsia="he-IL"/>
        </w:rPr>
        <w:t>הסם</w:t>
      </w:r>
      <w:r>
        <w:rPr>
          <w:rtl/>
          <w:lang w:eastAsia="he-IL"/>
        </w:rPr>
        <w:t xml:space="preserve">, </w:t>
      </w:r>
      <w:r>
        <w:rPr>
          <w:rFonts w:hint="eastAsia"/>
          <w:rtl/>
          <w:lang w:eastAsia="he-IL"/>
        </w:rPr>
        <w:t>החל</w:t>
      </w:r>
      <w:r>
        <w:rPr>
          <w:rtl/>
          <w:lang w:eastAsia="he-IL"/>
        </w:rPr>
        <w:t xml:space="preserve"> </w:t>
      </w:r>
      <w:r>
        <w:rPr>
          <w:rFonts w:hint="eastAsia"/>
          <w:rtl/>
          <w:lang w:eastAsia="he-IL"/>
        </w:rPr>
        <w:t>בשימוש</w:t>
      </w:r>
      <w:r>
        <w:rPr>
          <w:rtl/>
          <w:lang w:eastAsia="he-IL"/>
        </w:rPr>
        <w:t xml:space="preserve"> </w:t>
      </w:r>
      <w:r>
        <w:rPr>
          <w:rFonts w:hint="eastAsia"/>
          <w:rtl/>
          <w:lang w:eastAsia="he-IL"/>
        </w:rPr>
        <w:t>עצמי</w:t>
      </w:r>
      <w:r>
        <w:rPr>
          <w:rtl/>
          <w:lang w:eastAsia="he-IL"/>
        </w:rPr>
        <w:t xml:space="preserve"> </w:t>
      </w:r>
      <w:r>
        <w:rPr>
          <w:rFonts w:hint="eastAsia"/>
          <w:rtl/>
          <w:lang w:eastAsia="he-IL"/>
        </w:rPr>
        <w:t>וכלה</w:t>
      </w:r>
      <w:r>
        <w:rPr>
          <w:rtl/>
          <w:lang w:eastAsia="he-IL"/>
        </w:rPr>
        <w:t xml:space="preserve"> </w:t>
      </w:r>
      <w:r>
        <w:rPr>
          <w:rFonts w:hint="eastAsia"/>
          <w:rtl/>
          <w:lang w:eastAsia="he-IL"/>
        </w:rPr>
        <w:t>בעבירות</w:t>
      </w:r>
      <w:r>
        <w:rPr>
          <w:rtl/>
          <w:lang w:eastAsia="he-IL"/>
        </w:rPr>
        <w:t xml:space="preserve"> </w:t>
      </w:r>
      <w:r>
        <w:rPr>
          <w:rFonts w:hint="eastAsia"/>
          <w:rtl/>
          <w:lang w:eastAsia="he-IL"/>
        </w:rPr>
        <w:t>הסחר</w:t>
      </w:r>
      <w:r>
        <w:rPr>
          <w:rtl/>
          <w:lang w:eastAsia="he-IL"/>
        </w:rPr>
        <w:t xml:space="preserve"> </w:t>
      </w:r>
      <w:r>
        <w:rPr>
          <w:rFonts w:hint="eastAsia"/>
          <w:rtl/>
          <w:lang w:eastAsia="he-IL"/>
        </w:rPr>
        <w:t>החמורות</w:t>
      </w:r>
      <w:r>
        <w:rPr>
          <w:rtl/>
          <w:lang w:eastAsia="he-IL"/>
        </w:rPr>
        <w:t xml:space="preserve">. </w:t>
      </w:r>
      <w:r>
        <w:rPr>
          <w:rFonts w:hint="eastAsia"/>
          <w:rtl/>
          <w:lang w:eastAsia="he-IL"/>
        </w:rPr>
        <w:t>עבירות</w:t>
      </w:r>
      <w:r>
        <w:rPr>
          <w:rtl/>
          <w:lang w:eastAsia="he-IL"/>
        </w:rPr>
        <w:t xml:space="preserve"> </w:t>
      </w:r>
      <w:r>
        <w:rPr>
          <w:rFonts w:hint="eastAsia"/>
          <w:rtl/>
          <w:lang w:eastAsia="he-IL"/>
        </w:rPr>
        <w:t>אלו</w:t>
      </w:r>
      <w:r>
        <w:rPr>
          <w:rtl/>
          <w:lang w:eastAsia="he-IL"/>
        </w:rPr>
        <w:t xml:space="preserve"> </w:t>
      </w:r>
      <w:r>
        <w:rPr>
          <w:rFonts w:hint="eastAsia"/>
          <w:rtl/>
          <w:lang w:eastAsia="he-IL"/>
        </w:rPr>
        <w:t>לרוב</w:t>
      </w:r>
      <w:r>
        <w:rPr>
          <w:rtl/>
          <w:lang w:eastAsia="he-IL"/>
        </w:rPr>
        <w:t xml:space="preserve"> </w:t>
      </w:r>
      <w:r>
        <w:rPr>
          <w:rFonts w:hint="eastAsia"/>
          <w:rtl/>
          <w:lang w:eastAsia="he-IL"/>
        </w:rPr>
        <w:t>מלוות</w:t>
      </w:r>
      <w:r>
        <w:rPr>
          <w:rtl/>
          <w:lang w:eastAsia="he-IL"/>
        </w:rPr>
        <w:t xml:space="preserve"> </w:t>
      </w:r>
      <w:r>
        <w:rPr>
          <w:rFonts w:hint="eastAsia"/>
          <w:rtl/>
          <w:lang w:eastAsia="he-IL"/>
        </w:rPr>
        <w:t>ואף</w:t>
      </w:r>
      <w:r>
        <w:rPr>
          <w:rtl/>
          <w:lang w:eastAsia="he-IL"/>
        </w:rPr>
        <w:t xml:space="preserve"> </w:t>
      </w:r>
      <w:r>
        <w:rPr>
          <w:rFonts w:hint="eastAsia"/>
          <w:rtl/>
          <w:lang w:eastAsia="he-IL"/>
        </w:rPr>
        <w:t>יוצרות</w:t>
      </w:r>
      <w:r>
        <w:rPr>
          <w:rtl/>
          <w:lang w:eastAsia="he-IL"/>
        </w:rPr>
        <w:t xml:space="preserve"> </w:t>
      </w:r>
      <w:r>
        <w:rPr>
          <w:rFonts w:hint="eastAsia"/>
          <w:rtl/>
          <w:lang w:eastAsia="he-IL"/>
        </w:rPr>
        <w:t>עבירות</w:t>
      </w:r>
      <w:r>
        <w:rPr>
          <w:rtl/>
          <w:lang w:eastAsia="he-IL"/>
        </w:rPr>
        <w:t xml:space="preserve"> </w:t>
      </w:r>
      <w:r>
        <w:rPr>
          <w:rFonts w:hint="eastAsia"/>
          <w:rtl/>
          <w:lang w:eastAsia="he-IL"/>
        </w:rPr>
        <w:t>נוספות</w:t>
      </w:r>
      <w:r>
        <w:rPr>
          <w:rtl/>
          <w:lang w:eastAsia="he-IL"/>
        </w:rPr>
        <w:t xml:space="preserve"> </w:t>
      </w:r>
      <w:r>
        <w:rPr>
          <w:rFonts w:hint="eastAsia"/>
          <w:rtl/>
          <w:lang w:eastAsia="he-IL"/>
        </w:rPr>
        <w:t>וזאת</w:t>
      </w:r>
      <w:r>
        <w:rPr>
          <w:rtl/>
          <w:lang w:eastAsia="he-IL"/>
        </w:rPr>
        <w:t xml:space="preserve"> </w:t>
      </w:r>
      <w:r>
        <w:rPr>
          <w:rFonts w:hint="eastAsia"/>
          <w:rtl/>
          <w:lang w:eastAsia="he-IL"/>
        </w:rPr>
        <w:t>בשל</w:t>
      </w:r>
      <w:r>
        <w:rPr>
          <w:rtl/>
          <w:lang w:eastAsia="he-IL"/>
        </w:rPr>
        <w:t xml:space="preserve"> </w:t>
      </w:r>
      <w:r>
        <w:rPr>
          <w:rFonts w:hint="eastAsia"/>
          <w:rtl/>
          <w:lang w:eastAsia="he-IL"/>
        </w:rPr>
        <w:t>הצורך</w:t>
      </w:r>
      <w:r>
        <w:rPr>
          <w:rtl/>
          <w:lang w:eastAsia="he-IL"/>
        </w:rPr>
        <w:t xml:space="preserve"> </w:t>
      </w:r>
      <w:r>
        <w:rPr>
          <w:rFonts w:hint="eastAsia"/>
          <w:rtl/>
          <w:lang w:eastAsia="he-IL"/>
        </w:rPr>
        <w:t>העז</w:t>
      </w:r>
      <w:r>
        <w:rPr>
          <w:rtl/>
          <w:lang w:eastAsia="he-IL"/>
        </w:rPr>
        <w:t xml:space="preserve"> </w:t>
      </w:r>
      <w:r>
        <w:rPr>
          <w:rFonts w:hint="eastAsia"/>
          <w:rtl/>
          <w:lang w:eastAsia="he-IL"/>
        </w:rPr>
        <w:t>והבלתי</w:t>
      </w:r>
      <w:r>
        <w:rPr>
          <w:rtl/>
          <w:lang w:eastAsia="he-IL"/>
        </w:rPr>
        <w:t xml:space="preserve"> </w:t>
      </w:r>
      <w:r>
        <w:rPr>
          <w:rFonts w:hint="eastAsia"/>
          <w:rtl/>
          <w:lang w:eastAsia="he-IL"/>
        </w:rPr>
        <w:t>נשלט</w:t>
      </w:r>
      <w:r>
        <w:rPr>
          <w:rtl/>
          <w:lang w:eastAsia="he-IL"/>
        </w:rPr>
        <w:t xml:space="preserve">, </w:t>
      </w:r>
      <w:r>
        <w:rPr>
          <w:rFonts w:hint="eastAsia"/>
          <w:rtl/>
          <w:lang w:eastAsia="he-IL"/>
        </w:rPr>
        <w:t>למצער</w:t>
      </w:r>
      <w:r>
        <w:rPr>
          <w:rtl/>
          <w:lang w:eastAsia="he-IL"/>
        </w:rPr>
        <w:t xml:space="preserve">, </w:t>
      </w:r>
      <w:r>
        <w:rPr>
          <w:rFonts w:hint="eastAsia"/>
          <w:rtl/>
          <w:lang w:eastAsia="he-IL"/>
        </w:rPr>
        <w:t>להשיג</w:t>
      </w:r>
      <w:r>
        <w:rPr>
          <w:rtl/>
          <w:lang w:eastAsia="he-IL"/>
        </w:rPr>
        <w:t xml:space="preserve"> </w:t>
      </w:r>
      <w:r>
        <w:rPr>
          <w:rFonts w:hint="eastAsia"/>
          <w:rtl/>
          <w:lang w:eastAsia="he-IL"/>
        </w:rPr>
        <w:t>את</w:t>
      </w:r>
      <w:r>
        <w:rPr>
          <w:rtl/>
          <w:lang w:eastAsia="he-IL"/>
        </w:rPr>
        <w:t xml:space="preserve"> </w:t>
      </w:r>
      <w:r>
        <w:rPr>
          <w:rFonts w:hint="eastAsia"/>
          <w:rtl/>
          <w:lang w:eastAsia="he-IL"/>
        </w:rPr>
        <w:t>אותה</w:t>
      </w:r>
      <w:r>
        <w:rPr>
          <w:rtl/>
          <w:lang w:eastAsia="he-IL"/>
        </w:rPr>
        <w:t xml:space="preserve"> </w:t>
      </w:r>
      <w:r>
        <w:rPr>
          <w:rFonts w:hint="eastAsia"/>
          <w:rtl/>
          <w:lang w:eastAsia="he-IL"/>
        </w:rPr>
        <w:t>מנת</w:t>
      </w:r>
      <w:r>
        <w:rPr>
          <w:rtl/>
          <w:lang w:eastAsia="he-IL"/>
        </w:rPr>
        <w:t xml:space="preserve"> </w:t>
      </w:r>
      <w:r>
        <w:rPr>
          <w:rFonts w:hint="eastAsia"/>
          <w:rtl/>
          <w:lang w:eastAsia="he-IL"/>
        </w:rPr>
        <w:t>סם</w:t>
      </w:r>
      <w:r>
        <w:rPr>
          <w:rtl/>
          <w:lang w:eastAsia="he-IL"/>
        </w:rPr>
        <w:t xml:space="preserve">.  </w:t>
      </w:r>
      <w:r>
        <w:rPr>
          <w:rFonts w:hint="eastAsia"/>
          <w:rtl/>
          <w:lang w:eastAsia="he-IL"/>
        </w:rPr>
        <w:t>אפנה</w:t>
      </w:r>
      <w:r>
        <w:rPr>
          <w:rtl/>
          <w:lang w:eastAsia="he-IL"/>
        </w:rPr>
        <w:t xml:space="preserve"> </w:t>
      </w:r>
      <w:r>
        <w:rPr>
          <w:rFonts w:hint="eastAsia"/>
          <w:rtl/>
          <w:lang w:eastAsia="he-IL"/>
        </w:rPr>
        <w:t>לדבריו</w:t>
      </w:r>
      <w:r>
        <w:rPr>
          <w:rtl/>
          <w:lang w:eastAsia="he-IL"/>
        </w:rPr>
        <w:t xml:space="preserve"> </w:t>
      </w:r>
      <w:r>
        <w:rPr>
          <w:rFonts w:hint="eastAsia"/>
          <w:rtl/>
          <w:lang w:eastAsia="he-IL"/>
        </w:rPr>
        <w:t>של</w:t>
      </w:r>
      <w:r>
        <w:rPr>
          <w:rtl/>
          <w:lang w:eastAsia="he-IL"/>
        </w:rPr>
        <w:t xml:space="preserve"> </w:t>
      </w:r>
      <w:r>
        <w:rPr>
          <w:rFonts w:hint="eastAsia"/>
          <w:rtl/>
          <w:lang w:eastAsia="he-IL"/>
        </w:rPr>
        <w:t>כב</w:t>
      </w:r>
      <w:r>
        <w:rPr>
          <w:rtl/>
          <w:lang w:eastAsia="he-IL"/>
        </w:rPr>
        <w:t xml:space="preserve">' </w:t>
      </w:r>
      <w:r>
        <w:rPr>
          <w:rFonts w:hint="eastAsia"/>
          <w:rtl/>
          <w:lang w:eastAsia="he-IL"/>
        </w:rPr>
        <w:t>השופט</w:t>
      </w:r>
      <w:r>
        <w:rPr>
          <w:rtl/>
          <w:lang w:eastAsia="he-IL"/>
        </w:rPr>
        <w:t xml:space="preserve"> </w:t>
      </w:r>
      <w:r>
        <w:rPr>
          <w:rFonts w:hint="eastAsia"/>
          <w:rtl/>
          <w:lang w:eastAsia="he-IL"/>
        </w:rPr>
        <w:t>א</w:t>
      </w:r>
      <w:r>
        <w:rPr>
          <w:rtl/>
          <w:lang w:eastAsia="he-IL"/>
        </w:rPr>
        <w:t xml:space="preserve">' </w:t>
      </w:r>
      <w:r>
        <w:rPr>
          <w:rFonts w:hint="eastAsia"/>
          <w:rtl/>
          <w:lang w:eastAsia="he-IL"/>
        </w:rPr>
        <w:t>שהם</w:t>
      </w:r>
      <w:r>
        <w:rPr>
          <w:rtl/>
          <w:lang w:eastAsia="he-IL"/>
        </w:rPr>
        <w:t xml:space="preserve"> </w:t>
      </w:r>
      <w:r>
        <w:rPr>
          <w:rFonts w:hint="eastAsia"/>
          <w:rtl/>
          <w:lang w:eastAsia="he-IL"/>
        </w:rPr>
        <w:t>ב</w:t>
      </w:r>
      <w:hyperlink r:id="rId25" w:history="1">
        <w:r w:rsidRPr="004075C2">
          <w:rPr>
            <w:color w:val="0000FF"/>
            <w:u w:val="single"/>
            <w:rtl/>
            <w:lang w:eastAsia="he-IL"/>
          </w:rPr>
          <w:t>ע"פ 3117/12</w:t>
        </w:r>
      </w:hyperlink>
      <w:r>
        <w:rPr>
          <w:rtl/>
          <w:lang w:eastAsia="he-IL"/>
        </w:rPr>
        <w:t xml:space="preserve"> </w:t>
      </w:r>
      <w:r>
        <w:rPr>
          <w:rFonts w:hint="eastAsia"/>
          <w:b/>
          <w:bCs/>
          <w:rtl/>
          <w:lang w:eastAsia="he-IL"/>
        </w:rPr>
        <w:t>ארביב</w:t>
      </w:r>
      <w:r>
        <w:rPr>
          <w:b/>
          <w:bCs/>
          <w:rtl/>
          <w:lang w:eastAsia="he-IL"/>
        </w:rPr>
        <w:t xml:space="preserve"> </w:t>
      </w:r>
      <w:r>
        <w:rPr>
          <w:rFonts w:hint="eastAsia"/>
          <w:b/>
          <w:bCs/>
          <w:rtl/>
          <w:lang w:eastAsia="he-IL"/>
        </w:rPr>
        <w:t>נ</w:t>
      </w:r>
      <w:r>
        <w:rPr>
          <w:b/>
          <w:bCs/>
          <w:rtl/>
          <w:lang w:eastAsia="he-IL"/>
        </w:rPr>
        <w:t xml:space="preserve">' </w:t>
      </w:r>
      <w:r>
        <w:rPr>
          <w:rFonts w:hint="eastAsia"/>
          <w:b/>
          <w:bCs/>
          <w:rtl/>
          <w:lang w:eastAsia="he-IL"/>
        </w:rPr>
        <w:t>מדינת</w:t>
      </w:r>
      <w:r>
        <w:rPr>
          <w:b/>
          <w:bCs/>
          <w:rtl/>
          <w:lang w:eastAsia="he-IL"/>
        </w:rPr>
        <w:t xml:space="preserve"> </w:t>
      </w:r>
      <w:r>
        <w:rPr>
          <w:rFonts w:hint="eastAsia"/>
          <w:b/>
          <w:bCs/>
          <w:rtl/>
          <w:lang w:eastAsia="he-IL"/>
        </w:rPr>
        <w:t>ישראל</w:t>
      </w:r>
      <w:r>
        <w:rPr>
          <w:rtl/>
          <w:lang w:eastAsia="he-IL"/>
        </w:rPr>
        <w:t xml:space="preserve"> (6.9.12) </w:t>
      </w:r>
      <w:r>
        <w:rPr>
          <w:rFonts w:hint="eastAsia"/>
          <w:rtl/>
          <w:lang w:eastAsia="he-IL"/>
        </w:rPr>
        <w:t>לעניין</w:t>
      </w:r>
      <w:r>
        <w:rPr>
          <w:rtl/>
          <w:lang w:eastAsia="he-IL"/>
        </w:rPr>
        <w:t xml:space="preserve"> </w:t>
      </w:r>
      <w:r>
        <w:rPr>
          <w:rFonts w:hint="eastAsia"/>
          <w:rtl/>
          <w:lang w:eastAsia="he-IL"/>
        </w:rPr>
        <w:t>הנזקים</w:t>
      </w:r>
      <w:r>
        <w:rPr>
          <w:rtl/>
          <w:lang w:eastAsia="he-IL"/>
        </w:rPr>
        <w:t xml:space="preserve"> </w:t>
      </w:r>
      <w:r>
        <w:rPr>
          <w:rFonts w:hint="eastAsia"/>
          <w:rtl/>
          <w:lang w:eastAsia="he-IL"/>
        </w:rPr>
        <w:t>שנגרמים</w:t>
      </w:r>
      <w:r>
        <w:rPr>
          <w:rtl/>
          <w:lang w:eastAsia="he-IL"/>
        </w:rPr>
        <w:t xml:space="preserve"> </w:t>
      </w:r>
      <w:r>
        <w:rPr>
          <w:rFonts w:hint="eastAsia"/>
          <w:rtl/>
          <w:lang w:eastAsia="he-IL"/>
        </w:rPr>
        <w:t>בעקבות</w:t>
      </w:r>
      <w:r>
        <w:rPr>
          <w:rtl/>
          <w:lang w:eastAsia="he-IL"/>
        </w:rPr>
        <w:t xml:space="preserve"> </w:t>
      </w:r>
      <w:r>
        <w:rPr>
          <w:rFonts w:hint="eastAsia"/>
          <w:rtl/>
          <w:lang w:eastAsia="he-IL"/>
        </w:rPr>
        <w:t>עבירות</w:t>
      </w:r>
      <w:r>
        <w:rPr>
          <w:rtl/>
          <w:lang w:eastAsia="he-IL"/>
        </w:rPr>
        <w:t xml:space="preserve"> </w:t>
      </w:r>
      <w:r>
        <w:rPr>
          <w:rFonts w:hint="eastAsia"/>
          <w:rtl/>
          <w:lang w:eastAsia="he-IL"/>
        </w:rPr>
        <w:t>הסמים</w:t>
      </w:r>
      <w:r>
        <w:rPr>
          <w:rtl/>
          <w:lang w:eastAsia="he-IL"/>
        </w:rPr>
        <w:t>:</w:t>
      </w:r>
      <w:r>
        <w:rPr>
          <w:rFonts w:hint="cs"/>
          <w:b/>
          <w:bCs/>
          <w:rtl/>
        </w:rPr>
        <w:t xml:space="preserve"> </w:t>
      </w:r>
      <w:r>
        <w:rPr>
          <w:rtl/>
        </w:rPr>
        <w:t>"</w:t>
      </w:r>
      <w:r>
        <w:rPr>
          <w:rFonts w:hint="eastAsia"/>
          <w:b/>
          <w:bCs/>
          <w:rtl/>
        </w:rPr>
        <w:t>בית</w:t>
      </w:r>
      <w:r>
        <w:rPr>
          <w:b/>
          <w:bCs/>
          <w:rtl/>
        </w:rPr>
        <w:t xml:space="preserve"> </w:t>
      </w:r>
      <w:r>
        <w:rPr>
          <w:rFonts w:hint="eastAsia"/>
          <w:b/>
          <w:bCs/>
          <w:rtl/>
        </w:rPr>
        <w:t>משפט</w:t>
      </w:r>
      <w:r>
        <w:rPr>
          <w:b/>
          <w:bCs/>
          <w:rtl/>
        </w:rPr>
        <w:t xml:space="preserve"> </w:t>
      </w:r>
      <w:r>
        <w:rPr>
          <w:rFonts w:hint="eastAsia"/>
          <w:b/>
          <w:bCs/>
          <w:rtl/>
        </w:rPr>
        <w:t>זה</w:t>
      </w:r>
      <w:r>
        <w:rPr>
          <w:b/>
          <w:bCs/>
          <w:rtl/>
        </w:rPr>
        <w:t xml:space="preserve"> </w:t>
      </w:r>
      <w:r>
        <w:rPr>
          <w:rFonts w:hint="eastAsia"/>
          <w:b/>
          <w:bCs/>
          <w:rtl/>
        </w:rPr>
        <w:t>עמד</w:t>
      </w:r>
      <w:r>
        <w:rPr>
          <w:b/>
          <w:bCs/>
          <w:rtl/>
        </w:rPr>
        <w:t xml:space="preserve">, </w:t>
      </w:r>
      <w:r>
        <w:rPr>
          <w:rFonts w:hint="eastAsia"/>
          <w:b/>
          <w:bCs/>
          <w:rtl/>
        </w:rPr>
        <w:t>לא</w:t>
      </w:r>
      <w:r>
        <w:rPr>
          <w:b/>
          <w:bCs/>
          <w:rtl/>
        </w:rPr>
        <w:t xml:space="preserve"> </w:t>
      </w:r>
      <w:r>
        <w:rPr>
          <w:rFonts w:hint="eastAsia"/>
          <w:b/>
          <w:bCs/>
          <w:rtl/>
        </w:rPr>
        <w:t>אחת</w:t>
      </w:r>
      <w:r>
        <w:rPr>
          <w:b/>
          <w:bCs/>
          <w:rtl/>
        </w:rPr>
        <w:t xml:space="preserve">, </w:t>
      </w:r>
      <w:r>
        <w:rPr>
          <w:rFonts w:hint="eastAsia"/>
          <w:b/>
          <w:bCs/>
          <w:rtl/>
        </w:rPr>
        <w:t>על</w:t>
      </w:r>
      <w:r>
        <w:rPr>
          <w:b/>
          <w:bCs/>
          <w:rtl/>
        </w:rPr>
        <w:t xml:space="preserve"> </w:t>
      </w:r>
      <w:r>
        <w:rPr>
          <w:rFonts w:hint="eastAsia"/>
          <w:b/>
          <w:bCs/>
          <w:rtl/>
        </w:rPr>
        <w:t>חומרתן</w:t>
      </w:r>
      <w:r>
        <w:rPr>
          <w:b/>
          <w:bCs/>
          <w:rtl/>
        </w:rPr>
        <w:t xml:space="preserve"> </w:t>
      </w:r>
      <w:r>
        <w:rPr>
          <w:rFonts w:hint="eastAsia"/>
          <w:b/>
          <w:bCs/>
          <w:rtl/>
        </w:rPr>
        <w:t>היתירה</w:t>
      </w:r>
      <w:r>
        <w:rPr>
          <w:b/>
          <w:bCs/>
          <w:rtl/>
        </w:rPr>
        <w:t xml:space="preserve"> </w:t>
      </w:r>
      <w:r>
        <w:rPr>
          <w:rFonts w:hint="eastAsia"/>
          <w:b/>
          <w:bCs/>
          <w:rtl/>
        </w:rPr>
        <w:t>של</w:t>
      </w:r>
      <w:r>
        <w:rPr>
          <w:b/>
          <w:bCs/>
          <w:rtl/>
        </w:rPr>
        <w:t xml:space="preserve"> </w:t>
      </w:r>
      <w:r>
        <w:rPr>
          <w:rFonts w:hint="eastAsia"/>
          <w:b/>
          <w:bCs/>
          <w:rtl/>
        </w:rPr>
        <w:t>עבירות</w:t>
      </w:r>
      <w:r>
        <w:rPr>
          <w:b/>
          <w:bCs/>
          <w:rtl/>
        </w:rPr>
        <w:t xml:space="preserve"> </w:t>
      </w:r>
      <w:r>
        <w:rPr>
          <w:rFonts w:hint="eastAsia"/>
          <w:b/>
          <w:bCs/>
          <w:rtl/>
        </w:rPr>
        <w:t>הסמים</w:t>
      </w:r>
      <w:r>
        <w:rPr>
          <w:b/>
          <w:bCs/>
          <w:rtl/>
        </w:rPr>
        <w:t xml:space="preserve">, </w:t>
      </w:r>
      <w:r>
        <w:rPr>
          <w:rFonts w:hint="eastAsia"/>
          <w:b/>
          <w:bCs/>
          <w:rtl/>
        </w:rPr>
        <w:t>ועל</w:t>
      </w:r>
      <w:r>
        <w:rPr>
          <w:b/>
          <w:bCs/>
          <w:rtl/>
        </w:rPr>
        <w:t xml:space="preserve"> </w:t>
      </w:r>
      <w:r>
        <w:rPr>
          <w:rFonts w:hint="eastAsia"/>
          <w:b/>
          <w:bCs/>
          <w:rtl/>
        </w:rPr>
        <w:t>ההשלכות</w:t>
      </w:r>
      <w:r>
        <w:rPr>
          <w:b/>
          <w:bCs/>
          <w:rtl/>
        </w:rPr>
        <w:t xml:space="preserve"> </w:t>
      </w:r>
      <w:r>
        <w:rPr>
          <w:rFonts w:hint="eastAsia"/>
          <w:b/>
          <w:bCs/>
          <w:rtl/>
        </w:rPr>
        <w:t>הקשות</w:t>
      </w:r>
      <w:r>
        <w:rPr>
          <w:b/>
          <w:bCs/>
          <w:rtl/>
        </w:rPr>
        <w:t xml:space="preserve"> </w:t>
      </w:r>
      <w:r>
        <w:rPr>
          <w:rFonts w:hint="eastAsia"/>
          <w:b/>
          <w:bCs/>
          <w:rtl/>
        </w:rPr>
        <w:t>שיש</w:t>
      </w:r>
      <w:r>
        <w:rPr>
          <w:b/>
          <w:bCs/>
          <w:rtl/>
        </w:rPr>
        <w:t xml:space="preserve"> </w:t>
      </w:r>
      <w:r>
        <w:rPr>
          <w:rFonts w:hint="eastAsia"/>
          <w:b/>
          <w:bCs/>
          <w:rtl/>
        </w:rPr>
        <w:t>לשימוש</w:t>
      </w:r>
      <w:r>
        <w:rPr>
          <w:b/>
          <w:bCs/>
          <w:rtl/>
        </w:rPr>
        <w:t xml:space="preserve"> </w:t>
      </w:r>
      <w:r>
        <w:rPr>
          <w:rFonts w:hint="eastAsia"/>
          <w:b/>
          <w:bCs/>
          <w:rtl/>
        </w:rPr>
        <w:t>בסם</w:t>
      </w:r>
      <w:r>
        <w:rPr>
          <w:b/>
          <w:bCs/>
          <w:rtl/>
        </w:rPr>
        <w:t xml:space="preserve"> </w:t>
      </w:r>
      <w:r>
        <w:rPr>
          <w:rFonts w:hint="eastAsia"/>
          <w:b/>
          <w:bCs/>
          <w:rtl/>
        </w:rPr>
        <w:t>על</w:t>
      </w:r>
      <w:r>
        <w:rPr>
          <w:b/>
          <w:bCs/>
          <w:rtl/>
        </w:rPr>
        <w:t xml:space="preserve"> </w:t>
      </w:r>
      <w:r>
        <w:rPr>
          <w:rFonts w:hint="eastAsia"/>
          <w:b/>
          <w:bCs/>
          <w:rtl/>
        </w:rPr>
        <w:t>גופו</w:t>
      </w:r>
      <w:r>
        <w:rPr>
          <w:b/>
          <w:bCs/>
          <w:rtl/>
        </w:rPr>
        <w:t xml:space="preserve"> </w:t>
      </w:r>
      <w:r>
        <w:rPr>
          <w:rFonts w:hint="eastAsia"/>
          <w:b/>
          <w:bCs/>
          <w:rtl/>
        </w:rPr>
        <w:t>ועל</w:t>
      </w:r>
      <w:r>
        <w:rPr>
          <w:b/>
          <w:bCs/>
          <w:rtl/>
        </w:rPr>
        <w:t xml:space="preserve"> </w:t>
      </w:r>
      <w:r>
        <w:rPr>
          <w:rFonts w:hint="eastAsia"/>
          <w:b/>
          <w:bCs/>
          <w:rtl/>
        </w:rPr>
        <w:t>נפשו</w:t>
      </w:r>
      <w:r>
        <w:rPr>
          <w:b/>
          <w:bCs/>
          <w:rtl/>
        </w:rPr>
        <w:t xml:space="preserve"> </w:t>
      </w:r>
      <w:r>
        <w:rPr>
          <w:rFonts w:hint="eastAsia"/>
          <w:b/>
          <w:bCs/>
          <w:rtl/>
        </w:rPr>
        <w:t>של</w:t>
      </w:r>
      <w:r>
        <w:rPr>
          <w:b/>
          <w:bCs/>
          <w:rtl/>
        </w:rPr>
        <w:t xml:space="preserve"> </w:t>
      </w:r>
      <w:r>
        <w:rPr>
          <w:rFonts w:hint="eastAsia"/>
          <w:b/>
          <w:bCs/>
          <w:rtl/>
        </w:rPr>
        <w:t>המשתמש</w:t>
      </w:r>
      <w:r>
        <w:rPr>
          <w:rtl/>
          <w:lang w:eastAsia="he-IL"/>
        </w:rPr>
        <w:t>"</w:t>
      </w:r>
      <w:r>
        <w:rPr>
          <w:rFonts w:hint="cs"/>
          <w:rtl/>
          <w:lang w:eastAsia="he-IL"/>
        </w:rPr>
        <w:t>.</w:t>
      </w:r>
    </w:p>
    <w:p w14:paraId="088E239B" w14:textId="77777777" w:rsidR="00234B8D" w:rsidRDefault="00234B8D">
      <w:pPr>
        <w:tabs>
          <w:tab w:val="left" w:pos="7046"/>
        </w:tabs>
        <w:ind w:left="1440" w:right="1260"/>
        <w:jc w:val="both"/>
        <w:rPr>
          <w:b/>
          <w:bCs/>
          <w:lang w:eastAsia="he-IL"/>
        </w:rPr>
      </w:pPr>
    </w:p>
    <w:p w14:paraId="4FF89CC4" w14:textId="77777777" w:rsidR="00234B8D" w:rsidRDefault="004075C2">
      <w:pPr>
        <w:spacing w:line="360" w:lineRule="auto"/>
        <w:jc w:val="both"/>
        <w:rPr>
          <w:rtl/>
          <w:lang w:eastAsia="he-IL"/>
        </w:rPr>
      </w:pPr>
      <w:r>
        <w:rPr>
          <w:rFonts w:hint="eastAsia"/>
          <w:rtl/>
          <w:lang w:eastAsia="he-IL"/>
        </w:rPr>
        <w:t>על</w:t>
      </w:r>
      <w:r>
        <w:rPr>
          <w:rtl/>
          <w:lang w:eastAsia="he-IL"/>
        </w:rPr>
        <w:t xml:space="preserve"> </w:t>
      </w:r>
      <w:r>
        <w:rPr>
          <w:rFonts w:hint="eastAsia"/>
          <w:rtl/>
          <w:lang w:eastAsia="he-IL"/>
        </w:rPr>
        <w:t>החומרה</w:t>
      </w:r>
      <w:r>
        <w:rPr>
          <w:rtl/>
          <w:lang w:eastAsia="he-IL"/>
        </w:rPr>
        <w:t xml:space="preserve"> </w:t>
      </w:r>
      <w:r>
        <w:rPr>
          <w:rFonts w:hint="eastAsia"/>
          <w:rtl/>
          <w:lang w:eastAsia="he-IL"/>
        </w:rPr>
        <w:t>בענישה</w:t>
      </w:r>
      <w:r>
        <w:rPr>
          <w:rtl/>
          <w:lang w:eastAsia="he-IL"/>
        </w:rPr>
        <w:t xml:space="preserve"> </w:t>
      </w:r>
      <w:r>
        <w:rPr>
          <w:rFonts w:hint="eastAsia"/>
          <w:rtl/>
          <w:lang w:eastAsia="he-IL"/>
        </w:rPr>
        <w:t>שיש</w:t>
      </w:r>
      <w:r>
        <w:rPr>
          <w:rtl/>
          <w:lang w:eastAsia="he-IL"/>
        </w:rPr>
        <w:t xml:space="preserve"> </w:t>
      </w:r>
      <w:r>
        <w:rPr>
          <w:rFonts w:hint="eastAsia"/>
          <w:rtl/>
          <w:lang w:eastAsia="he-IL"/>
        </w:rPr>
        <w:t>לנקוט</w:t>
      </w:r>
      <w:r>
        <w:rPr>
          <w:rtl/>
          <w:lang w:eastAsia="he-IL"/>
        </w:rPr>
        <w:t xml:space="preserve"> </w:t>
      </w:r>
      <w:r>
        <w:rPr>
          <w:rFonts w:hint="eastAsia"/>
          <w:rtl/>
          <w:lang w:eastAsia="he-IL"/>
        </w:rPr>
        <w:t>כלפי</w:t>
      </w:r>
      <w:r>
        <w:rPr>
          <w:rtl/>
          <w:lang w:eastAsia="he-IL"/>
        </w:rPr>
        <w:t xml:space="preserve"> </w:t>
      </w:r>
      <w:r>
        <w:rPr>
          <w:rFonts w:hint="eastAsia"/>
          <w:rtl/>
          <w:lang w:eastAsia="he-IL"/>
        </w:rPr>
        <w:t>המעורבים</w:t>
      </w:r>
      <w:r>
        <w:rPr>
          <w:rtl/>
          <w:lang w:eastAsia="he-IL"/>
        </w:rPr>
        <w:t xml:space="preserve"> </w:t>
      </w:r>
      <w:r>
        <w:rPr>
          <w:rFonts w:hint="eastAsia"/>
          <w:rtl/>
          <w:lang w:eastAsia="he-IL"/>
        </w:rPr>
        <w:t>בשרשרת</w:t>
      </w:r>
      <w:r>
        <w:rPr>
          <w:rtl/>
          <w:lang w:eastAsia="he-IL"/>
        </w:rPr>
        <w:t xml:space="preserve"> </w:t>
      </w:r>
      <w:r>
        <w:rPr>
          <w:rFonts w:hint="eastAsia"/>
          <w:rtl/>
          <w:lang w:eastAsia="he-IL"/>
        </w:rPr>
        <w:t>הפצת</w:t>
      </w:r>
      <w:r>
        <w:rPr>
          <w:rtl/>
          <w:lang w:eastAsia="he-IL"/>
        </w:rPr>
        <w:t xml:space="preserve"> </w:t>
      </w:r>
      <w:r>
        <w:rPr>
          <w:rFonts w:hint="eastAsia"/>
          <w:rtl/>
          <w:lang w:eastAsia="he-IL"/>
        </w:rPr>
        <w:t>הסם</w:t>
      </w:r>
      <w:r>
        <w:rPr>
          <w:rtl/>
          <w:lang w:eastAsia="he-IL"/>
        </w:rPr>
        <w:t xml:space="preserve"> </w:t>
      </w:r>
      <w:r>
        <w:rPr>
          <w:rFonts w:hint="eastAsia"/>
          <w:rtl/>
          <w:lang w:eastAsia="he-IL"/>
        </w:rPr>
        <w:t>ראה</w:t>
      </w:r>
      <w:r>
        <w:rPr>
          <w:rtl/>
          <w:lang w:eastAsia="he-IL"/>
        </w:rPr>
        <w:t xml:space="preserve"> </w:t>
      </w:r>
      <w:hyperlink r:id="rId26" w:history="1">
        <w:r w:rsidRPr="004075C2">
          <w:rPr>
            <w:color w:val="0000FF"/>
            <w:u w:val="single"/>
            <w:rtl/>
          </w:rPr>
          <w:t>ע"פ 211/09</w:t>
        </w:r>
      </w:hyperlink>
      <w:r>
        <w:rPr>
          <w:rtl/>
        </w:rPr>
        <w:t xml:space="preserve"> </w:t>
      </w:r>
      <w:r>
        <w:rPr>
          <w:rFonts w:hint="eastAsia"/>
          <w:b/>
          <w:bCs/>
          <w:rtl/>
        </w:rPr>
        <w:t>שמעון</w:t>
      </w:r>
      <w:r>
        <w:rPr>
          <w:b/>
          <w:bCs/>
          <w:rtl/>
        </w:rPr>
        <w:t xml:space="preserve"> </w:t>
      </w:r>
      <w:r>
        <w:rPr>
          <w:rFonts w:hint="eastAsia"/>
          <w:b/>
          <w:bCs/>
          <w:rtl/>
        </w:rPr>
        <w:t>אזולאי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(22.6.2010):</w:t>
      </w:r>
    </w:p>
    <w:p w14:paraId="0FA2F288" w14:textId="77777777" w:rsidR="00234B8D" w:rsidRDefault="004075C2">
      <w:pPr>
        <w:tabs>
          <w:tab w:val="num" w:pos="1466"/>
        </w:tabs>
        <w:spacing w:before="60"/>
        <w:ind w:left="1466" w:right="1260"/>
        <w:jc w:val="both"/>
        <w:rPr>
          <w:rFonts w:ascii="Arial" w:hAnsi="Arial"/>
          <w:b/>
          <w:bCs/>
        </w:rPr>
      </w:pPr>
      <w:r>
        <w:rPr>
          <w:rFonts w:ascii="Arial" w:hAnsi="Arial"/>
          <w:rtl/>
        </w:rPr>
        <w:t>"</w:t>
      </w:r>
      <w:r>
        <w:rPr>
          <w:rFonts w:ascii="Arial" w:hAnsi="Arial"/>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ascii="Arial" w:hAnsi="Arial"/>
          <w:rtl/>
        </w:rPr>
        <w:t>".</w:t>
      </w:r>
    </w:p>
    <w:p w14:paraId="793F1163" w14:textId="77777777" w:rsidR="00234B8D" w:rsidRDefault="004075C2">
      <w:pPr>
        <w:spacing w:line="360" w:lineRule="auto"/>
        <w:jc w:val="both"/>
        <w:rPr>
          <w:rtl/>
          <w:lang w:eastAsia="he-IL"/>
        </w:rPr>
      </w:pPr>
      <w:r>
        <w:rPr>
          <w:rtl/>
          <w:lang w:eastAsia="he-IL"/>
        </w:rPr>
        <w:tab/>
      </w:r>
    </w:p>
    <w:p w14:paraId="038AF5D5" w14:textId="77777777" w:rsidR="00234B8D" w:rsidRDefault="004075C2">
      <w:pPr>
        <w:ind w:right="1260"/>
        <w:jc w:val="both"/>
        <w:rPr>
          <w:rtl/>
          <w:lang w:eastAsia="he-IL"/>
        </w:rPr>
      </w:pPr>
      <w:r>
        <w:rPr>
          <w:rtl/>
          <w:lang w:eastAsia="he-IL"/>
        </w:rPr>
        <w:tab/>
      </w:r>
    </w:p>
    <w:p w14:paraId="0505B164" w14:textId="77777777" w:rsidR="00234B8D" w:rsidRDefault="004075C2" w:rsidP="003524E5">
      <w:pPr>
        <w:spacing w:line="360" w:lineRule="auto"/>
        <w:jc w:val="both"/>
        <w:rPr>
          <w:rtl/>
          <w:lang w:eastAsia="he-IL"/>
        </w:rPr>
      </w:pPr>
      <w:r>
        <w:rPr>
          <w:rFonts w:hint="cs"/>
          <w:rtl/>
          <w:lang w:eastAsia="he-IL"/>
        </w:rPr>
        <w:t xml:space="preserve">עוד </w:t>
      </w:r>
      <w:r>
        <w:rPr>
          <w:rFonts w:hint="eastAsia"/>
          <w:rtl/>
          <w:lang w:eastAsia="he-IL"/>
        </w:rPr>
        <w:t>ר</w:t>
      </w:r>
      <w:r>
        <w:rPr>
          <w:rFonts w:hint="cs"/>
          <w:rtl/>
          <w:lang w:eastAsia="he-IL"/>
        </w:rPr>
        <w:t>'</w:t>
      </w:r>
      <w:r>
        <w:rPr>
          <w:rtl/>
          <w:lang w:eastAsia="he-IL"/>
        </w:rPr>
        <w:t xml:space="preserve"> </w:t>
      </w:r>
      <w:hyperlink r:id="rId27" w:history="1">
        <w:r w:rsidR="003524E5" w:rsidRPr="003524E5">
          <w:rPr>
            <w:color w:val="0000FF"/>
            <w:u w:val="single"/>
            <w:rtl/>
            <w:lang w:eastAsia="he-IL"/>
          </w:rPr>
          <w:t xml:space="preserve">ע"פ 7657/10 </w:t>
        </w:r>
      </w:hyperlink>
      <w:r>
        <w:rPr>
          <w:rtl/>
          <w:lang w:eastAsia="he-IL"/>
        </w:rPr>
        <w:t xml:space="preserve"> </w:t>
      </w:r>
      <w:r>
        <w:rPr>
          <w:rFonts w:hint="eastAsia"/>
          <w:b/>
          <w:bCs/>
          <w:rtl/>
          <w:lang w:eastAsia="he-IL"/>
        </w:rPr>
        <w:t>יוסף</w:t>
      </w:r>
      <w:r>
        <w:rPr>
          <w:b/>
          <w:bCs/>
          <w:rtl/>
          <w:lang w:eastAsia="he-IL"/>
        </w:rPr>
        <w:t xml:space="preserve"> </w:t>
      </w:r>
      <w:r>
        <w:rPr>
          <w:rFonts w:hint="eastAsia"/>
          <w:b/>
          <w:bCs/>
          <w:rtl/>
          <w:lang w:eastAsia="he-IL"/>
        </w:rPr>
        <w:t>הייב</w:t>
      </w:r>
      <w:r>
        <w:rPr>
          <w:b/>
          <w:bCs/>
          <w:rtl/>
          <w:lang w:eastAsia="he-IL"/>
        </w:rPr>
        <w:t xml:space="preserve"> </w:t>
      </w:r>
      <w:r>
        <w:rPr>
          <w:rFonts w:hint="eastAsia"/>
          <w:b/>
          <w:bCs/>
          <w:rtl/>
          <w:lang w:eastAsia="he-IL"/>
        </w:rPr>
        <w:t>נ</w:t>
      </w:r>
      <w:r>
        <w:rPr>
          <w:b/>
          <w:bCs/>
          <w:rtl/>
          <w:lang w:eastAsia="he-IL"/>
        </w:rPr>
        <w:t xml:space="preserve">' </w:t>
      </w:r>
      <w:r>
        <w:rPr>
          <w:rFonts w:hint="eastAsia"/>
          <w:b/>
          <w:bCs/>
          <w:rtl/>
          <w:lang w:eastAsia="he-IL"/>
        </w:rPr>
        <w:t>מדינת</w:t>
      </w:r>
      <w:r>
        <w:rPr>
          <w:b/>
          <w:bCs/>
          <w:rtl/>
          <w:lang w:eastAsia="he-IL"/>
        </w:rPr>
        <w:t xml:space="preserve"> </w:t>
      </w:r>
      <w:r>
        <w:rPr>
          <w:rFonts w:hint="eastAsia"/>
          <w:b/>
          <w:bCs/>
          <w:rtl/>
          <w:lang w:eastAsia="he-IL"/>
        </w:rPr>
        <w:t>ישראל</w:t>
      </w:r>
      <w:r>
        <w:rPr>
          <w:rtl/>
          <w:lang w:eastAsia="he-IL"/>
        </w:rPr>
        <w:t xml:space="preserve"> (29.3.12); </w:t>
      </w:r>
      <w:hyperlink r:id="rId28" w:history="1">
        <w:r w:rsidRPr="004075C2">
          <w:rPr>
            <w:color w:val="0000FF"/>
            <w:u w:val="single"/>
            <w:rtl/>
            <w:lang w:eastAsia="he-IL"/>
          </w:rPr>
          <w:t>ע"פ 9482/09</w:t>
        </w:r>
      </w:hyperlink>
      <w:r>
        <w:rPr>
          <w:rtl/>
          <w:lang w:eastAsia="he-IL"/>
        </w:rPr>
        <w:t xml:space="preserve"> </w:t>
      </w:r>
      <w:r>
        <w:rPr>
          <w:rFonts w:hint="eastAsia"/>
          <w:b/>
          <w:bCs/>
          <w:rtl/>
          <w:lang w:eastAsia="he-IL"/>
        </w:rPr>
        <w:t>ביטון</w:t>
      </w:r>
      <w:r>
        <w:rPr>
          <w:b/>
          <w:bCs/>
          <w:rtl/>
          <w:lang w:eastAsia="he-IL"/>
        </w:rPr>
        <w:t xml:space="preserve"> </w:t>
      </w:r>
      <w:r>
        <w:rPr>
          <w:rFonts w:hint="eastAsia"/>
          <w:b/>
          <w:bCs/>
          <w:rtl/>
          <w:lang w:eastAsia="he-IL"/>
        </w:rPr>
        <w:t>נ</w:t>
      </w:r>
      <w:r>
        <w:rPr>
          <w:b/>
          <w:bCs/>
          <w:rtl/>
          <w:lang w:eastAsia="he-IL"/>
        </w:rPr>
        <w:t xml:space="preserve">' </w:t>
      </w:r>
      <w:r>
        <w:rPr>
          <w:rFonts w:hint="eastAsia"/>
          <w:b/>
          <w:bCs/>
          <w:rtl/>
          <w:lang w:eastAsia="he-IL"/>
        </w:rPr>
        <w:t>מדינת</w:t>
      </w:r>
      <w:r>
        <w:rPr>
          <w:b/>
          <w:bCs/>
          <w:rtl/>
          <w:lang w:eastAsia="he-IL"/>
        </w:rPr>
        <w:t xml:space="preserve"> </w:t>
      </w:r>
      <w:r>
        <w:rPr>
          <w:rFonts w:hint="eastAsia"/>
          <w:b/>
          <w:bCs/>
          <w:rtl/>
          <w:lang w:eastAsia="he-IL"/>
        </w:rPr>
        <w:t>ישראל</w:t>
      </w:r>
      <w:r>
        <w:rPr>
          <w:rtl/>
          <w:lang w:eastAsia="he-IL"/>
        </w:rPr>
        <w:t xml:space="preserve"> (24.7.11); </w:t>
      </w:r>
      <w:hyperlink r:id="rId29" w:history="1">
        <w:r w:rsidRPr="004075C2">
          <w:rPr>
            <w:color w:val="0000FF"/>
            <w:u w:val="single"/>
            <w:rtl/>
            <w:lang w:eastAsia="he-IL"/>
          </w:rPr>
          <w:t>ע"פ 6373/06</w:t>
        </w:r>
      </w:hyperlink>
      <w:r>
        <w:rPr>
          <w:rtl/>
          <w:lang w:eastAsia="he-IL"/>
        </w:rPr>
        <w:t xml:space="preserve"> </w:t>
      </w:r>
      <w:r>
        <w:rPr>
          <w:rFonts w:hint="eastAsia"/>
          <w:b/>
          <w:bCs/>
          <w:rtl/>
          <w:lang w:eastAsia="he-IL"/>
        </w:rPr>
        <w:t>מדינת</w:t>
      </w:r>
      <w:r>
        <w:rPr>
          <w:b/>
          <w:bCs/>
          <w:rtl/>
          <w:lang w:eastAsia="he-IL"/>
        </w:rPr>
        <w:t xml:space="preserve"> </w:t>
      </w:r>
      <w:r>
        <w:rPr>
          <w:rFonts w:hint="eastAsia"/>
          <w:b/>
          <w:bCs/>
          <w:rtl/>
          <w:lang w:eastAsia="he-IL"/>
        </w:rPr>
        <w:t>ישראל</w:t>
      </w:r>
      <w:r>
        <w:rPr>
          <w:b/>
          <w:bCs/>
          <w:rtl/>
          <w:lang w:eastAsia="he-IL"/>
        </w:rPr>
        <w:t xml:space="preserve"> </w:t>
      </w:r>
      <w:r>
        <w:rPr>
          <w:rFonts w:hint="eastAsia"/>
          <w:b/>
          <w:bCs/>
          <w:rtl/>
          <w:lang w:eastAsia="he-IL"/>
        </w:rPr>
        <w:t>נ</w:t>
      </w:r>
      <w:r>
        <w:rPr>
          <w:b/>
          <w:bCs/>
          <w:rtl/>
          <w:lang w:eastAsia="he-IL"/>
        </w:rPr>
        <w:t xml:space="preserve">' </w:t>
      </w:r>
      <w:r>
        <w:rPr>
          <w:rFonts w:hint="eastAsia"/>
          <w:b/>
          <w:bCs/>
          <w:rtl/>
          <w:lang w:eastAsia="he-IL"/>
        </w:rPr>
        <w:t>אלנשמי</w:t>
      </w:r>
      <w:r>
        <w:rPr>
          <w:rtl/>
          <w:lang w:eastAsia="he-IL"/>
        </w:rPr>
        <w:t xml:space="preserve"> (6.9.06); </w:t>
      </w:r>
      <w:hyperlink r:id="rId30" w:history="1">
        <w:r w:rsidRPr="004075C2">
          <w:rPr>
            <w:color w:val="0000FF"/>
            <w:u w:val="single"/>
            <w:rtl/>
            <w:lang w:eastAsia="he-IL"/>
          </w:rPr>
          <w:t>ע"פ 6029/03 מדינת ישראל נ' שמאי, פד"י נח</w:t>
        </w:r>
      </w:hyperlink>
      <w:r>
        <w:rPr>
          <w:rtl/>
          <w:lang w:eastAsia="he-IL"/>
        </w:rPr>
        <w:t xml:space="preserve"> (2) 734 (2004).</w:t>
      </w:r>
    </w:p>
    <w:p w14:paraId="467307F8" w14:textId="77777777" w:rsidR="00234B8D" w:rsidRDefault="00234B8D">
      <w:pPr>
        <w:spacing w:line="360" w:lineRule="auto"/>
        <w:jc w:val="both"/>
        <w:rPr>
          <w:rtl/>
          <w:lang w:eastAsia="he-IL"/>
        </w:rPr>
      </w:pPr>
    </w:p>
    <w:p w14:paraId="4605893D" w14:textId="77777777" w:rsidR="00234B8D" w:rsidRDefault="004075C2">
      <w:pPr>
        <w:spacing w:line="360" w:lineRule="auto"/>
        <w:jc w:val="both"/>
        <w:rPr>
          <w:rFonts w:ascii="Arial" w:hAnsi="Arial"/>
          <w:rtl/>
        </w:rPr>
      </w:pPr>
      <w:r>
        <w:rPr>
          <w:rFonts w:ascii="Arial" w:hAnsi="Arial"/>
          <w:rtl/>
        </w:rPr>
        <w:t>מנעד מדיניות הענישה הנהוגה בעביר</w:t>
      </w:r>
      <w:r>
        <w:rPr>
          <w:rFonts w:ascii="Arial" w:hAnsi="Arial" w:hint="cs"/>
          <w:rtl/>
        </w:rPr>
        <w:t>ת הסחר בסם</w:t>
      </w:r>
      <w:r>
        <w:rPr>
          <w:rFonts w:ascii="Arial" w:hAnsi="Arial"/>
          <w:rtl/>
        </w:rPr>
        <w:t xml:space="preserve"> הינו </w:t>
      </w:r>
      <w:r>
        <w:rPr>
          <w:rFonts w:ascii="Arial" w:hAnsi="Arial" w:hint="cs"/>
          <w:rtl/>
        </w:rPr>
        <w:t>רחב</w:t>
      </w:r>
      <w:r>
        <w:rPr>
          <w:rFonts w:ascii="Arial" w:hAnsi="Arial"/>
          <w:rtl/>
        </w:rPr>
        <w:t xml:space="preserve"> ונע בין עונשי מאסר של מספר חודשים בודדים וכלה ב-24 חודשים ואף יותר לכל עסקה. בית המשפט שת ליבו לטיב החומר, לכמות, למספר העסקאות ותדירותן, לתמורה שהתקבלה עבור הסם וכן ל</w:t>
      </w:r>
      <w:r>
        <w:rPr>
          <w:rFonts w:ascii="Arial" w:hAnsi="Arial" w:hint="cs"/>
          <w:rtl/>
        </w:rPr>
        <w:t>יתר ה</w:t>
      </w:r>
      <w:r>
        <w:rPr>
          <w:rFonts w:ascii="Arial" w:hAnsi="Arial"/>
          <w:rtl/>
        </w:rPr>
        <w:t>נסיבות האופפות את העסקאות</w:t>
      </w:r>
      <w:r>
        <w:rPr>
          <w:rFonts w:ascii="Arial" w:hAnsi="Arial" w:hint="cs"/>
          <w:rtl/>
        </w:rPr>
        <w:t xml:space="preserve">: </w:t>
      </w:r>
    </w:p>
    <w:p w14:paraId="5D6EC253" w14:textId="77777777" w:rsidR="00234B8D" w:rsidRDefault="00234B8D">
      <w:pPr>
        <w:spacing w:line="360" w:lineRule="auto"/>
        <w:jc w:val="both"/>
        <w:rPr>
          <w:rFonts w:ascii="Arial" w:hAnsi="Arial"/>
          <w:rtl/>
        </w:rPr>
      </w:pPr>
    </w:p>
    <w:p w14:paraId="7D21C9D5" w14:textId="77777777" w:rsidR="00234B8D" w:rsidRDefault="004075C2">
      <w:pPr>
        <w:spacing w:line="360" w:lineRule="auto"/>
        <w:jc w:val="both"/>
        <w:rPr>
          <w:rFonts w:ascii="Arial" w:hAnsi="Arial"/>
          <w:rtl/>
        </w:rPr>
      </w:pPr>
      <w:r>
        <w:rPr>
          <w:rFonts w:ascii="Arial" w:hAnsi="Arial" w:hint="cs"/>
          <w:rtl/>
        </w:rPr>
        <w:t>ב</w:t>
      </w:r>
      <w:hyperlink r:id="rId31" w:history="1">
        <w:r w:rsidRPr="004075C2">
          <w:rPr>
            <w:rFonts w:ascii="Arial" w:hAnsi="Arial"/>
            <w:color w:val="0000FF"/>
            <w:u w:val="single"/>
            <w:rtl/>
          </w:rPr>
          <w:t>רע"פ 6087/16</w:t>
        </w:r>
      </w:hyperlink>
      <w:r>
        <w:rPr>
          <w:rFonts w:ascii="Arial" w:hAnsi="Arial" w:hint="cs"/>
          <w:rtl/>
        </w:rPr>
        <w:t xml:space="preserve"> </w:t>
      </w:r>
      <w:r>
        <w:rPr>
          <w:rFonts w:ascii="Arial" w:hAnsi="Arial" w:hint="cs"/>
          <w:b/>
          <w:bCs/>
          <w:rtl/>
        </w:rPr>
        <w:t>מ"י נ' סאמר</w:t>
      </w:r>
      <w:r>
        <w:rPr>
          <w:rFonts w:ascii="Arial" w:hAnsi="Arial" w:hint="cs"/>
          <w:rtl/>
        </w:rPr>
        <w:t xml:space="preserve">, דחה בית המשפט בקשת רשות ערעור על חומרת העונש בעניינו של נאשם שסחר בשלוש הזדמנויות שונות בסם מסוכן מסוג חשיש במשקל של כפלטה אחת בכל אחת מהעסקאות ונגזרו עליו 27 חודשים מאסר בפועל שהופחתו ל24-  חודשים בביהמ"ש המחוזי. </w:t>
      </w:r>
    </w:p>
    <w:p w14:paraId="1448EEDC" w14:textId="77777777" w:rsidR="00234B8D" w:rsidRDefault="00234B8D">
      <w:pPr>
        <w:spacing w:line="360" w:lineRule="auto"/>
        <w:jc w:val="both"/>
        <w:rPr>
          <w:rFonts w:ascii="Arial" w:hAnsi="Arial"/>
          <w:rtl/>
        </w:rPr>
      </w:pPr>
    </w:p>
    <w:p w14:paraId="4D0038C6" w14:textId="77777777" w:rsidR="00234B8D" w:rsidRDefault="004075C2">
      <w:pPr>
        <w:spacing w:line="360" w:lineRule="auto"/>
        <w:jc w:val="both"/>
        <w:rPr>
          <w:b/>
          <w:bCs/>
          <w:u w:val="single"/>
          <w:rtl/>
          <w:lang w:eastAsia="he-IL"/>
        </w:rPr>
      </w:pPr>
      <w:r>
        <w:rPr>
          <w:rFonts w:ascii="Arial" w:hAnsi="Arial"/>
          <w:rtl/>
        </w:rPr>
        <w:t>ב</w:t>
      </w:r>
      <w:hyperlink r:id="rId32" w:history="1">
        <w:r w:rsidRPr="004075C2">
          <w:rPr>
            <w:rFonts w:ascii="Arial" w:hAnsi="Arial"/>
            <w:color w:val="0000FF"/>
            <w:u w:val="single"/>
            <w:rtl/>
          </w:rPr>
          <w:t>עפ"ג (י-ם) 59106-03-14</w:t>
        </w:r>
      </w:hyperlink>
      <w:r>
        <w:rPr>
          <w:rFonts w:ascii="Arial" w:hAnsi="Arial" w:hint="cs"/>
          <w:rtl/>
        </w:rPr>
        <w:t xml:space="preserve"> </w:t>
      </w:r>
      <w:r>
        <w:rPr>
          <w:rFonts w:ascii="Arial" w:hAnsi="Arial" w:hint="cs"/>
          <w:b/>
          <w:bCs/>
          <w:rtl/>
        </w:rPr>
        <w:t xml:space="preserve">מ"י נ' מחמוד סליימה </w:t>
      </w:r>
      <w:r>
        <w:rPr>
          <w:rFonts w:ascii="Arial" w:hAnsi="Arial" w:hint="cs"/>
          <w:rtl/>
        </w:rPr>
        <w:t>(8.5.14)</w:t>
      </w:r>
      <w:r>
        <w:rPr>
          <w:rFonts w:ascii="Arial" w:hAnsi="Arial"/>
          <w:rtl/>
        </w:rPr>
        <w:t>, קבע בי</w:t>
      </w:r>
      <w:r>
        <w:rPr>
          <w:rFonts w:ascii="Arial" w:hAnsi="Arial" w:hint="cs"/>
          <w:rtl/>
        </w:rPr>
        <w:t>ת המשפט</w:t>
      </w:r>
      <w:r>
        <w:rPr>
          <w:rFonts w:ascii="Arial" w:hAnsi="Arial"/>
          <w:rtl/>
        </w:rPr>
        <w:t xml:space="preserve"> כי</w:t>
      </w:r>
      <w:r>
        <w:rPr>
          <w:rFonts w:ascii="Arial" w:hAnsi="Arial" w:hint="cs"/>
          <w:rtl/>
        </w:rPr>
        <w:t>:</w:t>
      </w:r>
      <w:r>
        <w:rPr>
          <w:rFonts w:ascii="Arial" w:hAnsi="Arial"/>
          <w:rtl/>
        </w:rPr>
        <w:t xml:space="preserve"> "</w:t>
      </w:r>
      <w:r>
        <w:rPr>
          <w:rFonts w:ascii="Arial" w:hAnsi="Arial"/>
          <w:b/>
          <w:bCs/>
          <w:rtl/>
        </w:rPr>
        <w:t>לא הרי סחר באצבע חשיש כהרי סחר בקילו הירואין; לא הרי סחר במנה אחת תמורת עשרות שקלים כהרי מכירת "פלטה", תמורת אלפי שקלים</w:t>
      </w:r>
      <w:r>
        <w:rPr>
          <w:rFonts w:hint="cs"/>
          <w:rtl/>
        </w:rPr>
        <w:t>"</w:t>
      </w:r>
      <w:r>
        <w:rPr>
          <w:rtl/>
        </w:rPr>
        <w:t>.</w:t>
      </w:r>
      <w:r>
        <w:rPr>
          <w:rFonts w:ascii="Arial" w:hAnsi="Arial" w:hint="cs"/>
          <w:rtl/>
        </w:rPr>
        <w:t xml:space="preserve"> בבחינת הפסיקה הרלוונטית </w:t>
      </w:r>
      <w:r>
        <w:rPr>
          <w:rFonts w:ascii="Arial" w:hAnsi="Arial"/>
          <w:rtl/>
        </w:rPr>
        <w:t>ניתן לומר כי בגין עבירות של סחר בסם מסוג חשיש במשקל של "פלטה" אחת (במשקל של כ-100 גר') נע בין 9 ל-20</w:t>
      </w:r>
      <w:r>
        <w:rPr>
          <w:rFonts w:hint="cs"/>
          <w:rtl/>
          <w:lang w:eastAsia="he-IL"/>
        </w:rPr>
        <w:t xml:space="preserve"> חודשי מאסר בפועל.</w:t>
      </w:r>
      <w:r>
        <w:rPr>
          <w:rFonts w:hint="cs"/>
          <w:b/>
          <w:bCs/>
          <w:u w:val="single"/>
          <w:rtl/>
          <w:lang w:eastAsia="he-IL"/>
        </w:rPr>
        <w:t xml:space="preserve"> </w:t>
      </w:r>
    </w:p>
    <w:p w14:paraId="1C8EEF61" w14:textId="77777777" w:rsidR="00234B8D" w:rsidRDefault="00234B8D">
      <w:pPr>
        <w:spacing w:line="360" w:lineRule="auto"/>
        <w:jc w:val="both"/>
        <w:rPr>
          <w:rtl/>
          <w:lang w:eastAsia="he-IL"/>
        </w:rPr>
      </w:pPr>
    </w:p>
    <w:p w14:paraId="328221D9" w14:textId="77777777" w:rsidR="00234B8D" w:rsidRDefault="004075C2">
      <w:pPr>
        <w:spacing w:line="360" w:lineRule="auto"/>
        <w:jc w:val="both"/>
        <w:rPr>
          <w:rtl/>
          <w:lang w:eastAsia="he-IL"/>
        </w:rPr>
      </w:pPr>
      <w:r>
        <w:rPr>
          <w:rtl/>
          <w:lang w:eastAsia="he-IL"/>
        </w:rPr>
        <w:t>ב</w:t>
      </w:r>
      <w:hyperlink r:id="rId33" w:history="1">
        <w:r w:rsidRPr="004075C2">
          <w:rPr>
            <w:color w:val="0000FF"/>
            <w:u w:val="single"/>
            <w:rtl/>
            <w:lang w:eastAsia="he-IL"/>
          </w:rPr>
          <w:t>עפ"ג 21235-11-13</w:t>
        </w:r>
      </w:hyperlink>
      <w:r>
        <w:rPr>
          <w:rtl/>
          <w:lang w:eastAsia="he-IL"/>
        </w:rPr>
        <w:t xml:space="preserve"> /26910-11-13 </w:t>
      </w:r>
      <w:r>
        <w:rPr>
          <w:b/>
          <w:bCs/>
          <w:rtl/>
          <w:lang w:eastAsia="he-IL"/>
        </w:rPr>
        <w:t>מ"י נ' עדיסן</w:t>
      </w:r>
      <w:r>
        <w:rPr>
          <w:rtl/>
          <w:lang w:eastAsia="he-IL"/>
        </w:rPr>
        <w:t xml:space="preserve"> (22.1.14) ערעור על חומרת עונש מאסר בן 30 חודשים בגין 2 עבירות של סחר בסמים מסוג חשיש -נדחה. באירוע הראשון מכר הנאשם 100 גר' חשיש בתמורה ל-1,500 ₪. באירוע השני מכר 12 פלטות תמורת 16,500 ₪, סייע בסחר של 4 פלטות במשקל של 300 גר' בתמורה ל-600 ₪ וכן הורשע ב-2 עבירות של החזקת סם מסוג חשיש לצריכה עצמית.</w:t>
      </w:r>
    </w:p>
    <w:p w14:paraId="455951DB" w14:textId="77777777" w:rsidR="00234B8D" w:rsidRDefault="00234B8D">
      <w:pPr>
        <w:spacing w:line="360" w:lineRule="auto"/>
        <w:jc w:val="both"/>
        <w:rPr>
          <w:rFonts w:ascii="Arial" w:hAnsi="Arial"/>
          <w:rtl/>
        </w:rPr>
      </w:pPr>
    </w:p>
    <w:p w14:paraId="0EA6181A" w14:textId="77777777" w:rsidR="00234B8D" w:rsidRDefault="004075C2">
      <w:pPr>
        <w:spacing w:line="360" w:lineRule="auto"/>
        <w:jc w:val="both"/>
        <w:rPr>
          <w:rFonts w:ascii="Arial" w:hAnsi="Arial"/>
          <w:rtl/>
        </w:rPr>
      </w:pPr>
      <w:r>
        <w:rPr>
          <w:rFonts w:ascii="Arial" w:hAnsi="Arial"/>
          <w:rtl/>
        </w:rPr>
        <w:t>ב</w:t>
      </w:r>
      <w:hyperlink r:id="rId34" w:history="1">
        <w:r w:rsidRPr="004075C2">
          <w:rPr>
            <w:rFonts w:ascii="Arial" w:hAnsi="Arial" w:cs="Times New Roman"/>
            <w:color w:val="0000FF"/>
            <w:u w:val="single"/>
            <w:rtl/>
          </w:rPr>
          <w:t>רע"פ 1271/13</w:t>
        </w:r>
      </w:hyperlink>
      <w:r>
        <w:rPr>
          <w:rFonts w:ascii="Arial" w:hAnsi="Arial" w:hint="cs"/>
          <w:b/>
          <w:bCs/>
          <w:rtl/>
        </w:rPr>
        <w:t xml:space="preserve"> </w:t>
      </w:r>
      <w:r>
        <w:rPr>
          <w:rFonts w:ascii="Arial" w:hAnsi="Arial"/>
          <w:b/>
          <w:bCs/>
          <w:rtl/>
        </w:rPr>
        <w:t>אבירם סויסה נ' מ"י</w:t>
      </w:r>
      <w:r>
        <w:rPr>
          <w:rFonts w:ascii="Arial" w:hAnsi="Arial"/>
          <w:rtl/>
        </w:rPr>
        <w:t xml:space="preserve"> (7.3.13) –נדחתה בקשת רשות ערעור מטעם נאשם אשר הורשע בעבירת סחר בסם מסוכן מסוג חשיש במשקל של כ- 100 גר' בתמורה ל-1,200 ₪ וכן עבירת סחר נוספת של כ-20 גר' חשיש בתמורה ל-400 ₪. בית המשפט המחוזי החמיר בעונש שהוטל על ידי בי משפט השלום,  מ-6 חודשי מאסר בפועל בדרך של עבודות שירות ל- 8 חודשי מאסר בפועל ובהפעלת המאסר המותנה נדון המערער ל-10 חודשי מאסר בפועל. </w:t>
      </w:r>
    </w:p>
    <w:p w14:paraId="14F7533F" w14:textId="77777777" w:rsidR="00234B8D" w:rsidRDefault="00234B8D">
      <w:pPr>
        <w:spacing w:line="360" w:lineRule="auto"/>
        <w:jc w:val="both"/>
        <w:rPr>
          <w:rtl/>
          <w:lang w:eastAsia="he-IL"/>
        </w:rPr>
      </w:pPr>
    </w:p>
    <w:p w14:paraId="6F415B65" w14:textId="77777777" w:rsidR="00234B8D" w:rsidRDefault="004075C2">
      <w:pPr>
        <w:spacing w:line="360" w:lineRule="auto"/>
        <w:jc w:val="both"/>
        <w:rPr>
          <w:rtl/>
          <w:lang w:eastAsia="he-IL"/>
        </w:rPr>
      </w:pPr>
      <w:r>
        <w:rPr>
          <w:rFonts w:hint="cs"/>
          <w:rtl/>
          <w:lang w:eastAsia="he-IL"/>
        </w:rPr>
        <w:t xml:space="preserve">בבואו של בית המשפט לבחון את מידת הפגיעה של הנאשם בערכים המוגנים ולקולא, יש לקחת בחשבון העובדה כי הנאשם לא היה "יעד" במסגרת הפעלת הסוכן, לא יזם את אותן עסקאות, לא שוחח טרם ביצוען עם הסוכן ולמעשה "מופיע" לראשונה רק כאשר מגיע הסוכן למקום המפגש. כנגזרת מכך, ברי כי הנאשם לא היה זה שקבע את סוג הסם, כמותו או את המחיר שישולם עבורו. כפי הנלמד, הכספים שנמסרו לנאשם מצאו בסופם של דברים את דרכם לעבד, כאשר חלק מהכסף נועד לכיסוי חוב ישן בין הסוכן לבין עבד. </w:t>
      </w:r>
    </w:p>
    <w:p w14:paraId="395C24C8" w14:textId="77777777" w:rsidR="00234B8D" w:rsidRDefault="00234B8D">
      <w:pPr>
        <w:spacing w:line="360" w:lineRule="auto"/>
        <w:jc w:val="both"/>
        <w:rPr>
          <w:rtl/>
          <w:lang w:eastAsia="he-IL"/>
        </w:rPr>
      </w:pPr>
    </w:p>
    <w:p w14:paraId="1EFBE67F" w14:textId="77777777" w:rsidR="00234B8D" w:rsidRDefault="004075C2">
      <w:pPr>
        <w:spacing w:line="360" w:lineRule="auto"/>
        <w:jc w:val="both"/>
        <w:rPr>
          <w:rtl/>
          <w:lang w:eastAsia="he-IL"/>
        </w:rPr>
      </w:pPr>
      <w:r>
        <w:rPr>
          <w:rFonts w:hint="cs"/>
          <w:rtl/>
          <w:lang w:eastAsia="he-IL"/>
        </w:rPr>
        <w:t xml:space="preserve">חיזוק בנוגע לשליטתו של עבד בייזום העסקאות ניתן למצוא גם בכך שהסוכן מתקשר לאחר העסקה הראשונה לעבד ומדווח לו על התרחשותה. דפוס פעולה זה נכון ביחס לעסקה השניה ומלמד על חלקו של הנאשם בשרשרת הפצת הסם, אל מול חלקו של אותו עבד, אשר לכאורה הוא זה שבכיר יותר ודומיננטי בפרמטרים הצריכים לעניין. </w:t>
      </w:r>
    </w:p>
    <w:p w14:paraId="40C667CF" w14:textId="77777777" w:rsidR="00234B8D" w:rsidRDefault="00234B8D">
      <w:pPr>
        <w:spacing w:line="360" w:lineRule="auto"/>
        <w:jc w:val="both"/>
        <w:rPr>
          <w:rtl/>
          <w:lang w:eastAsia="he-IL"/>
        </w:rPr>
      </w:pPr>
    </w:p>
    <w:p w14:paraId="16894997" w14:textId="77777777" w:rsidR="00234B8D" w:rsidRDefault="004075C2">
      <w:pPr>
        <w:spacing w:line="360" w:lineRule="auto"/>
        <w:jc w:val="both"/>
        <w:rPr>
          <w:rtl/>
          <w:lang w:eastAsia="he-IL"/>
        </w:rPr>
      </w:pPr>
      <w:r>
        <w:rPr>
          <w:rFonts w:hint="cs"/>
          <w:rtl/>
          <w:lang w:eastAsia="he-IL"/>
        </w:rPr>
        <w:t xml:space="preserve">הסם בו סחר הנאשם אינו נמנה על הסמים הקטלניים כדוגמת הירואין, קוקאין ודומיהם אם כי אין אל להקל ראש בסחר בסם מסוכן מסוג חשיש. ביחס לכך ר' בין היתר דברי בית המשפט </w:t>
      </w:r>
      <w:r>
        <w:rPr>
          <w:rFonts w:hint="cs"/>
          <w:rtl/>
        </w:rPr>
        <w:t>ב</w:t>
      </w:r>
      <w:hyperlink r:id="rId35" w:history="1">
        <w:r w:rsidRPr="004075C2">
          <w:rPr>
            <w:color w:val="0000FF"/>
            <w:u w:val="single"/>
            <w:rtl/>
            <w:lang w:eastAsia="he-IL"/>
          </w:rPr>
          <w:t>ע"פ (חי') 7319-08-12</w:t>
        </w:r>
      </w:hyperlink>
      <w:r>
        <w:rPr>
          <w:rtl/>
          <w:lang w:eastAsia="he-IL"/>
        </w:rPr>
        <w:t xml:space="preserve"> </w:t>
      </w:r>
      <w:r>
        <w:rPr>
          <w:rFonts w:hint="eastAsia"/>
          <w:b/>
          <w:bCs/>
          <w:u w:val="single"/>
          <w:rtl/>
          <w:lang w:eastAsia="he-IL"/>
        </w:rPr>
        <w:t>סבח</w:t>
      </w:r>
      <w:r>
        <w:rPr>
          <w:b/>
          <w:bCs/>
          <w:u w:val="single"/>
          <w:rtl/>
          <w:lang w:eastAsia="he-IL"/>
        </w:rPr>
        <w:t xml:space="preserve"> </w:t>
      </w:r>
      <w:r>
        <w:rPr>
          <w:rFonts w:hint="eastAsia"/>
          <w:b/>
          <w:bCs/>
          <w:u w:val="single"/>
          <w:rtl/>
          <w:lang w:eastAsia="he-IL"/>
        </w:rPr>
        <w:t>נ</w:t>
      </w:r>
      <w:r>
        <w:rPr>
          <w:b/>
          <w:bCs/>
          <w:u w:val="single"/>
          <w:rtl/>
          <w:lang w:eastAsia="he-IL"/>
        </w:rPr>
        <w:t xml:space="preserve">' </w:t>
      </w:r>
      <w:r>
        <w:rPr>
          <w:rFonts w:hint="eastAsia"/>
          <w:b/>
          <w:bCs/>
          <w:u w:val="single"/>
          <w:rtl/>
          <w:lang w:eastAsia="he-IL"/>
        </w:rPr>
        <w:t>מדינת</w:t>
      </w:r>
      <w:r>
        <w:rPr>
          <w:b/>
          <w:bCs/>
          <w:u w:val="single"/>
          <w:rtl/>
          <w:lang w:eastAsia="he-IL"/>
        </w:rPr>
        <w:t xml:space="preserve"> </w:t>
      </w:r>
      <w:r>
        <w:rPr>
          <w:rFonts w:hint="eastAsia"/>
          <w:b/>
          <w:bCs/>
          <w:u w:val="single"/>
          <w:rtl/>
          <w:lang w:eastAsia="he-IL"/>
        </w:rPr>
        <w:t>ישראל</w:t>
      </w:r>
      <w:r>
        <w:rPr>
          <w:rtl/>
          <w:lang w:eastAsia="he-IL"/>
        </w:rPr>
        <w:t xml:space="preserve"> (25.10.12): </w:t>
      </w:r>
      <w:r>
        <w:rPr>
          <w:b/>
          <w:bCs/>
          <w:rtl/>
        </w:rPr>
        <w:t>"</w:t>
      </w:r>
      <w:r>
        <w:rPr>
          <w:rFonts w:hint="eastAsia"/>
          <w:b/>
          <w:bCs/>
          <w:rtl/>
        </w:rPr>
        <w:t>לא</w:t>
      </w:r>
      <w:r>
        <w:rPr>
          <w:b/>
          <w:bCs/>
          <w:rtl/>
        </w:rPr>
        <w:t xml:space="preserve"> </w:t>
      </w:r>
      <w:r>
        <w:rPr>
          <w:rFonts w:hint="eastAsia"/>
          <w:b/>
          <w:bCs/>
          <w:rtl/>
        </w:rPr>
        <w:t>נעלם</w:t>
      </w:r>
      <w:r>
        <w:rPr>
          <w:b/>
          <w:bCs/>
          <w:rtl/>
        </w:rPr>
        <w:t xml:space="preserve"> </w:t>
      </w:r>
      <w:r>
        <w:rPr>
          <w:rFonts w:hint="eastAsia"/>
          <w:b/>
          <w:bCs/>
          <w:rtl/>
        </w:rPr>
        <w:t>מעיני</w:t>
      </w:r>
      <w:r>
        <w:rPr>
          <w:b/>
          <w:bCs/>
          <w:rtl/>
        </w:rPr>
        <w:t xml:space="preserve"> </w:t>
      </w:r>
      <w:r>
        <w:rPr>
          <w:rFonts w:hint="eastAsia"/>
          <w:b/>
          <w:bCs/>
          <w:rtl/>
        </w:rPr>
        <w:t>כי</w:t>
      </w:r>
      <w:r>
        <w:rPr>
          <w:b/>
          <w:bCs/>
          <w:rtl/>
        </w:rPr>
        <w:t xml:space="preserve"> </w:t>
      </w:r>
      <w:r>
        <w:rPr>
          <w:rFonts w:hint="eastAsia"/>
          <w:b/>
          <w:bCs/>
          <w:rtl/>
        </w:rPr>
        <w:t>הסם</w:t>
      </w:r>
      <w:r>
        <w:rPr>
          <w:b/>
          <w:bCs/>
          <w:rtl/>
        </w:rPr>
        <w:t xml:space="preserve"> </w:t>
      </w:r>
      <w:r>
        <w:rPr>
          <w:rFonts w:hint="eastAsia"/>
          <w:b/>
          <w:bCs/>
          <w:rtl/>
        </w:rPr>
        <w:t>בו</w:t>
      </w:r>
      <w:r>
        <w:rPr>
          <w:b/>
          <w:bCs/>
          <w:rtl/>
        </w:rPr>
        <w:t xml:space="preserve"> </w:t>
      </w:r>
      <w:r>
        <w:rPr>
          <w:rFonts w:hint="eastAsia"/>
          <w:b/>
          <w:bCs/>
          <w:rtl/>
        </w:rPr>
        <w:t>סחר</w:t>
      </w:r>
      <w:r>
        <w:rPr>
          <w:b/>
          <w:bCs/>
          <w:rtl/>
        </w:rPr>
        <w:t xml:space="preserve"> </w:t>
      </w:r>
      <w:r>
        <w:rPr>
          <w:rFonts w:hint="eastAsia"/>
          <w:b/>
          <w:bCs/>
          <w:rtl/>
        </w:rPr>
        <w:t>המערער</w:t>
      </w:r>
      <w:r>
        <w:rPr>
          <w:b/>
          <w:bCs/>
          <w:rtl/>
        </w:rPr>
        <w:t xml:space="preserve"> </w:t>
      </w:r>
      <w:r>
        <w:rPr>
          <w:rFonts w:hint="eastAsia"/>
          <w:b/>
          <w:bCs/>
          <w:rtl/>
        </w:rPr>
        <w:t>הוא</w:t>
      </w:r>
      <w:r>
        <w:rPr>
          <w:b/>
          <w:bCs/>
          <w:rtl/>
        </w:rPr>
        <w:t xml:space="preserve"> </w:t>
      </w:r>
      <w:r>
        <w:rPr>
          <w:rFonts w:hint="eastAsia"/>
          <w:b/>
          <w:bCs/>
          <w:rtl/>
        </w:rPr>
        <w:t>סם</w:t>
      </w:r>
      <w:r>
        <w:rPr>
          <w:b/>
          <w:bCs/>
          <w:rtl/>
        </w:rPr>
        <w:t xml:space="preserve"> </w:t>
      </w:r>
      <w:r>
        <w:rPr>
          <w:rFonts w:hint="eastAsia"/>
          <w:b/>
          <w:bCs/>
          <w:rtl/>
        </w:rPr>
        <w:t>מסוג</w:t>
      </w:r>
      <w:r>
        <w:rPr>
          <w:b/>
          <w:bCs/>
          <w:rtl/>
        </w:rPr>
        <w:t xml:space="preserve"> </w:t>
      </w:r>
      <w:r>
        <w:rPr>
          <w:rFonts w:hint="eastAsia"/>
          <w:b/>
          <w:bCs/>
          <w:rtl/>
        </w:rPr>
        <w:t>חשיש</w:t>
      </w:r>
      <w:r>
        <w:rPr>
          <w:b/>
          <w:bCs/>
          <w:rtl/>
        </w:rPr>
        <w:t xml:space="preserve"> </w:t>
      </w:r>
      <w:r>
        <w:rPr>
          <w:rFonts w:hint="eastAsia"/>
          <w:b/>
          <w:bCs/>
          <w:rtl/>
        </w:rPr>
        <w:t>וכי</w:t>
      </w:r>
      <w:r>
        <w:rPr>
          <w:b/>
          <w:bCs/>
          <w:rtl/>
        </w:rPr>
        <w:t xml:space="preserve"> </w:t>
      </w:r>
      <w:r>
        <w:rPr>
          <w:rFonts w:hint="eastAsia"/>
          <w:b/>
          <w:bCs/>
          <w:rtl/>
        </w:rPr>
        <w:t>מדובר</w:t>
      </w:r>
      <w:r>
        <w:rPr>
          <w:b/>
          <w:bCs/>
          <w:rtl/>
        </w:rPr>
        <w:t xml:space="preserve"> </w:t>
      </w:r>
      <w:r>
        <w:rPr>
          <w:rFonts w:hint="eastAsia"/>
          <w:b/>
          <w:bCs/>
          <w:rtl/>
        </w:rPr>
        <w:t>בכמויות</w:t>
      </w:r>
      <w:r>
        <w:rPr>
          <w:b/>
          <w:bCs/>
          <w:rtl/>
        </w:rPr>
        <w:t xml:space="preserve"> </w:t>
      </w:r>
      <w:r>
        <w:rPr>
          <w:rFonts w:hint="eastAsia"/>
          <w:b/>
          <w:bCs/>
          <w:rtl/>
        </w:rPr>
        <w:t>קטנות</w:t>
      </w:r>
      <w:r>
        <w:rPr>
          <w:b/>
          <w:bCs/>
          <w:rtl/>
        </w:rPr>
        <w:t xml:space="preserve"> </w:t>
      </w:r>
      <w:r>
        <w:rPr>
          <w:rFonts w:hint="eastAsia"/>
          <w:b/>
          <w:bCs/>
          <w:rtl/>
        </w:rPr>
        <w:t>של</w:t>
      </w:r>
      <w:r>
        <w:rPr>
          <w:b/>
          <w:bCs/>
          <w:rtl/>
        </w:rPr>
        <w:t xml:space="preserve"> </w:t>
      </w:r>
      <w:r>
        <w:rPr>
          <w:rFonts w:hint="eastAsia"/>
          <w:b/>
          <w:bCs/>
          <w:rtl/>
        </w:rPr>
        <w:t>הסם</w:t>
      </w:r>
      <w:r>
        <w:rPr>
          <w:b/>
          <w:bCs/>
          <w:rtl/>
        </w:rPr>
        <w:t xml:space="preserve">. </w:t>
      </w:r>
      <w:r>
        <w:rPr>
          <w:rFonts w:hint="eastAsia"/>
          <w:b/>
          <w:bCs/>
          <w:rtl/>
        </w:rPr>
        <w:t>ואולם</w:t>
      </w:r>
      <w:r>
        <w:rPr>
          <w:b/>
          <w:bCs/>
          <w:rtl/>
        </w:rPr>
        <w:t xml:space="preserve">, </w:t>
      </w:r>
      <w:r>
        <w:rPr>
          <w:rFonts w:hint="eastAsia"/>
          <w:b/>
          <w:bCs/>
          <w:rtl/>
        </w:rPr>
        <w:t>גם</w:t>
      </w:r>
      <w:r>
        <w:rPr>
          <w:b/>
          <w:bCs/>
          <w:rtl/>
        </w:rPr>
        <w:t xml:space="preserve"> </w:t>
      </w:r>
      <w:r>
        <w:rPr>
          <w:rFonts w:hint="eastAsia"/>
          <w:b/>
          <w:bCs/>
          <w:rtl/>
        </w:rPr>
        <w:t>חשיש</w:t>
      </w:r>
      <w:r>
        <w:rPr>
          <w:b/>
          <w:bCs/>
          <w:rtl/>
        </w:rPr>
        <w:t xml:space="preserve"> </w:t>
      </w:r>
      <w:r>
        <w:rPr>
          <w:rFonts w:hint="eastAsia"/>
          <w:b/>
          <w:bCs/>
          <w:rtl/>
        </w:rPr>
        <w:t>הוא</w:t>
      </w:r>
      <w:r>
        <w:rPr>
          <w:b/>
          <w:bCs/>
          <w:rtl/>
        </w:rPr>
        <w:t xml:space="preserve"> </w:t>
      </w:r>
      <w:r>
        <w:rPr>
          <w:rFonts w:hint="eastAsia"/>
          <w:b/>
          <w:bCs/>
          <w:rtl/>
        </w:rPr>
        <w:t>סם</w:t>
      </w:r>
      <w:r>
        <w:rPr>
          <w:b/>
          <w:bCs/>
          <w:rtl/>
        </w:rPr>
        <w:t xml:space="preserve"> </w:t>
      </w:r>
      <w:r>
        <w:rPr>
          <w:rFonts w:hint="eastAsia"/>
          <w:b/>
          <w:bCs/>
          <w:rtl/>
        </w:rPr>
        <w:t>מסוכן</w:t>
      </w:r>
      <w:r>
        <w:rPr>
          <w:b/>
          <w:bCs/>
          <w:rtl/>
        </w:rPr>
        <w:t xml:space="preserve"> </w:t>
      </w:r>
      <w:r>
        <w:rPr>
          <w:rFonts w:hint="eastAsia"/>
          <w:b/>
          <w:bCs/>
          <w:rtl/>
        </w:rPr>
        <w:t>שהשפעתו</w:t>
      </w:r>
      <w:r>
        <w:rPr>
          <w:b/>
          <w:bCs/>
          <w:rtl/>
        </w:rPr>
        <w:t xml:space="preserve"> </w:t>
      </w:r>
      <w:r>
        <w:rPr>
          <w:rFonts w:hint="eastAsia"/>
          <w:b/>
          <w:bCs/>
          <w:rtl/>
        </w:rPr>
        <w:t>על</w:t>
      </w:r>
      <w:r>
        <w:rPr>
          <w:b/>
          <w:bCs/>
          <w:rtl/>
        </w:rPr>
        <w:t xml:space="preserve"> </w:t>
      </w:r>
      <w:r>
        <w:rPr>
          <w:rFonts w:hint="eastAsia"/>
          <w:b/>
          <w:bCs/>
          <w:rtl/>
        </w:rPr>
        <w:t>החברה</w:t>
      </w:r>
      <w:r>
        <w:rPr>
          <w:b/>
          <w:bCs/>
          <w:rtl/>
        </w:rPr>
        <w:t xml:space="preserve">, </w:t>
      </w:r>
      <w:r>
        <w:rPr>
          <w:rFonts w:hint="eastAsia"/>
          <w:b/>
          <w:bCs/>
          <w:rtl/>
        </w:rPr>
        <w:t>ובעיקר</w:t>
      </w:r>
      <w:r>
        <w:rPr>
          <w:b/>
          <w:bCs/>
          <w:rtl/>
        </w:rPr>
        <w:t xml:space="preserve"> </w:t>
      </w:r>
      <w:r>
        <w:rPr>
          <w:rFonts w:hint="eastAsia"/>
          <w:b/>
          <w:bCs/>
          <w:rtl/>
        </w:rPr>
        <w:t>על</w:t>
      </w:r>
      <w:r>
        <w:rPr>
          <w:b/>
          <w:bCs/>
          <w:rtl/>
        </w:rPr>
        <w:t xml:space="preserve"> </w:t>
      </w:r>
      <w:r>
        <w:rPr>
          <w:rFonts w:hint="eastAsia"/>
          <w:b/>
          <w:bCs/>
          <w:rtl/>
        </w:rPr>
        <w:t>הצעירים</w:t>
      </w:r>
      <w:r>
        <w:rPr>
          <w:b/>
          <w:bCs/>
          <w:rtl/>
        </w:rPr>
        <w:t xml:space="preserve"> </w:t>
      </w:r>
      <w:r>
        <w:rPr>
          <w:rFonts w:hint="eastAsia"/>
          <w:b/>
          <w:bCs/>
          <w:rtl/>
        </w:rPr>
        <w:t>שבה</w:t>
      </w:r>
      <w:r>
        <w:rPr>
          <w:b/>
          <w:bCs/>
          <w:rtl/>
        </w:rPr>
        <w:t xml:space="preserve">, </w:t>
      </w:r>
      <w:r>
        <w:rPr>
          <w:rFonts w:hint="eastAsia"/>
          <w:b/>
          <w:bCs/>
          <w:rtl/>
        </w:rPr>
        <w:t>קשה</w:t>
      </w:r>
      <w:r>
        <w:rPr>
          <w:b/>
          <w:bCs/>
          <w:rtl/>
        </w:rPr>
        <w:t>".</w:t>
      </w:r>
    </w:p>
    <w:p w14:paraId="2BD8F415" w14:textId="77777777" w:rsidR="00234B8D" w:rsidRDefault="00234B8D">
      <w:pPr>
        <w:spacing w:line="360" w:lineRule="auto"/>
        <w:jc w:val="both"/>
        <w:rPr>
          <w:rtl/>
          <w:lang w:eastAsia="he-IL"/>
        </w:rPr>
      </w:pPr>
    </w:p>
    <w:p w14:paraId="3D189562" w14:textId="77777777" w:rsidR="00234B8D" w:rsidRDefault="004075C2">
      <w:pPr>
        <w:spacing w:line="360" w:lineRule="auto"/>
        <w:jc w:val="both"/>
        <w:rPr>
          <w:rtl/>
          <w:lang w:eastAsia="he-IL"/>
        </w:rPr>
      </w:pPr>
      <w:r>
        <w:rPr>
          <w:rFonts w:hint="cs"/>
          <w:rtl/>
          <w:lang w:eastAsia="he-IL"/>
        </w:rPr>
        <w:t>מנגד, וזאת יש להדגיש, חומרה יתרה מצויה במעשיו של הנאשם אפילו הנחת המוצא היא כי עאבד הוא מחולל הפשיעה העיקרי ואנמק.</w:t>
      </w:r>
    </w:p>
    <w:p w14:paraId="73279C93" w14:textId="77777777" w:rsidR="00234B8D" w:rsidRDefault="00234B8D">
      <w:pPr>
        <w:spacing w:line="360" w:lineRule="auto"/>
        <w:jc w:val="both"/>
        <w:rPr>
          <w:rtl/>
          <w:lang w:eastAsia="he-IL"/>
        </w:rPr>
      </w:pPr>
    </w:p>
    <w:p w14:paraId="51AEBAA6" w14:textId="77777777" w:rsidR="00234B8D" w:rsidRDefault="004075C2">
      <w:pPr>
        <w:spacing w:line="360" w:lineRule="auto"/>
        <w:jc w:val="both"/>
        <w:rPr>
          <w:rtl/>
          <w:lang w:eastAsia="he-IL"/>
        </w:rPr>
      </w:pPr>
      <w:r>
        <w:rPr>
          <w:rFonts w:hint="cs"/>
          <w:rtl/>
          <w:lang w:eastAsia="he-IL"/>
        </w:rPr>
        <w:t xml:space="preserve">ראשית, מבחינה עובדתית, חלקו של הנאשם (בנפרד משאלת "בכירותו") בביצוע העסקאות הנו מרכזי. הנאשם הוא זה שמגיע למקום המפגש רכוב כשבאמתחתו הסמים, הוא זה שפוגש בסוכן, הוא זה שמעביר לו את הסמים ולוקח ממנו את הכסף. גם אם בעסקה השנייה היו עם הנאשם נוספים אחרים ברכב, הנאשם הוא הגורם הדומיננטי בהתרחשות וקידום העסקה וכפי עדות הסוכן הוא זה שמורה לאַחֵר, שהיה בקדמת הרכב ,להעביר את הסמים לידי הסוכן. </w:t>
      </w:r>
    </w:p>
    <w:p w14:paraId="373B46E6" w14:textId="77777777" w:rsidR="00234B8D" w:rsidRDefault="00234B8D">
      <w:pPr>
        <w:spacing w:line="360" w:lineRule="auto"/>
        <w:jc w:val="both"/>
        <w:rPr>
          <w:rtl/>
          <w:lang w:eastAsia="he-IL"/>
        </w:rPr>
      </w:pPr>
    </w:p>
    <w:p w14:paraId="781BC22A" w14:textId="77777777" w:rsidR="00234B8D" w:rsidRDefault="004075C2">
      <w:pPr>
        <w:spacing w:line="360" w:lineRule="auto"/>
        <w:jc w:val="both"/>
        <w:rPr>
          <w:rtl/>
          <w:lang w:eastAsia="he-IL"/>
        </w:rPr>
      </w:pPr>
      <w:r>
        <w:rPr>
          <w:rFonts w:hint="cs"/>
          <w:rtl/>
          <w:lang w:eastAsia="he-IL"/>
        </w:rPr>
        <w:t>ביתר שאת, בית המשפט שת ליבו  לכמות הסם המשמעותית המגיעה לכדי 11 פלטות באישום הראשון ו-12 פלטות באישום השני. הווה ידוע כי משקלה של כל פלטה הנו קרוב למאה גרם כך שעניין לנו בסחר של קרוב ל-2.3 ק"ג סם מסוג חשיש מחולק ל-23 פלטות. גם אם אין יחס לינארי ישיר בין משקל הסם לבין העונש שנגזר בסופם של דברים, עניין לנו בעבירת סחר במשקל נכבד ביותר. מהכמות בה סחר הנאשם ניתן להכין מאות מנות סם לצריכה עצמית אם לא למעלה מכך.</w:t>
      </w:r>
    </w:p>
    <w:p w14:paraId="5BF4B294" w14:textId="77777777" w:rsidR="00234B8D" w:rsidRDefault="00234B8D">
      <w:pPr>
        <w:spacing w:line="360" w:lineRule="auto"/>
        <w:jc w:val="both"/>
        <w:rPr>
          <w:rtl/>
          <w:lang w:eastAsia="he-IL"/>
        </w:rPr>
      </w:pPr>
    </w:p>
    <w:p w14:paraId="5573B234" w14:textId="77777777" w:rsidR="00234B8D" w:rsidRDefault="004075C2">
      <w:pPr>
        <w:spacing w:line="360" w:lineRule="auto"/>
        <w:jc w:val="both"/>
        <w:rPr>
          <w:rtl/>
          <w:lang w:eastAsia="he-IL"/>
        </w:rPr>
      </w:pPr>
      <w:r>
        <w:rPr>
          <w:rFonts w:hint="cs"/>
          <w:rtl/>
          <w:lang w:eastAsia="he-IL"/>
        </w:rPr>
        <w:t>בדומה, סכומי הכסף אשר שולמו עבור הסמים הינם גבוהים ונכבדים. עבור העסקה הראשונה שילם הסוכן לנאשם 26,500 ₪ במזומן, ואילו בעסקה השנייה שילם לו 29,000 ₪, כאשר לסכומים אלו התווספו עוד כ-4,000 ₪ עבור החוב אותו חב הסוכן לעבד.</w:t>
      </w:r>
    </w:p>
    <w:p w14:paraId="528857F2" w14:textId="77777777" w:rsidR="00234B8D" w:rsidRDefault="00234B8D">
      <w:pPr>
        <w:spacing w:line="360" w:lineRule="auto"/>
        <w:jc w:val="both"/>
        <w:rPr>
          <w:rtl/>
          <w:lang w:eastAsia="he-IL"/>
        </w:rPr>
      </w:pPr>
    </w:p>
    <w:p w14:paraId="53A2BDB3" w14:textId="77777777" w:rsidR="00234B8D" w:rsidRDefault="004075C2">
      <w:pPr>
        <w:spacing w:line="360" w:lineRule="auto"/>
        <w:jc w:val="both"/>
        <w:rPr>
          <w:rtl/>
          <w:lang w:eastAsia="he-IL"/>
        </w:rPr>
      </w:pPr>
      <w:r>
        <w:rPr>
          <w:rFonts w:hint="cs"/>
          <w:rtl/>
          <w:lang w:eastAsia="he-IL"/>
        </w:rPr>
        <w:t>סחר בכמויות שכאלה מלמד על מי שמיקומו בשרשרת הפצת הסם גבוה עד מאוד. אם תמצה לומר, ובהמשלה, אין לנו עניין בסוחר "קמעונאי" אלא במי שעובד ב"סיטונאות". אפילו תמצי לומר כי הנאשם פעל כשליחו של עבד, הרי אין דומה שליחות בה מועבר סם במשקל זעום אל מול המקרה שבפנינו. בין כך ובין כך, ברי שיש לאבחן תכלית שוני את העסקאות בהן היה מעורב הנאשם אל מול אותן עבירות סחר, הנעשות בקרנות רחוב לנרקומנים תמורת עשרות עד מאות שקלים עבור "אצבע" חשיש (מבלי להקל ראש גם בסחר בנסיבות שכאלה).</w:t>
      </w:r>
    </w:p>
    <w:p w14:paraId="25544D40" w14:textId="77777777" w:rsidR="00234B8D" w:rsidRDefault="00234B8D">
      <w:pPr>
        <w:spacing w:line="360" w:lineRule="auto"/>
        <w:jc w:val="both"/>
        <w:rPr>
          <w:rtl/>
          <w:lang w:eastAsia="he-IL"/>
        </w:rPr>
      </w:pPr>
    </w:p>
    <w:p w14:paraId="2E246632" w14:textId="77777777" w:rsidR="00234B8D" w:rsidRDefault="004075C2">
      <w:pPr>
        <w:spacing w:line="360" w:lineRule="auto"/>
        <w:jc w:val="both"/>
        <w:rPr>
          <w:rtl/>
          <w:lang w:eastAsia="he-IL"/>
        </w:rPr>
      </w:pPr>
      <w:r>
        <w:rPr>
          <w:rFonts w:hint="cs"/>
          <w:rtl/>
          <w:lang w:eastAsia="he-IL"/>
        </w:rPr>
        <w:t>התנהלותו של הנאשם, כפי שזו נלמדת מחומר החקירה מעידה על מי שמצוי היטב בפלילים, ונוקט משנה זהירות עובר למסירת הסמים. הדברים נלמדים הן בשים לב לדבריו בעסקה הראשונה, לפיהם לא כדאי להעביר את הסם בתחנת הדלק (ואגב כך מתקדם עם רכבו לעבר היישוב שגב שלום), והן בשים לב לדבריו בעסקה השנייה לפיהם מסוכן לבצע את העסקה במקום שבו נקבעה (כאשר בשלב זה הנאשם, יחד עם שלושה נוספים, מתחילים בנסיעה של כחצי שעה במהלכה מועבר הסם). לא זו בלבד, הרי שהנאשם כפי הנראה מגלה גם "עצמאות" במהלך האירועים, מקום בו זה פונה במהלך הנסיעה בעסקה השנייה לסוכן ושואל כיצד "</w:t>
      </w:r>
      <w:r>
        <w:rPr>
          <w:rFonts w:hint="cs"/>
          <w:b/>
          <w:bCs/>
          <w:rtl/>
          <w:lang w:eastAsia="he-IL"/>
        </w:rPr>
        <w:t>הלמעלה אצלך</w:t>
      </w:r>
      <w:r>
        <w:rPr>
          <w:rFonts w:hint="cs"/>
          <w:rtl/>
          <w:lang w:eastAsia="he-IL"/>
        </w:rPr>
        <w:t>", ובהמשך מציע לסוכן כי יוכל לפנות אליו על כל דבר שהוא יצטרך, כאשר מתוכן השיחה והקשרה ניתן ללמוד כי עניין לנו בהצעה לספק סמים.</w:t>
      </w:r>
    </w:p>
    <w:p w14:paraId="45714CC1" w14:textId="77777777" w:rsidR="00234B8D" w:rsidRDefault="00234B8D">
      <w:pPr>
        <w:spacing w:line="360" w:lineRule="auto"/>
        <w:jc w:val="both"/>
        <w:rPr>
          <w:rtl/>
          <w:lang w:eastAsia="he-IL"/>
        </w:rPr>
      </w:pPr>
    </w:p>
    <w:p w14:paraId="269A519F" w14:textId="77777777" w:rsidR="00234B8D" w:rsidRDefault="004075C2">
      <w:pPr>
        <w:spacing w:line="360" w:lineRule="auto"/>
        <w:jc w:val="both"/>
        <w:rPr>
          <w:rtl/>
          <w:lang w:eastAsia="he-IL"/>
        </w:rPr>
      </w:pPr>
      <w:r>
        <w:rPr>
          <w:rFonts w:hint="cs"/>
          <w:rtl/>
          <w:lang w:eastAsia="he-IL"/>
        </w:rPr>
        <w:t xml:space="preserve">העובדה כי הנאשם, בשתי הזדמנויות שונות, ובהפרש של כחודש ימים, מעורב בעסקאות סמים באותן נסיבות, מקהה עד מאוד את הטענה לפיה זה, כפי הנראה, ביצע "טובה" באופן מזדמן עבור עבד. עוד ביחס לכך, נדמה כי עבד לא היה "מנדב" את הנאשם לביצוע אותן עסקאות שרקח, אלמלא היה זה איש אמונו. </w:t>
      </w:r>
    </w:p>
    <w:p w14:paraId="0939FB82" w14:textId="77777777" w:rsidR="00234B8D" w:rsidRDefault="00234B8D">
      <w:pPr>
        <w:spacing w:line="360" w:lineRule="auto"/>
        <w:jc w:val="both"/>
        <w:rPr>
          <w:rtl/>
          <w:lang w:eastAsia="he-IL"/>
        </w:rPr>
      </w:pPr>
    </w:p>
    <w:p w14:paraId="10726D4A" w14:textId="77777777" w:rsidR="00234B8D" w:rsidRDefault="004075C2">
      <w:pPr>
        <w:spacing w:line="360" w:lineRule="auto"/>
        <w:jc w:val="both"/>
        <w:rPr>
          <w:rtl/>
          <w:lang w:eastAsia="he-IL"/>
        </w:rPr>
      </w:pPr>
      <w:r>
        <w:rPr>
          <w:rFonts w:hint="cs"/>
          <w:rtl/>
          <w:lang w:eastAsia="he-IL"/>
        </w:rPr>
        <w:t>הנאשם אינו משתמש בסמים ובדבריו לעונש אף טען כי הוא נגד התופעה ולכן מעולם לא מכר סמים לאיש. לא ברור האם דברים אלו של הנאשם הינם חלק מאותה הכחשה כללית, או מתוך ראייה פשטנית כי רק העביר סמים בין סוחרים ולא מכרם לנרקומנים. בין כך ובין כך, יש לאבחן מקרה זה לחומרה על-פני אותם נרקומנים דלים אשר אגב שימוש בסמים מוכרים חלק מהסם לצורך מימון מנת הסם הבאה. הנה-כי-כן, הנאשם פועל מתוך בצע כסף על חשבון בריאות הציבור.</w:t>
      </w:r>
    </w:p>
    <w:p w14:paraId="10D7792A" w14:textId="77777777" w:rsidR="00234B8D" w:rsidRDefault="00234B8D">
      <w:pPr>
        <w:spacing w:line="360" w:lineRule="auto"/>
        <w:jc w:val="both"/>
        <w:rPr>
          <w:rtl/>
          <w:lang w:eastAsia="he-IL"/>
        </w:rPr>
      </w:pPr>
    </w:p>
    <w:p w14:paraId="35500C76" w14:textId="77777777" w:rsidR="00234B8D" w:rsidRDefault="004075C2">
      <w:pPr>
        <w:spacing w:line="360" w:lineRule="auto"/>
        <w:jc w:val="both"/>
        <w:rPr>
          <w:rtl/>
          <w:lang w:eastAsia="he-IL"/>
        </w:rPr>
      </w:pPr>
      <w:r>
        <w:rPr>
          <w:rFonts w:hint="cs"/>
          <w:rtl/>
          <w:lang w:eastAsia="he-IL"/>
        </w:rPr>
        <w:t>הנאשם ועבד מבצעים למעשה את עסקאות הסמים בצוותא חדא. הביצוע בצוותא חדא, יש בו מחד להקל על הביצוע ומאידך להקשות על הגילוי. מעשיו של הנאשם מאפשרים לאותם מחוללי הפשיעה כדוגמת אותו עבד להישאר ברקע ולצמצם את הסיכון שייתפס. הווה ידוע כי לכל חולייה בשרשרת הפצת הסם תפקיד, בין אם המדובר בהסלקתו, שיווקו, העברתו, או סיוע בהסעה, תצפית וכיוצא באלה. לא בכדי נקבע כי בעבירות סמים יש להילחם בכל שרשרת הפצת הסם, באשר לכל אחת מהן תפקיד בלעדיו אין.</w:t>
      </w:r>
    </w:p>
    <w:p w14:paraId="5AFADA4A" w14:textId="77777777" w:rsidR="00234B8D" w:rsidRDefault="00234B8D">
      <w:pPr>
        <w:spacing w:line="360" w:lineRule="auto"/>
        <w:jc w:val="both"/>
        <w:rPr>
          <w:rtl/>
          <w:lang w:eastAsia="he-IL"/>
        </w:rPr>
      </w:pPr>
    </w:p>
    <w:p w14:paraId="64953766" w14:textId="77777777" w:rsidR="00234B8D" w:rsidRDefault="004075C2">
      <w:pPr>
        <w:spacing w:line="360" w:lineRule="auto"/>
        <w:jc w:val="both"/>
        <w:rPr>
          <w:rFonts w:ascii="Arial" w:hAnsi="Arial"/>
        </w:rPr>
      </w:pPr>
      <w:r>
        <w:rPr>
          <w:rFonts w:ascii="Arial" w:hAnsi="Arial" w:hint="cs"/>
          <w:rtl/>
        </w:rPr>
        <w:t>בתיק דנן הסמים נתפסו, ומכאן שאין לדבר על נזק ישיר שנגרם לבריאות הציבור. מנגד, יש ליתן הדעת לנזק הפוטנציאלי ולסכנה הטמונה בסם. אמנם אין נוכחות קורבן במובן "הקלאסי" של אדם אשר בא ומטיח בנאשם כי פגע בו. ודוק, מדי יום מגיעים לפתחו של בית המשפט זה כתבי אישום רבים הנסובים סביב עבירות רכוש שבוצעו לצורך מימון הסם. לא אחת מדובר באנשים שאיבדו את כל ממונם במסגרת אותה התמכרות. לעיתים קרובות אלו פוגעים ביקרים להם תוך נקיטת אלימות לצורך מימון הסמים. בבואו של בית המשפט לבחון את הסיכון הנשקף ממעשיו של הנאשם, עליו לשוות לנגד עיניו את כל אותם צרכני סמים וכל אותן תופעות נלוות להתמכרות זו.</w:t>
      </w:r>
    </w:p>
    <w:p w14:paraId="4B7B412F" w14:textId="77777777" w:rsidR="00234B8D" w:rsidRDefault="00234B8D">
      <w:pPr>
        <w:spacing w:line="360" w:lineRule="auto"/>
        <w:jc w:val="both"/>
        <w:rPr>
          <w:rtl/>
          <w:lang w:eastAsia="he-IL"/>
        </w:rPr>
      </w:pPr>
    </w:p>
    <w:p w14:paraId="52808EF3" w14:textId="77777777" w:rsidR="00234B8D" w:rsidRDefault="004075C2">
      <w:pPr>
        <w:spacing w:line="360" w:lineRule="auto"/>
        <w:jc w:val="both"/>
        <w:rPr>
          <w:rFonts w:ascii="Calibri" w:hAnsi="Calibri"/>
          <w:rtl/>
          <w:lang w:eastAsia="he-IL"/>
        </w:rPr>
      </w:pPr>
      <w:r>
        <w:rPr>
          <w:rFonts w:hint="cs"/>
          <w:rtl/>
          <w:lang w:eastAsia="he-IL"/>
        </w:rPr>
        <w:t xml:space="preserve">אסיים ההתייחסות לנסיבות הקשורות לביצוע העבירה ואציין כי לא מצאתי ממש בטענה שעלתה במהלך הטיעונים לעונש ולפיה, אין כל וודאות כי הנאשם ידע מהו טיב החומר שהועבר, משקלו וטיבו על רקע היותו רק "השליח" של עבד. עמדה זו של בית המשפט מבוססת על היות טענה זו טענה עובדתית חלופית שאינה יכולה לדור בכפיפה אחת עם קו ההגנה שנקט הנאשם. הדברים מכוונים לכך שהנאשם למן תחילת הדרך טען </w:t>
      </w:r>
      <w:r>
        <w:rPr>
          <w:rtl/>
          <w:lang w:eastAsia="he-IL"/>
        </w:rPr>
        <w:t>–</w:t>
      </w:r>
      <w:r>
        <w:rPr>
          <w:rFonts w:hint="cs"/>
          <w:rtl/>
          <w:lang w:eastAsia="he-IL"/>
        </w:rPr>
        <w:t xml:space="preserve"> ועודנו טוען </w:t>
      </w:r>
      <w:r>
        <w:rPr>
          <w:rtl/>
          <w:lang w:eastAsia="he-IL"/>
        </w:rPr>
        <w:t>–</w:t>
      </w:r>
      <w:r>
        <w:rPr>
          <w:rFonts w:hint="cs"/>
          <w:rtl/>
          <w:lang w:eastAsia="he-IL"/>
        </w:rPr>
        <w:t xml:space="preserve"> כי לא הוא זה שביצע את העסקאות מול הסוכן. כשזו תמונה הדברים לא ניתן בה בעת לטעון כי לא היה מודע לטיב החומר. הדברים אמורים מקל וחומר מקום בו טענה שכזו מועלית לראשונה בשלב הטיעונים לעונש.  </w:t>
      </w:r>
    </w:p>
    <w:p w14:paraId="28F8E92E" w14:textId="77777777" w:rsidR="00234B8D" w:rsidRDefault="004075C2">
      <w:pPr>
        <w:spacing w:line="360" w:lineRule="auto"/>
        <w:jc w:val="both"/>
        <w:rPr>
          <w:rtl/>
          <w:lang w:eastAsia="he-IL"/>
        </w:rPr>
      </w:pPr>
      <w:r>
        <w:rPr>
          <w:rFonts w:hint="cs"/>
          <w:rtl/>
          <w:lang w:eastAsia="he-IL"/>
        </w:rPr>
        <w:t xml:space="preserve"> </w:t>
      </w:r>
    </w:p>
    <w:p w14:paraId="70164893" w14:textId="77777777" w:rsidR="00234B8D" w:rsidRDefault="004075C2">
      <w:pPr>
        <w:spacing w:line="360" w:lineRule="auto"/>
        <w:jc w:val="both"/>
        <w:rPr>
          <w:rFonts w:ascii="Calibri" w:hAnsi="Calibri"/>
          <w:b/>
          <w:bCs/>
          <w:rtl/>
        </w:rPr>
      </w:pPr>
      <w:r>
        <w:rPr>
          <w:rFonts w:ascii="Calibri" w:hAnsi="Calibri" w:hint="cs"/>
          <w:b/>
          <w:bCs/>
          <w:rtl/>
        </w:rPr>
        <w:t>מכל המקובץ לעיל הנני לקבוע כי המתחם העונש ההולם בגין מכלול מעשיו של הנאשם נע בין 28 חודשים ל-54 חודשים מאסר בפועל.</w:t>
      </w:r>
    </w:p>
    <w:p w14:paraId="21EB1874" w14:textId="77777777" w:rsidR="00234B8D" w:rsidRDefault="004075C2">
      <w:pPr>
        <w:spacing w:line="360" w:lineRule="auto"/>
        <w:jc w:val="both"/>
        <w:rPr>
          <w:rFonts w:ascii="Calibri" w:hAnsi="Calibri"/>
          <w:rtl/>
        </w:rPr>
      </w:pPr>
      <w:r>
        <w:rPr>
          <w:rFonts w:ascii="Calibri" w:hAnsi="Calibri" w:hint="cs"/>
          <w:rtl/>
        </w:rPr>
        <w:t xml:space="preserve">יודגש כי אלמלא אותן נסיבות הקשורות למעורבותו של עבד בביצוע העסקה, מתחם העונש היה גבוה מזה שנקבע על ידי בית המשפט. </w:t>
      </w:r>
    </w:p>
    <w:p w14:paraId="5315E717" w14:textId="77777777" w:rsidR="00234B8D" w:rsidRDefault="00234B8D">
      <w:pPr>
        <w:spacing w:line="360" w:lineRule="auto"/>
        <w:jc w:val="both"/>
        <w:rPr>
          <w:rFonts w:ascii="Calibri" w:hAnsi="Calibri"/>
          <w:rtl/>
        </w:rPr>
      </w:pPr>
    </w:p>
    <w:p w14:paraId="0A4F4C1A" w14:textId="77777777" w:rsidR="00234B8D" w:rsidRDefault="004075C2">
      <w:pPr>
        <w:spacing w:line="360" w:lineRule="auto"/>
        <w:jc w:val="both"/>
        <w:rPr>
          <w:rFonts w:ascii="Calibri" w:hAnsi="Calibri"/>
          <w:rtl/>
        </w:rPr>
      </w:pPr>
      <w:r>
        <w:rPr>
          <w:rFonts w:ascii="Calibri" w:hAnsi="Calibri" w:hint="cs"/>
          <w:rtl/>
        </w:rPr>
        <w:t xml:space="preserve">בקביעת עונשו של הנאשם בגדרי המתחם בית המשפט מתקשה למצוא ולוּ נקודת זכות אחת שיהיה בה כדי להביא להקלה בעונשו. </w:t>
      </w:r>
    </w:p>
    <w:p w14:paraId="1F2746C2" w14:textId="77777777" w:rsidR="00234B8D" w:rsidRDefault="00234B8D">
      <w:pPr>
        <w:spacing w:line="360" w:lineRule="auto"/>
        <w:jc w:val="both"/>
        <w:rPr>
          <w:rFonts w:ascii="Calibri" w:hAnsi="Calibri"/>
          <w:rtl/>
        </w:rPr>
      </w:pPr>
    </w:p>
    <w:p w14:paraId="40D234A0" w14:textId="77777777" w:rsidR="00234B8D" w:rsidRDefault="004075C2">
      <w:pPr>
        <w:spacing w:line="360" w:lineRule="auto"/>
        <w:jc w:val="both"/>
        <w:rPr>
          <w:rFonts w:ascii="Calibri" w:hAnsi="Calibri"/>
          <w:rtl/>
        </w:rPr>
      </w:pPr>
      <w:r>
        <w:rPr>
          <w:rFonts w:ascii="Calibri" w:hAnsi="Calibri" w:hint="cs"/>
          <w:rtl/>
        </w:rPr>
        <w:t xml:space="preserve">הנאשם כבן 32, והספיק לצבור לחובתו שורה ארוכה של הרשעות. לנאשם עבר פלילי מכביד, הכולל 12 הרשעות קודמות במגוון רב של עבירות, החל מעבירות רכוש, אלימות ונשק. הנאשם ריצה תקופות מאסר ממושכות לצד עונשים צופי פני עתיד שלא היה בהם כדי להרתיעו מלחזור ולחטוא פעם אחר פעם בעבירות קשות. </w:t>
      </w:r>
    </w:p>
    <w:p w14:paraId="5B39C826" w14:textId="77777777" w:rsidR="00234B8D" w:rsidRDefault="00234B8D">
      <w:pPr>
        <w:spacing w:line="360" w:lineRule="auto"/>
        <w:jc w:val="both"/>
        <w:rPr>
          <w:rFonts w:ascii="Calibri" w:hAnsi="Calibri"/>
          <w:rtl/>
        </w:rPr>
      </w:pPr>
    </w:p>
    <w:p w14:paraId="52C03478" w14:textId="77777777" w:rsidR="00234B8D" w:rsidRDefault="004075C2">
      <w:pPr>
        <w:spacing w:line="360" w:lineRule="auto"/>
        <w:jc w:val="both"/>
        <w:rPr>
          <w:rFonts w:ascii="Calibri" w:hAnsi="Calibri"/>
          <w:rtl/>
        </w:rPr>
      </w:pPr>
      <w:r>
        <w:rPr>
          <w:rFonts w:ascii="Calibri" w:hAnsi="Calibri" w:hint="cs"/>
          <w:rtl/>
        </w:rPr>
        <w:t xml:space="preserve">בהקשר לכך, יש ליתן הדעת לעובדה כי במסגרת </w:t>
      </w:r>
      <w:hyperlink r:id="rId36" w:history="1">
        <w:r w:rsidR="003524E5" w:rsidRPr="003524E5">
          <w:rPr>
            <w:rFonts w:ascii="Calibri" w:hAnsi="Calibri"/>
            <w:color w:val="0000FF"/>
            <w:u w:val="single"/>
            <w:rtl/>
          </w:rPr>
          <w:t xml:space="preserve">ת"פ 41778-05-11 </w:t>
        </w:r>
      </w:hyperlink>
      <w:r>
        <w:rPr>
          <w:rFonts w:ascii="Calibri" w:hAnsi="Calibri" w:hint="cs"/>
          <w:rtl/>
        </w:rPr>
        <w:t xml:space="preserve"> נגזרו על הנאשם ארבע שנות מאסר בגין עבירות נשק ואיומים. הנאשם מבצע את המיוחס לו בעודו אסיר ברישיון. התנהלות זו מלמדת כי אין על הנאשם מורא מן החוק, וכי הליכים פליליים ועונשי מאסר לא היה בהם כדי להרתיעו. ב"כ הנאשם ביקשה להתחשב בעובדה כי בגין הסתבכותו בתיק זה, יופקע רישיונו ולמעשה תתווסף לעונש בגין תיקו הנוכחי תקופת מאסר משמעותית. ביחס לכך נדמה כי אין לנאשם להלין אלא על עצמו. מצופה היה ממי שהינו אסיר ברישיון להיזהר שבעתיים מביצוע עבירות פליליות, לא כל שכן עבירות סמים חמורות, בין אם כ"טובה" ובין אם לאו. </w:t>
      </w:r>
    </w:p>
    <w:p w14:paraId="32A9B131" w14:textId="77777777" w:rsidR="00234B8D" w:rsidRDefault="00234B8D">
      <w:pPr>
        <w:spacing w:line="360" w:lineRule="auto"/>
        <w:jc w:val="both"/>
        <w:rPr>
          <w:rFonts w:ascii="Calibri" w:hAnsi="Calibri"/>
          <w:rtl/>
        </w:rPr>
      </w:pPr>
    </w:p>
    <w:p w14:paraId="32FF7739" w14:textId="77777777" w:rsidR="00234B8D" w:rsidRDefault="004075C2">
      <w:pPr>
        <w:spacing w:line="360" w:lineRule="auto"/>
        <w:jc w:val="both"/>
        <w:rPr>
          <w:rFonts w:ascii="Calibri" w:hAnsi="Calibri"/>
          <w:rtl/>
        </w:rPr>
      </w:pPr>
      <w:r>
        <w:rPr>
          <w:rFonts w:ascii="Calibri" w:hAnsi="Calibri" w:hint="cs"/>
          <w:rtl/>
        </w:rPr>
        <w:t>אכן, אין לנאשם הרשעות בעבירות סמים. יחד עם זאת, אין בידי בית המשפט לקבל הטענה כי במצב דברים זה אין לייחס לו כל משקל. משקלו של עבר פלילי זה יילקח בחשבון, אם כי ימותן על רקע היעדרן של עבירות סמים.</w:t>
      </w:r>
    </w:p>
    <w:p w14:paraId="0D8D980E" w14:textId="77777777" w:rsidR="00234B8D" w:rsidRDefault="00234B8D">
      <w:pPr>
        <w:spacing w:line="360" w:lineRule="auto"/>
        <w:jc w:val="both"/>
        <w:rPr>
          <w:rFonts w:ascii="Calibri" w:hAnsi="Calibri"/>
          <w:rtl/>
        </w:rPr>
      </w:pPr>
    </w:p>
    <w:p w14:paraId="0C0F1C78" w14:textId="77777777" w:rsidR="00234B8D" w:rsidRDefault="004075C2">
      <w:pPr>
        <w:spacing w:line="360" w:lineRule="auto"/>
        <w:jc w:val="both"/>
        <w:rPr>
          <w:rFonts w:ascii="Calibri" w:hAnsi="Calibri"/>
          <w:rtl/>
        </w:rPr>
      </w:pPr>
      <w:r>
        <w:rPr>
          <w:rFonts w:ascii="Calibri" w:hAnsi="Calibri" w:hint="cs"/>
          <w:rtl/>
        </w:rPr>
        <w:t>הנאשם ניהל הוכחות, ואין בכך כדי להחמיר עימו. יחד עם זאת, ברי כי זה אינו זכאי לאותה הנחה משמעותית לה זכאים כאלה שהודו, חסכו זמן שיפוטי ונטלו אחריות על מעשיהם.</w:t>
      </w:r>
    </w:p>
    <w:p w14:paraId="3AC3D0BB" w14:textId="77777777" w:rsidR="00234B8D" w:rsidRDefault="00234B8D">
      <w:pPr>
        <w:spacing w:line="360" w:lineRule="auto"/>
        <w:jc w:val="both"/>
        <w:rPr>
          <w:rFonts w:ascii="Calibri" w:hAnsi="Calibri"/>
          <w:rtl/>
        </w:rPr>
      </w:pPr>
    </w:p>
    <w:p w14:paraId="052B6510" w14:textId="77777777" w:rsidR="00234B8D" w:rsidRDefault="004075C2">
      <w:pPr>
        <w:spacing w:line="360" w:lineRule="auto"/>
        <w:jc w:val="both"/>
        <w:rPr>
          <w:rFonts w:ascii="Calibri" w:hAnsi="Calibri"/>
          <w:rtl/>
        </w:rPr>
      </w:pPr>
      <w:r>
        <w:rPr>
          <w:rFonts w:ascii="Calibri" w:hAnsi="Calibri" w:hint="cs"/>
          <w:rtl/>
        </w:rPr>
        <w:t>בתיק זה לא התבקש תסקיר, ומשכך לא נפרשו מלוא הנתונים הצריכים לעניין, בדגש על נסיבות חייו של הנאשם, מאפייניו האישיותיים וכן נזקקות להליך טיפולי כזה או אחר. מכל מקום, ברי כי אין לדבר על הליכי שיקום בגינם יש לחרוג מטה ממתחם העונש ההולם.</w:t>
      </w:r>
    </w:p>
    <w:p w14:paraId="6CD0C318" w14:textId="77777777" w:rsidR="00234B8D" w:rsidRDefault="00234B8D">
      <w:pPr>
        <w:rPr>
          <w:rFonts w:cs="FrankRuehl"/>
          <w:sz w:val="28"/>
          <w:szCs w:val="28"/>
          <w:rtl/>
        </w:rPr>
      </w:pPr>
    </w:p>
    <w:p w14:paraId="1FD956F9" w14:textId="77777777" w:rsidR="00234B8D" w:rsidRDefault="00234B8D">
      <w:pPr>
        <w:spacing w:line="360" w:lineRule="auto"/>
        <w:jc w:val="both"/>
        <w:rPr>
          <w:rFonts w:cs="FrankRuehl"/>
          <w:sz w:val="28"/>
          <w:szCs w:val="28"/>
          <w:rtl/>
        </w:rPr>
      </w:pPr>
    </w:p>
    <w:p w14:paraId="6FEA4D9E" w14:textId="77777777" w:rsidR="00234B8D" w:rsidRDefault="004075C2">
      <w:pPr>
        <w:spacing w:line="360" w:lineRule="auto"/>
        <w:jc w:val="both"/>
        <w:rPr>
          <w:b/>
          <w:bCs/>
          <w:rtl/>
        </w:rPr>
      </w:pPr>
      <w:r>
        <w:rPr>
          <w:rFonts w:hint="cs"/>
          <w:b/>
          <w:bCs/>
          <w:rtl/>
        </w:rPr>
        <w:t>מכל המקובץ לעיל הנני לגזור על הנאשם את העונשים הבאים:</w:t>
      </w:r>
    </w:p>
    <w:p w14:paraId="0AB0AB53" w14:textId="77777777" w:rsidR="00234B8D" w:rsidRDefault="004075C2">
      <w:pPr>
        <w:spacing w:line="360" w:lineRule="auto"/>
        <w:jc w:val="both"/>
        <w:rPr>
          <w:rFonts w:ascii="Calibri" w:hAnsi="Calibri"/>
        </w:rPr>
      </w:pPr>
      <w:r>
        <w:rPr>
          <w:rFonts w:hint="cs"/>
          <w:rtl/>
        </w:rPr>
        <w:t>א.</w:t>
      </w:r>
      <w:r>
        <w:rPr>
          <w:rFonts w:hint="cs"/>
          <w:rtl/>
        </w:rPr>
        <w:tab/>
        <w:t xml:space="preserve">36 חודשים מאסר בפועל שיימנו מיום מעצרו, 6.10.2016 </w:t>
      </w:r>
      <w:r>
        <w:rPr>
          <w:rFonts w:ascii="Calibri" w:hAnsi="Calibri"/>
        </w:rPr>
        <w:t>;</w:t>
      </w:r>
    </w:p>
    <w:p w14:paraId="36A94B9F" w14:textId="77777777" w:rsidR="00234B8D" w:rsidRDefault="004075C2">
      <w:pPr>
        <w:spacing w:line="360" w:lineRule="auto"/>
        <w:jc w:val="both"/>
        <w:rPr>
          <w:rtl/>
        </w:rPr>
      </w:pPr>
      <w:r>
        <w:rPr>
          <w:rFonts w:hint="cs"/>
          <w:rtl/>
        </w:rPr>
        <w:t>ב.</w:t>
      </w:r>
      <w:r>
        <w:rPr>
          <w:rFonts w:hint="cs"/>
          <w:rtl/>
        </w:rPr>
        <w:tab/>
        <w:t>6 חודשים מאסר על תנאי למשך שנתיים מיום שחרורו שלא יעבור עבירות סמים מסוג עוון;</w:t>
      </w:r>
    </w:p>
    <w:p w14:paraId="17C6DCA5" w14:textId="77777777" w:rsidR="00234B8D" w:rsidRDefault="004075C2">
      <w:pPr>
        <w:spacing w:line="360" w:lineRule="auto"/>
        <w:jc w:val="both"/>
        <w:rPr>
          <w:rtl/>
        </w:rPr>
      </w:pPr>
      <w:r>
        <w:rPr>
          <w:rFonts w:hint="cs"/>
          <w:rtl/>
        </w:rPr>
        <w:t>ג.</w:t>
      </w:r>
      <w:r>
        <w:rPr>
          <w:rFonts w:hint="cs"/>
          <w:rtl/>
        </w:rPr>
        <w:tab/>
        <w:t>12 חודשים מאסר על תנאי למשך שנתיים מיום שחרורו שלא יעבור עבירות סמים מסוג פשע;</w:t>
      </w:r>
    </w:p>
    <w:p w14:paraId="430B5D2A" w14:textId="77777777" w:rsidR="00234B8D" w:rsidRDefault="004075C2">
      <w:pPr>
        <w:spacing w:line="360" w:lineRule="auto"/>
        <w:ind w:left="720" w:hanging="720"/>
        <w:jc w:val="both"/>
        <w:rPr>
          <w:rtl/>
        </w:rPr>
      </w:pPr>
      <w:r>
        <w:rPr>
          <w:rFonts w:hint="cs"/>
          <w:rtl/>
        </w:rPr>
        <w:t>ד.</w:t>
      </w:r>
      <w:r>
        <w:rPr>
          <w:rFonts w:hint="cs"/>
          <w:rtl/>
        </w:rPr>
        <w:tab/>
        <w:t>10,000 ₪ קנס או 50  ימי מאסר תמורתו. הקנס ישולם בשמונה תשלומים חודשיים, שווים ורצופים, החל מיום 1.1.18. לא ישולם תשלום אחד במועדו תעמוד כל יתרת הקנס לתשלום מידי, לרבות תוספת פיגורים;</w:t>
      </w:r>
    </w:p>
    <w:p w14:paraId="2601E914" w14:textId="77777777" w:rsidR="00234B8D" w:rsidRDefault="004075C2">
      <w:pPr>
        <w:spacing w:line="360" w:lineRule="auto"/>
        <w:ind w:left="720" w:hanging="720"/>
        <w:jc w:val="both"/>
        <w:rPr>
          <w:rtl/>
        </w:rPr>
      </w:pPr>
      <w:r>
        <w:rPr>
          <w:rFonts w:hint="cs"/>
          <w:rtl/>
        </w:rPr>
        <w:t>ה.</w:t>
      </w:r>
      <w:r>
        <w:rPr>
          <w:rFonts w:hint="cs"/>
          <w:rtl/>
        </w:rPr>
        <w:tab/>
        <w:t>6 חודשים פסילה על תנאי למשך שנתיים מיום שחרורו שלא יעבור כל עבירת סמים.</w:t>
      </w:r>
    </w:p>
    <w:p w14:paraId="32576F6B" w14:textId="77777777" w:rsidR="00234B8D" w:rsidRDefault="00234B8D">
      <w:pPr>
        <w:spacing w:line="360" w:lineRule="auto"/>
        <w:ind w:left="720" w:hanging="720"/>
        <w:jc w:val="both"/>
        <w:rPr>
          <w:rtl/>
        </w:rPr>
      </w:pPr>
    </w:p>
    <w:p w14:paraId="5F5A3CD4" w14:textId="77777777" w:rsidR="00234B8D" w:rsidRDefault="004075C2">
      <w:pPr>
        <w:spacing w:line="360" w:lineRule="auto"/>
        <w:ind w:left="720" w:hanging="720"/>
        <w:jc w:val="both"/>
        <w:rPr>
          <w:rtl/>
        </w:rPr>
      </w:pPr>
      <w:r>
        <w:rPr>
          <w:rFonts w:hint="cs"/>
          <w:rtl/>
        </w:rPr>
        <w:t xml:space="preserve">זכות ערעור בתוך 45 יום לבית המשפט המחוזי. </w:t>
      </w:r>
    </w:p>
    <w:p w14:paraId="23DC6C81" w14:textId="77777777" w:rsidR="00234B8D" w:rsidRDefault="004075C2">
      <w:pPr>
        <w:spacing w:line="360" w:lineRule="auto"/>
        <w:jc w:val="both"/>
        <w:rPr>
          <w:rFonts w:ascii="Arial" w:hAnsi="Arial"/>
          <w:sz w:val="6"/>
          <w:szCs w:val="6"/>
        </w:rPr>
      </w:pPr>
      <w:r>
        <w:rPr>
          <w:rFonts w:ascii="Arial" w:hAnsi="Arial"/>
          <w:sz w:val="6"/>
          <w:szCs w:val="6"/>
          <w:rtl/>
        </w:rPr>
        <w:t>&lt;#3#&gt;</w:t>
      </w:r>
    </w:p>
    <w:p w14:paraId="5A3B6262" w14:textId="77777777" w:rsidR="00234B8D" w:rsidRDefault="00234B8D">
      <w:pPr>
        <w:jc w:val="right"/>
        <w:rPr>
          <w:rtl/>
        </w:rPr>
      </w:pPr>
    </w:p>
    <w:p w14:paraId="333A3B6B" w14:textId="77777777" w:rsidR="00234B8D" w:rsidRDefault="004075C2">
      <w:pPr>
        <w:jc w:val="center"/>
        <w:rPr>
          <w:rtl/>
        </w:rPr>
      </w:pPr>
      <w:r>
        <w:rPr>
          <w:b/>
          <w:bCs/>
          <w:rtl/>
        </w:rPr>
        <w:t xml:space="preserve">ניתנה והודעה היום כ"ד תשרי תשע"ז, 26/10/2016 במעמד הנוכחים. </w:t>
      </w:r>
    </w:p>
    <w:p w14:paraId="5C064E56" w14:textId="77777777" w:rsidR="00234B8D" w:rsidRDefault="00234B8D">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34B8D" w14:paraId="5EBAEB07" w14:textId="77777777">
        <w:trPr>
          <w:trHeight w:val="316"/>
          <w:jc w:val="right"/>
        </w:trPr>
        <w:tc>
          <w:tcPr>
            <w:tcW w:w="3936" w:type="dxa"/>
            <w:shd w:val="clear" w:color="auto" w:fill="auto"/>
          </w:tcPr>
          <w:p w14:paraId="78F82A9B" w14:textId="77777777" w:rsidR="00234B8D" w:rsidRDefault="00234B8D">
            <w:pPr>
              <w:jc w:val="center"/>
              <w:rPr>
                <w:rFonts w:ascii="Times New Roman" w:eastAsia="Times New Roman" w:hAnsi="Times New Roman" w:cs="Times New Roman"/>
              </w:rPr>
            </w:pPr>
          </w:p>
          <w:p w14:paraId="638775B1" w14:textId="77777777" w:rsidR="00234B8D" w:rsidRDefault="00234B8D">
            <w:pPr>
              <w:jc w:val="center"/>
              <w:rPr>
                <w:rFonts w:ascii="Times New Roman" w:eastAsia="Times New Roman" w:hAnsi="Times New Roman" w:cs="Times New Roman"/>
                <w:rtl/>
              </w:rPr>
            </w:pPr>
          </w:p>
        </w:tc>
      </w:tr>
      <w:tr w:rsidR="00234B8D" w14:paraId="38F17FB5" w14:textId="77777777">
        <w:trPr>
          <w:trHeight w:val="361"/>
          <w:jc w:val="right"/>
        </w:trPr>
        <w:tc>
          <w:tcPr>
            <w:tcW w:w="3936" w:type="dxa"/>
            <w:shd w:val="clear" w:color="auto" w:fill="auto"/>
          </w:tcPr>
          <w:p w14:paraId="43D762AE" w14:textId="77777777" w:rsidR="00234B8D" w:rsidRDefault="004075C2">
            <w:pPr>
              <w:jc w:val="center"/>
              <w:rPr>
                <w:rFonts w:ascii="Times New Roman" w:eastAsia="Times New Roman" w:hAnsi="Times New Roman"/>
                <w:b/>
                <w:bCs/>
                <w:rtl/>
              </w:rPr>
            </w:pPr>
            <w:r>
              <w:rPr>
                <w:rFonts w:ascii="Times New Roman" w:eastAsia="Times New Roman" w:hAnsi="Times New Roman" w:hint="cs"/>
                <w:b/>
                <w:bCs/>
                <w:rtl/>
              </w:rPr>
              <w:t>דניאל בן טולילה</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23BD1C12" w14:textId="77777777" w:rsidR="00234B8D" w:rsidRDefault="00234B8D">
      <w:pPr>
        <w:jc w:val="right"/>
        <w:rPr>
          <w:rtl/>
        </w:rPr>
      </w:pPr>
    </w:p>
    <w:p w14:paraId="28EAA5CC" w14:textId="77777777" w:rsidR="00234B8D" w:rsidRDefault="00234B8D">
      <w:pPr>
        <w:spacing w:line="360" w:lineRule="auto"/>
        <w:jc w:val="both"/>
      </w:pPr>
    </w:p>
    <w:p w14:paraId="4CE752FC" w14:textId="77777777" w:rsidR="00234B8D" w:rsidRPr="00F74279" w:rsidRDefault="00F74279">
      <w:pPr>
        <w:spacing w:line="360" w:lineRule="auto"/>
        <w:jc w:val="both"/>
        <w:rPr>
          <w:color w:val="FFFFFF"/>
          <w:sz w:val="2"/>
          <w:szCs w:val="2"/>
          <w:rtl/>
        </w:rPr>
      </w:pPr>
      <w:r w:rsidRPr="00F74279">
        <w:rPr>
          <w:color w:val="FFFFFF"/>
          <w:sz w:val="2"/>
          <w:szCs w:val="2"/>
          <w:rtl/>
        </w:rPr>
        <w:t>5129371</w:t>
      </w:r>
      <w:r w:rsidR="004075C2" w:rsidRPr="00F74279">
        <w:rPr>
          <w:color w:val="FFFFFF"/>
          <w:sz w:val="2"/>
          <w:szCs w:val="2"/>
          <w:rtl/>
        </w:rPr>
        <w:t xml:space="preserve"> </w:t>
      </w:r>
    </w:p>
    <w:p w14:paraId="61675926" w14:textId="77777777" w:rsidR="004075C2" w:rsidRPr="00F74279" w:rsidRDefault="00F74279" w:rsidP="004075C2">
      <w:pPr>
        <w:keepNext/>
        <w:rPr>
          <w:color w:val="FFFFFF"/>
          <w:sz w:val="2"/>
          <w:szCs w:val="2"/>
          <w:rtl/>
        </w:rPr>
      </w:pPr>
      <w:r w:rsidRPr="00F74279">
        <w:rPr>
          <w:color w:val="FFFFFF"/>
          <w:sz w:val="2"/>
          <w:szCs w:val="2"/>
          <w:rtl/>
        </w:rPr>
        <w:t>54678313</w:t>
      </w:r>
    </w:p>
    <w:p w14:paraId="54D3EB35" w14:textId="77777777" w:rsidR="004075C2" w:rsidRPr="004075C2" w:rsidRDefault="004075C2" w:rsidP="004075C2">
      <w:pPr>
        <w:keepNext/>
        <w:rPr>
          <w:color w:val="000000"/>
          <w:sz w:val="22"/>
          <w:szCs w:val="22"/>
          <w:rtl/>
        </w:rPr>
      </w:pPr>
      <w:r w:rsidRPr="004075C2">
        <w:rPr>
          <w:color w:val="000000"/>
          <w:sz w:val="22"/>
          <w:szCs w:val="22"/>
          <w:rtl/>
        </w:rPr>
        <w:t>דניאל בן טולילה 54678313</w:t>
      </w:r>
    </w:p>
    <w:p w14:paraId="60F33960" w14:textId="77777777" w:rsidR="004075C2" w:rsidRDefault="004075C2" w:rsidP="004075C2">
      <w:r w:rsidRPr="004075C2">
        <w:rPr>
          <w:color w:val="000000"/>
          <w:rtl/>
        </w:rPr>
        <w:t>נוסח מסמך זה כפוף לשינויי ניסוח ועריכה</w:t>
      </w:r>
    </w:p>
    <w:p w14:paraId="6DED1201" w14:textId="77777777" w:rsidR="004075C2" w:rsidRDefault="004075C2" w:rsidP="004075C2">
      <w:pPr>
        <w:rPr>
          <w:rtl/>
        </w:rPr>
      </w:pPr>
    </w:p>
    <w:p w14:paraId="3AD8B36A" w14:textId="77777777" w:rsidR="004075C2" w:rsidRDefault="004075C2" w:rsidP="004075C2">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r w:rsidR="003524E5">
        <w:rPr>
          <w:rFonts w:hint="cs"/>
          <w:color w:val="0000FF"/>
          <w:u w:val="single"/>
          <w:rtl/>
        </w:rPr>
        <w:t xml:space="preserve"> </w:t>
      </w:r>
    </w:p>
    <w:p w14:paraId="2667B783" w14:textId="77777777" w:rsidR="00F74279" w:rsidRPr="00F74279" w:rsidRDefault="00F74279" w:rsidP="00F74279">
      <w:pPr>
        <w:keepNext/>
        <w:rPr>
          <w:color w:val="000000"/>
          <w:sz w:val="22"/>
          <w:szCs w:val="22"/>
          <w:rtl/>
        </w:rPr>
      </w:pPr>
    </w:p>
    <w:p w14:paraId="73F7D36F" w14:textId="77777777" w:rsidR="00234B8D" w:rsidRPr="004075C2" w:rsidRDefault="00234B8D" w:rsidP="00F74279">
      <w:pPr>
        <w:rPr>
          <w:color w:val="0000FF"/>
          <w:u w:val="single"/>
        </w:rPr>
      </w:pPr>
    </w:p>
    <w:sectPr w:rsidR="00234B8D" w:rsidRPr="004075C2" w:rsidSect="00F74279">
      <w:headerReference w:type="even" r:id="rId38"/>
      <w:headerReference w:type="default" r:id="rId39"/>
      <w:footerReference w:type="even" r:id="rId40"/>
      <w:footerReference w:type="default" r:id="rId4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FC83A" w14:textId="77777777" w:rsidR="00B715D7" w:rsidRDefault="00B715D7">
      <w:r>
        <w:separator/>
      </w:r>
    </w:p>
  </w:endnote>
  <w:endnote w:type="continuationSeparator" w:id="0">
    <w:p w14:paraId="1CC51C2D" w14:textId="77777777" w:rsidR="00B715D7" w:rsidRDefault="00B71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61984" w14:textId="77777777" w:rsidR="00F71808" w:rsidRDefault="00F71808" w:rsidP="00F7427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8DAD21" w14:textId="77777777" w:rsidR="00F71808" w:rsidRPr="00F74279" w:rsidRDefault="00F71808" w:rsidP="00F74279">
    <w:pPr>
      <w:pStyle w:val="a5"/>
      <w:pBdr>
        <w:top w:val="single" w:sz="4" w:space="1" w:color="auto"/>
        <w:between w:val="single" w:sz="4" w:space="0" w:color="auto"/>
      </w:pBdr>
      <w:spacing w:after="60"/>
      <w:jc w:val="center"/>
      <w:rPr>
        <w:rFonts w:ascii="FrankRuehl" w:hAnsi="FrankRuehl" w:cs="FrankRuehl"/>
        <w:color w:val="000000"/>
      </w:rPr>
    </w:pPr>
    <w:r w:rsidRPr="00F742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6955E" w14:textId="77777777" w:rsidR="00F71808" w:rsidRDefault="00F71808" w:rsidP="00F7427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6577">
      <w:rPr>
        <w:rFonts w:ascii="FrankRuehl" w:hAnsi="FrankRuehl" w:cs="FrankRuehl"/>
        <w:noProof/>
        <w:rtl/>
      </w:rPr>
      <w:t>2</w:t>
    </w:r>
    <w:r>
      <w:rPr>
        <w:rFonts w:ascii="FrankRuehl" w:hAnsi="FrankRuehl" w:cs="FrankRuehl"/>
        <w:rtl/>
      </w:rPr>
      <w:fldChar w:fldCharType="end"/>
    </w:r>
  </w:p>
  <w:p w14:paraId="6F9CFB68" w14:textId="77777777" w:rsidR="00F71808" w:rsidRPr="00F74279" w:rsidRDefault="00F71808" w:rsidP="00F74279">
    <w:pPr>
      <w:pStyle w:val="a5"/>
      <w:pBdr>
        <w:top w:val="single" w:sz="4" w:space="1" w:color="auto"/>
        <w:between w:val="single" w:sz="4" w:space="0" w:color="auto"/>
      </w:pBdr>
      <w:spacing w:after="60"/>
      <w:jc w:val="center"/>
      <w:rPr>
        <w:rFonts w:ascii="FrankRuehl" w:hAnsi="FrankRuehl" w:cs="FrankRuehl"/>
        <w:color w:val="000000"/>
      </w:rPr>
    </w:pPr>
    <w:r w:rsidRPr="00F74279">
      <w:rPr>
        <w:rFonts w:ascii="FrankRuehl" w:hAnsi="FrankRuehl" w:cs="FrankRuehl"/>
        <w:color w:val="000000"/>
      </w:rPr>
      <w:pict w14:anchorId="6036BD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31460" w14:textId="77777777" w:rsidR="00B715D7" w:rsidRDefault="00B715D7">
      <w:r>
        <w:separator/>
      </w:r>
    </w:p>
  </w:footnote>
  <w:footnote w:type="continuationSeparator" w:id="0">
    <w:p w14:paraId="3D884913" w14:textId="77777777" w:rsidR="00B715D7" w:rsidRDefault="00B71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34FE2" w14:textId="77777777" w:rsidR="00F71808" w:rsidRPr="00F74279" w:rsidRDefault="00F71808" w:rsidP="00F7427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35202-10-15</w:t>
    </w:r>
    <w:r>
      <w:rPr>
        <w:color w:val="000000"/>
        <w:sz w:val="22"/>
        <w:szCs w:val="22"/>
        <w:rtl/>
      </w:rPr>
      <w:tab/>
      <w:t xml:space="preserve"> מדינת ישראל  נ' יוסף אלעואדרה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70785" w14:textId="77777777" w:rsidR="00F71808" w:rsidRPr="00F74279" w:rsidRDefault="00F71808" w:rsidP="00F7427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35202-10-15</w:t>
    </w:r>
    <w:r>
      <w:rPr>
        <w:color w:val="000000"/>
        <w:sz w:val="22"/>
        <w:szCs w:val="22"/>
        <w:rtl/>
      </w:rPr>
      <w:tab/>
      <w:t xml:space="preserve"> מדינת ישראל  נ' יוסף אלעואדרה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34B8D"/>
    <w:rsid w:val="0000290C"/>
    <w:rsid w:val="00234B8D"/>
    <w:rsid w:val="002D1803"/>
    <w:rsid w:val="003524E5"/>
    <w:rsid w:val="004075C2"/>
    <w:rsid w:val="00455C71"/>
    <w:rsid w:val="009627D3"/>
    <w:rsid w:val="00B715D7"/>
    <w:rsid w:val="00BB6B7B"/>
    <w:rsid w:val="00E26577"/>
    <w:rsid w:val="00F71808"/>
    <w:rsid w:val="00F742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0B2057"/>
  <w15:chartTrackingRefBased/>
  <w15:docId w15:val="{26F7857B-E765-4AA6-A127-AE0681BC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4B8D"/>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234B8D"/>
  </w:style>
  <w:style w:type="paragraph" w:styleId="a4">
    <w:name w:val="header"/>
    <w:basedOn w:val="a"/>
    <w:rsid w:val="00234B8D"/>
    <w:pPr>
      <w:tabs>
        <w:tab w:val="center" w:pos="4153"/>
        <w:tab w:val="right" w:pos="8306"/>
      </w:tabs>
    </w:pPr>
  </w:style>
  <w:style w:type="paragraph" w:styleId="a5">
    <w:name w:val="footer"/>
    <w:basedOn w:val="a"/>
    <w:rsid w:val="00234B8D"/>
    <w:pPr>
      <w:tabs>
        <w:tab w:val="center" w:pos="4153"/>
        <w:tab w:val="right" w:pos="8306"/>
      </w:tabs>
    </w:pPr>
  </w:style>
  <w:style w:type="character" w:styleId="a6">
    <w:name w:val="page number"/>
    <w:basedOn w:val="a0"/>
    <w:rsid w:val="00234B8D"/>
  </w:style>
  <w:style w:type="character" w:customStyle="1" w:styleId="TimesNewRomanTimesNewRoman">
    <w:name w:val="סגנון (לטיני) Times New Roman (עברית ושפות אחרות) Times New Roman..."/>
    <w:rsid w:val="00234B8D"/>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234B8D"/>
    <w:rPr>
      <w:rFonts w:ascii="Times New Roman" w:eastAsia="Times New Roman" w:hAnsi="Times New Roman"/>
      <w:b/>
      <w:bCs/>
      <w:u w:val="single"/>
    </w:rPr>
  </w:style>
  <w:style w:type="character" w:styleId="Hyperlink">
    <w:name w:val="Hyperlink"/>
    <w:rsid w:val="00234B8D"/>
    <w:rPr>
      <w:rFonts w:ascii="Times New Roman" w:hAnsi="Times New Roman"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698919" TargetMode="External"/><Relationship Id="rId39" Type="http://schemas.openxmlformats.org/officeDocument/2006/relationships/header" Target="header2.xml"/><Relationship Id="rId21" Type="http://schemas.openxmlformats.org/officeDocument/2006/relationships/hyperlink" Target="http://www.nevo.co.il/case/17023776" TargetMode="External"/><Relationship Id="rId34" Type="http://schemas.openxmlformats.org/officeDocument/2006/relationships/hyperlink" Target="http://www.nevo.co.il/case/6361099" TargetMode="External"/><Relationship Id="rId42" Type="http://schemas.openxmlformats.org/officeDocument/2006/relationships/fontTable" Target="fontTable.xml"/><Relationship Id="rId7" Type="http://schemas.openxmlformats.org/officeDocument/2006/relationships/hyperlink" Target="http://www.nevo.co.il/law/4216/13" TargetMode="External"/><Relationship Id="rId2" Type="http://schemas.openxmlformats.org/officeDocument/2006/relationships/settings" Target="settings.xml"/><Relationship Id="rId16" Type="http://schemas.openxmlformats.org/officeDocument/2006/relationships/hyperlink" Target="http://www.nevo.co.il/law/4216/13" TargetMode="External"/><Relationship Id="rId20" Type="http://schemas.openxmlformats.org/officeDocument/2006/relationships/hyperlink" Target="http://www.nevo.co.il/case/13091142" TargetMode="External"/><Relationship Id="rId29" Type="http://schemas.openxmlformats.org/officeDocument/2006/relationships/hyperlink" Target="http://www.nevo.co.il/case/6062217"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3090102"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case/5726579" TargetMode="External"/><Relationship Id="rId36" Type="http://schemas.openxmlformats.org/officeDocument/2006/relationships/hyperlink" Target="http://www.nevo.co.il/case/4587642" TargetMode="External"/><Relationship Id="rId10" Type="http://schemas.openxmlformats.org/officeDocument/2006/relationships/hyperlink" Target="http://www.nevo.co.il/law/70301/40c.a" TargetMode="External"/><Relationship Id="rId19" Type="http://schemas.openxmlformats.org/officeDocument/2006/relationships/hyperlink" Target="http://www.nevo.co.il/case/13093721" TargetMode="External"/><Relationship Id="rId31" Type="http://schemas.openxmlformats.org/officeDocument/2006/relationships/hyperlink" Target="http://www.nevo.co.il/case/21476989"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7954235" TargetMode="External"/><Relationship Id="rId27" Type="http://schemas.openxmlformats.org/officeDocument/2006/relationships/hyperlink" Target="http://www.nevo.co.il/case/%206093386" TargetMode="External"/><Relationship Id="rId30" Type="http://schemas.openxmlformats.org/officeDocument/2006/relationships/hyperlink" Target="http://www.nevo.co.il/case/5786821" TargetMode="External"/><Relationship Id="rId35" Type="http://schemas.openxmlformats.org/officeDocument/2006/relationships/hyperlink" Target="http://www.nevo.co.il/case/3892678" TargetMode="External"/><Relationship Id="rId43" Type="http://schemas.openxmlformats.org/officeDocument/2006/relationships/theme" Target="theme/theme1.xml"/><Relationship Id="rId8" Type="http://schemas.openxmlformats.org/officeDocument/2006/relationships/hyperlink" Target="http://www.nevo.co.il/law/4216/19a" TargetMode="External"/><Relationship Id="rId3" Type="http://schemas.openxmlformats.org/officeDocument/2006/relationships/webSettings" Target="webSettings.xml"/><Relationship Id="rId12" Type="http://schemas.openxmlformats.org/officeDocument/2006/relationships/hyperlink" Target="http://www.nevo.co.il/law/4216/13"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5583030" TargetMode="External"/><Relationship Id="rId33" Type="http://schemas.openxmlformats.org/officeDocument/2006/relationships/hyperlink" Target="http://www.nevo.co.il/case/10460716"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3707</Words>
  <Characters>18536</Characters>
  <Application>Microsoft Office Word</Application>
  <DocSecurity>0</DocSecurity>
  <Lines>154</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22199</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3670130</vt:i4>
      </vt:variant>
      <vt:variant>
        <vt:i4>90</vt:i4>
      </vt:variant>
      <vt:variant>
        <vt:i4>0</vt:i4>
      </vt:variant>
      <vt:variant>
        <vt:i4>5</vt:i4>
      </vt:variant>
      <vt:variant>
        <vt:lpwstr>http://www.nevo.co.il/case/4587642</vt:lpwstr>
      </vt:variant>
      <vt:variant>
        <vt:lpwstr/>
      </vt:variant>
      <vt:variant>
        <vt:i4>3407993</vt:i4>
      </vt:variant>
      <vt:variant>
        <vt:i4>87</vt:i4>
      </vt:variant>
      <vt:variant>
        <vt:i4>0</vt:i4>
      </vt:variant>
      <vt:variant>
        <vt:i4>5</vt:i4>
      </vt:variant>
      <vt:variant>
        <vt:lpwstr>http://www.nevo.co.il/case/3892678</vt:lpwstr>
      </vt:variant>
      <vt:variant>
        <vt:lpwstr/>
      </vt:variant>
      <vt:variant>
        <vt:i4>3735679</vt:i4>
      </vt:variant>
      <vt:variant>
        <vt:i4>84</vt:i4>
      </vt:variant>
      <vt:variant>
        <vt:i4>0</vt:i4>
      </vt:variant>
      <vt:variant>
        <vt:i4>5</vt:i4>
      </vt:variant>
      <vt:variant>
        <vt:lpwstr>http://www.nevo.co.il/case/6361099</vt:lpwstr>
      </vt:variant>
      <vt:variant>
        <vt:lpwstr/>
      </vt:variant>
      <vt:variant>
        <vt:i4>3407989</vt:i4>
      </vt:variant>
      <vt:variant>
        <vt:i4>81</vt:i4>
      </vt:variant>
      <vt:variant>
        <vt:i4>0</vt:i4>
      </vt:variant>
      <vt:variant>
        <vt:i4>5</vt:i4>
      </vt:variant>
      <vt:variant>
        <vt:lpwstr>http://www.nevo.co.il/case/10460716</vt:lpwstr>
      </vt:variant>
      <vt:variant>
        <vt:lpwstr/>
      </vt:variant>
      <vt:variant>
        <vt:i4>3211391</vt:i4>
      </vt:variant>
      <vt:variant>
        <vt:i4>78</vt:i4>
      </vt:variant>
      <vt:variant>
        <vt:i4>0</vt:i4>
      </vt:variant>
      <vt:variant>
        <vt:i4>5</vt:i4>
      </vt:variant>
      <vt:variant>
        <vt:lpwstr>http://www.nevo.co.il/case/13090102</vt:lpwstr>
      </vt:variant>
      <vt:variant>
        <vt:lpwstr/>
      </vt:variant>
      <vt:variant>
        <vt:i4>3670139</vt:i4>
      </vt:variant>
      <vt:variant>
        <vt:i4>75</vt:i4>
      </vt:variant>
      <vt:variant>
        <vt:i4>0</vt:i4>
      </vt:variant>
      <vt:variant>
        <vt:i4>5</vt:i4>
      </vt:variant>
      <vt:variant>
        <vt:lpwstr>http://www.nevo.co.il/case/21476989</vt:lpwstr>
      </vt:variant>
      <vt:variant>
        <vt:lpwstr/>
      </vt:variant>
      <vt:variant>
        <vt:i4>3407991</vt:i4>
      </vt:variant>
      <vt:variant>
        <vt:i4>72</vt:i4>
      </vt:variant>
      <vt:variant>
        <vt:i4>0</vt:i4>
      </vt:variant>
      <vt:variant>
        <vt:i4>5</vt:i4>
      </vt:variant>
      <vt:variant>
        <vt:lpwstr>http://www.nevo.co.il/case/5786821</vt:lpwstr>
      </vt:variant>
      <vt:variant>
        <vt:lpwstr/>
      </vt:variant>
      <vt:variant>
        <vt:i4>3473527</vt:i4>
      </vt:variant>
      <vt:variant>
        <vt:i4>69</vt:i4>
      </vt:variant>
      <vt:variant>
        <vt:i4>0</vt:i4>
      </vt:variant>
      <vt:variant>
        <vt:i4>5</vt:i4>
      </vt:variant>
      <vt:variant>
        <vt:lpwstr>http://www.nevo.co.il/case/6062217</vt:lpwstr>
      </vt:variant>
      <vt:variant>
        <vt:lpwstr/>
      </vt:variant>
      <vt:variant>
        <vt:i4>3866738</vt:i4>
      </vt:variant>
      <vt:variant>
        <vt:i4>66</vt:i4>
      </vt:variant>
      <vt:variant>
        <vt:i4>0</vt:i4>
      </vt:variant>
      <vt:variant>
        <vt:i4>5</vt:i4>
      </vt:variant>
      <vt:variant>
        <vt:lpwstr>http://www.nevo.co.il/case/5726579</vt:lpwstr>
      </vt:variant>
      <vt:variant>
        <vt:lpwstr/>
      </vt:variant>
      <vt:variant>
        <vt:i4>2818168</vt:i4>
      </vt:variant>
      <vt:variant>
        <vt:i4>63</vt:i4>
      </vt:variant>
      <vt:variant>
        <vt:i4>0</vt:i4>
      </vt:variant>
      <vt:variant>
        <vt:i4>5</vt:i4>
      </vt:variant>
      <vt:variant>
        <vt:lpwstr>http://www.nevo.co.il/case/ 6093386</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3997809</vt:i4>
      </vt:variant>
      <vt:variant>
        <vt:i4>57</vt:i4>
      </vt:variant>
      <vt:variant>
        <vt:i4>0</vt:i4>
      </vt:variant>
      <vt:variant>
        <vt:i4>5</vt:i4>
      </vt:variant>
      <vt:variant>
        <vt:lpwstr>http://www.nevo.co.il/case/5583030</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4128884</vt:i4>
      </vt:variant>
      <vt:variant>
        <vt:i4>48</vt:i4>
      </vt:variant>
      <vt:variant>
        <vt:i4>0</vt:i4>
      </vt:variant>
      <vt:variant>
        <vt:i4>5</vt:i4>
      </vt:variant>
      <vt:variant>
        <vt:lpwstr>http://www.nevo.co.il/case/17954235</vt:lpwstr>
      </vt:variant>
      <vt:variant>
        <vt:lpwstr/>
      </vt:variant>
      <vt:variant>
        <vt:i4>3473526</vt:i4>
      </vt:variant>
      <vt:variant>
        <vt:i4>45</vt:i4>
      </vt:variant>
      <vt:variant>
        <vt:i4>0</vt:i4>
      </vt:variant>
      <vt:variant>
        <vt:i4>5</vt:i4>
      </vt:variant>
      <vt:variant>
        <vt:lpwstr>http://www.nevo.co.il/case/17023776</vt:lpwstr>
      </vt:variant>
      <vt:variant>
        <vt:lpwstr/>
      </vt:variant>
      <vt:variant>
        <vt:i4>3407999</vt:i4>
      </vt:variant>
      <vt:variant>
        <vt:i4>42</vt:i4>
      </vt:variant>
      <vt:variant>
        <vt:i4>0</vt:i4>
      </vt:variant>
      <vt:variant>
        <vt:i4>5</vt:i4>
      </vt:variant>
      <vt:variant>
        <vt:lpwstr>http://www.nevo.co.il/case/13091142</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8257637</vt:i4>
      </vt:variant>
      <vt:variant>
        <vt:i4>15</vt:i4>
      </vt:variant>
      <vt:variant>
        <vt:i4>0</vt:i4>
      </vt:variant>
      <vt:variant>
        <vt:i4>5</vt:i4>
      </vt:variant>
      <vt:variant>
        <vt:lpwstr>http://www.nevo.co.il/law/4216</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2025-04-22T22:52:00Z</dcterms:created>
  <dcterms:modified xsi:type="dcterms:W3CDTF">2025-04-22T22:52:00Z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35202</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 </vt:lpwstr>
  </property>
  <property fmtid="{D5CDD505-2E9C-101B-9397-08002B2CF9AE}" pid="9" name="APPELLEE">
    <vt:lpwstr>יוסף אלעואדרה  </vt:lpwstr>
  </property>
  <property fmtid="{D5CDD505-2E9C-101B-9397-08002B2CF9AE}" pid="10" name="LAWYER">
    <vt:lpwstr>אסף בר יוסף;צרי;ויקטור אוזן;עינת סופר בסרגליק</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20161026</vt:lpwstr>
  </property>
  <property fmtid="{D5CDD505-2E9C-101B-9397-08002B2CF9AE}" pid="14" name="TYPE_N_DATE">
    <vt:lpwstr>38020161026</vt:lpwstr>
  </property>
  <property fmtid="{D5CDD505-2E9C-101B-9397-08002B2CF9AE}" pid="15" name="WORDNUMPAGES">
    <vt:lpwstr>10</vt:lpwstr>
  </property>
  <property fmtid="{D5CDD505-2E9C-101B-9397-08002B2CF9AE}" pid="16" name="TYPE_ABS_DATE">
    <vt:lpwstr>380020161026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13093721;13091142;17023776;17954235;5583030;5698919;6093386;5726579;6062217;5786821;21476989;13090102;10460716;6361099;3892678;4587642</vt:lpwstr>
  </property>
  <property fmtid="{D5CDD505-2E9C-101B-9397-08002B2CF9AE}" pid="36" name="LAWLISTTMP1">
    <vt:lpwstr>4216/013;019a</vt:lpwstr>
  </property>
  <property fmtid="{D5CDD505-2E9C-101B-9397-08002B2CF9AE}" pid="37" name="LAWLISTTMP2">
    <vt:lpwstr>70301/040c.a</vt:lpwstr>
  </property>
</Properties>
</file>