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E07AE" w:rsidRPr="00E31F7B" w14:paraId="5A8E7ACD" w14:textId="77777777" w:rsidTr="00FB174F">
        <w:trPr>
          <w:trHeight w:hRule="exact" w:val="418"/>
          <w:jc w:val="center"/>
        </w:trPr>
        <w:tc>
          <w:tcPr>
            <w:tcW w:w="8721" w:type="dxa"/>
            <w:gridSpan w:val="2"/>
          </w:tcPr>
          <w:p w14:paraId="2C913AEE" w14:textId="77777777" w:rsidR="00AE07AE" w:rsidRPr="00E31F7B" w:rsidRDefault="00AE07AE" w:rsidP="00E31F7B">
            <w:pPr>
              <w:pStyle w:val="a3"/>
              <w:jc w:val="center"/>
              <w:rPr>
                <w:rFonts w:ascii="Tahoma" w:hAnsi="Tahoma" w:cs="Tahoma"/>
                <w:color w:val="000080"/>
                <w:rtl/>
              </w:rPr>
            </w:pPr>
            <w:bookmarkStart w:id="0" w:name="LastJudge"/>
            <w:r w:rsidRPr="00E31F7B">
              <w:rPr>
                <w:rFonts w:ascii="Tahoma" w:hAnsi="Tahoma" w:cs="Tahoma"/>
                <w:b/>
                <w:bCs/>
                <w:color w:val="000080"/>
                <w:rtl/>
              </w:rPr>
              <w:t>בית משפט השלום בקריות</w:t>
            </w:r>
          </w:p>
        </w:tc>
      </w:tr>
      <w:tr w:rsidR="00AE07AE" w:rsidRPr="00E31F7B" w14:paraId="14C13E25" w14:textId="77777777" w:rsidTr="00FB174F">
        <w:trPr>
          <w:trHeight w:val="337"/>
          <w:jc w:val="center"/>
        </w:trPr>
        <w:tc>
          <w:tcPr>
            <w:tcW w:w="5054" w:type="dxa"/>
          </w:tcPr>
          <w:p w14:paraId="2709E91C" w14:textId="77777777" w:rsidR="00AE07AE" w:rsidRPr="00E31F7B" w:rsidRDefault="00AE07AE" w:rsidP="00E31F7B">
            <w:pPr>
              <w:rPr>
                <w:rFonts w:cs="FrankRuehl"/>
                <w:sz w:val="28"/>
                <w:szCs w:val="28"/>
                <w:rtl/>
              </w:rPr>
            </w:pPr>
            <w:r w:rsidRPr="00E31F7B">
              <w:rPr>
                <w:rFonts w:cs="FrankRuehl"/>
                <w:sz w:val="28"/>
                <w:szCs w:val="28"/>
                <w:rtl/>
              </w:rPr>
              <w:t>ת"פ</w:t>
            </w:r>
            <w:r w:rsidRPr="00E31F7B">
              <w:rPr>
                <w:rFonts w:cs="FrankRuehl" w:hint="cs"/>
                <w:sz w:val="28"/>
                <w:szCs w:val="28"/>
                <w:rtl/>
              </w:rPr>
              <w:t xml:space="preserve"> </w:t>
            </w:r>
            <w:r w:rsidRPr="00E31F7B">
              <w:rPr>
                <w:rFonts w:cs="FrankRuehl"/>
                <w:sz w:val="28"/>
                <w:szCs w:val="28"/>
                <w:rtl/>
              </w:rPr>
              <w:t>37259-10-15</w:t>
            </w:r>
            <w:r w:rsidRPr="00E31F7B">
              <w:rPr>
                <w:rFonts w:cs="FrankRuehl" w:hint="cs"/>
                <w:sz w:val="28"/>
                <w:szCs w:val="28"/>
                <w:rtl/>
              </w:rPr>
              <w:t xml:space="preserve"> </w:t>
            </w:r>
            <w:r w:rsidRPr="00E31F7B">
              <w:rPr>
                <w:rFonts w:cs="FrankRuehl"/>
                <w:sz w:val="28"/>
                <w:szCs w:val="28"/>
                <w:rtl/>
              </w:rPr>
              <w:t>מדינת ישראל נ' אוחנה</w:t>
            </w:r>
          </w:p>
          <w:p w14:paraId="42409A75" w14:textId="77777777" w:rsidR="00AE07AE" w:rsidRPr="00E31F7B" w:rsidRDefault="00AE07AE" w:rsidP="00E31F7B">
            <w:pPr>
              <w:pStyle w:val="a3"/>
              <w:rPr>
                <w:rFonts w:cs="FrankRuehl"/>
                <w:sz w:val="28"/>
                <w:szCs w:val="28"/>
                <w:rtl/>
              </w:rPr>
            </w:pPr>
          </w:p>
        </w:tc>
        <w:tc>
          <w:tcPr>
            <w:tcW w:w="3667" w:type="dxa"/>
          </w:tcPr>
          <w:p w14:paraId="437258B0" w14:textId="77777777" w:rsidR="00AE07AE" w:rsidRPr="00E31F7B" w:rsidRDefault="00AE07AE" w:rsidP="00E31F7B">
            <w:pPr>
              <w:pStyle w:val="a3"/>
              <w:jc w:val="right"/>
              <w:rPr>
                <w:rFonts w:cs="FrankRuehl"/>
                <w:sz w:val="28"/>
                <w:szCs w:val="28"/>
                <w:rtl/>
              </w:rPr>
            </w:pPr>
          </w:p>
        </w:tc>
      </w:tr>
    </w:tbl>
    <w:p w14:paraId="5479BBA0" w14:textId="77777777" w:rsidR="00AE07AE" w:rsidRPr="00E31F7B" w:rsidRDefault="00AE07AE" w:rsidP="00AE07AE">
      <w:pPr>
        <w:pStyle w:val="a3"/>
        <w:rPr>
          <w:rtl/>
        </w:rPr>
      </w:pPr>
      <w:r w:rsidRPr="00E31F7B">
        <w:rPr>
          <w:rFonts w:hint="cs"/>
          <w:rtl/>
        </w:rPr>
        <w:t xml:space="preserve"> </w:t>
      </w:r>
    </w:p>
    <w:p w14:paraId="5D1FCD14" w14:textId="77777777" w:rsidR="00AE07AE" w:rsidRPr="00E31F7B" w:rsidRDefault="00AE07AE" w:rsidP="00AE07A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E07AE" w:rsidRPr="00E31F7B" w14:paraId="4FC02031" w14:textId="77777777" w:rsidTr="00AE07AE">
        <w:trPr>
          <w:trHeight w:val="295"/>
          <w:jc w:val="center"/>
        </w:trPr>
        <w:tc>
          <w:tcPr>
            <w:tcW w:w="923" w:type="dxa"/>
            <w:tcBorders>
              <w:top w:val="nil"/>
              <w:left w:val="nil"/>
              <w:bottom w:val="nil"/>
              <w:right w:val="nil"/>
            </w:tcBorders>
            <w:shd w:val="clear" w:color="auto" w:fill="auto"/>
          </w:tcPr>
          <w:p w14:paraId="280B5DF2" w14:textId="77777777" w:rsidR="00AE07AE" w:rsidRPr="00E31F7B" w:rsidRDefault="00AE07AE" w:rsidP="00AE07AE">
            <w:pPr>
              <w:jc w:val="both"/>
              <w:rPr>
                <w:rFonts w:ascii="Arial" w:hAnsi="Arial"/>
                <w:sz w:val="28"/>
                <w:szCs w:val="28"/>
              </w:rPr>
            </w:pPr>
            <w:r w:rsidRPr="00E31F7B">
              <w:rPr>
                <w:rFonts w:ascii="Arial" w:hAnsi="Arial" w:hint="cs"/>
                <w:sz w:val="28"/>
                <w:szCs w:val="28"/>
                <w:rtl/>
              </w:rPr>
              <w:t>ב</w:t>
            </w:r>
            <w:r w:rsidRPr="00E31F7B">
              <w:rPr>
                <w:rFonts w:ascii="Arial" w:hAnsi="Arial"/>
                <w:sz w:val="28"/>
                <w:szCs w:val="28"/>
                <w:rtl/>
              </w:rPr>
              <w:t xml:space="preserve">פני </w:t>
            </w:r>
          </w:p>
        </w:tc>
        <w:tc>
          <w:tcPr>
            <w:tcW w:w="7897" w:type="dxa"/>
            <w:gridSpan w:val="2"/>
            <w:tcBorders>
              <w:top w:val="nil"/>
              <w:left w:val="nil"/>
              <w:bottom w:val="nil"/>
              <w:right w:val="nil"/>
            </w:tcBorders>
            <w:shd w:val="clear" w:color="auto" w:fill="auto"/>
          </w:tcPr>
          <w:p w14:paraId="571FD30C" w14:textId="77777777" w:rsidR="00AE07AE" w:rsidRPr="00E31F7B" w:rsidRDefault="00AE07AE" w:rsidP="00E31F7B">
            <w:pPr>
              <w:rPr>
                <w:rFonts w:ascii="Arial" w:hAnsi="Arial"/>
                <w:b/>
                <w:bCs/>
                <w:rtl/>
              </w:rPr>
            </w:pPr>
            <w:r w:rsidRPr="00E31F7B">
              <w:rPr>
                <w:rFonts w:ascii="Arial" w:hAnsi="Arial" w:hint="cs"/>
                <w:b/>
                <w:bCs/>
                <w:rtl/>
              </w:rPr>
              <w:t>כבוד ה</w:t>
            </w:r>
            <w:r w:rsidRPr="00E31F7B">
              <w:rPr>
                <w:rFonts w:ascii="Arial" w:hAnsi="Arial"/>
                <w:b/>
                <w:bCs/>
                <w:rtl/>
              </w:rPr>
              <w:t>שופט</w:t>
            </w:r>
            <w:r w:rsidRPr="00E31F7B">
              <w:rPr>
                <w:rFonts w:ascii="Arial" w:hAnsi="Arial" w:hint="cs"/>
                <w:b/>
                <w:bCs/>
                <w:rtl/>
              </w:rPr>
              <w:t xml:space="preserve">  </w:t>
            </w:r>
            <w:r w:rsidRPr="00E31F7B">
              <w:rPr>
                <w:rFonts w:ascii="Arial" w:hAnsi="Arial"/>
                <w:b/>
                <w:bCs/>
                <w:rtl/>
              </w:rPr>
              <w:t>יוסי טורס</w:t>
            </w:r>
          </w:p>
          <w:p w14:paraId="7AF04DCB" w14:textId="77777777" w:rsidR="00AE07AE" w:rsidRPr="00E31F7B" w:rsidRDefault="00AE07AE" w:rsidP="00E31F7B">
            <w:pPr>
              <w:rPr>
                <w:rtl/>
              </w:rPr>
            </w:pPr>
          </w:p>
          <w:p w14:paraId="6FE56E29" w14:textId="77777777" w:rsidR="00AE07AE" w:rsidRPr="00E31F7B" w:rsidRDefault="00AE07AE" w:rsidP="00AE07AE">
            <w:pPr>
              <w:jc w:val="both"/>
              <w:rPr>
                <w:rFonts w:ascii="Arial" w:hAnsi="Arial"/>
                <w:sz w:val="28"/>
                <w:szCs w:val="28"/>
              </w:rPr>
            </w:pPr>
          </w:p>
        </w:tc>
      </w:tr>
      <w:tr w:rsidR="00AE07AE" w:rsidRPr="00E31F7B" w14:paraId="14B70268" w14:textId="77777777" w:rsidTr="00AE07AE">
        <w:trPr>
          <w:trHeight w:val="355"/>
          <w:jc w:val="center"/>
        </w:trPr>
        <w:tc>
          <w:tcPr>
            <w:tcW w:w="923" w:type="dxa"/>
            <w:tcBorders>
              <w:top w:val="nil"/>
              <w:left w:val="nil"/>
              <w:bottom w:val="nil"/>
              <w:right w:val="nil"/>
            </w:tcBorders>
            <w:shd w:val="clear" w:color="auto" w:fill="auto"/>
          </w:tcPr>
          <w:p w14:paraId="189FD70A" w14:textId="77777777" w:rsidR="00AE07AE" w:rsidRPr="00E31F7B" w:rsidRDefault="00AE07AE" w:rsidP="00AE07AE">
            <w:pPr>
              <w:jc w:val="both"/>
              <w:rPr>
                <w:rFonts w:ascii="Arial" w:hAnsi="Arial"/>
                <w:b/>
                <w:bCs/>
              </w:rPr>
            </w:pPr>
            <w:bookmarkStart w:id="1" w:name="FirstAppellant"/>
            <w:r w:rsidRPr="00E31F7B">
              <w:rPr>
                <w:rFonts w:ascii="Arial" w:hAnsi="Arial" w:hint="cs"/>
                <w:b/>
                <w:bCs/>
                <w:rtl/>
              </w:rPr>
              <w:t>בעניין:</w:t>
            </w:r>
          </w:p>
        </w:tc>
        <w:tc>
          <w:tcPr>
            <w:tcW w:w="4126" w:type="dxa"/>
            <w:tcBorders>
              <w:top w:val="nil"/>
              <w:left w:val="nil"/>
              <w:bottom w:val="nil"/>
              <w:right w:val="nil"/>
            </w:tcBorders>
            <w:shd w:val="clear" w:color="auto" w:fill="auto"/>
          </w:tcPr>
          <w:p w14:paraId="470948F0" w14:textId="77777777" w:rsidR="00AE07AE" w:rsidRPr="00E31F7B" w:rsidRDefault="00AE07AE" w:rsidP="00E31F7B">
            <w:pPr>
              <w:rPr>
                <w:b/>
                <w:bCs/>
              </w:rPr>
            </w:pPr>
            <w:r w:rsidRPr="00E31F7B">
              <w:rPr>
                <w:rFonts w:ascii="Arial" w:hAnsi="Arial"/>
                <w:b/>
                <w:bCs/>
                <w:rtl/>
              </w:rPr>
              <w:t>מדינת ישראל</w:t>
            </w:r>
          </w:p>
        </w:tc>
        <w:tc>
          <w:tcPr>
            <w:tcW w:w="3771" w:type="dxa"/>
            <w:tcBorders>
              <w:top w:val="nil"/>
              <w:left w:val="nil"/>
              <w:bottom w:val="nil"/>
              <w:right w:val="nil"/>
            </w:tcBorders>
            <w:shd w:val="clear" w:color="auto" w:fill="auto"/>
          </w:tcPr>
          <w:p w14:paraId="4A4002C4" w14:textId="77777777" w:rsidR="00AE07AE" w:rsidRPr="00E31F7B" w:rsidRDefault="00AE07AE" w:rsidP="00AE07AE">
            <w:pPr>
              <w:jc w:val="both"/>
              <w:rPr>
                <w:rFonts w:ascii="Arial" w:hAnsi="Arial"/>
                <w:b/>
                <w:bCs/>
              </w:rPr>
            </w:pPr>
          </w:p>
        </w:tc>
      </w:tr>
      <w:bookmarkEnd w:id="1"/>
      <w:tr w:rsidR="00AE07AE" w:rsidRPr="00E31F7B" w14:paraId="63269E52" w14:textId="77777777" w:rsidTr="00AE07AE">
        <w:trPr>
          <w:trHeight w:val="355"/>
          <w:jc w:val="center"/>
        </w:trPr>
        <w:tc>
          <w:tcPr>
            <w:tcW w:w="923" w:type="dxa"/>
            <w:tcBorders>
              <w:top w:val="nil"/>
              <w:left w:val="nil"/>
              <w:bottom w:val="nil"/>
              <w:right w:val="nil"/>
            </w:tcBorders>
            <w:shd w:val="clear" w:color="auto" w:fill="auto"/>
          </w:tcPr>
          <w:p w14:paraId="4BE40428" w14:textId="77777777" w:rsidR="00AE07AE" w:rsidRPr="00E31F7B" w:rsidRDefault="00AE07AE" w:rsidP="00AE07AE">
            <w:pPr>
              <w:jc w:val="both"/>
              <w:rPr>
                <w:rFonts w:ascii="Arial" w:hAnsi="Arial"/>
                <w:b/>
                <w:bCs/>
                <w:rtl/>
              </w:rPr>
            </w:pPr>
          </w:p>
        </w:tc>
        <w:tc>
          <w:tcPr>
            <w:tcW w:w="4126" w:type="dxa"/>
            <w:tcBorders>
              <w:top w:val="nil"/>
              <w:left w:val="nil"/>
              <w:bottom w:val="nil"/>
              <w:right w:val="nil"/>
            </w:tcBorders>
            <w:shd w:val="clear" w:color="auto" w:fill="auto"/>
          </w:tcPr>
          <w:p w14:paraId="05804B1A" w14:textId="77777777" w:rsidR="00AE07AE" w:rsidRPr="00E31F7B" w:rsidRDefault="00AE07AE" w:rsidP="00AE07AE">
            <w:pPr>
              <w:jc w:val="both"/>
              <w:rPr>
                <w:b/>
                <w:bCs/>
                <w:rtl/>
              </w:rPr>
            </w:pPr>
          </w:p>
        </w:tc>
        <w:tc>
          <w:tcPr>
            <w:tcW w:w="3771" w:type="dxa"/>
            <w:tcBorders>
              <w:top w:val="nil"/>
              <w:left w:val="nil"/>
              <w:bottom w:val="nil"/>
              <w:right w:val="nil"/>
            </w:tcBorders>
            <w:shd w:val="clear" w:color="auto" w:fill="auto"/>
          </w:tcPr>
          <w:p w14:paraId="25CDCC62" w14:textId="77777777" w:rsidR="00AE07AE" w:rsidRPr="00E31F7B" w:rsidRDefault="00AE07AE" w:rsidP="00AE07AE">
            <w:pPr>
              <w:jc w:val="right"/>
              <w:rPr>
                <w:rFonts w:ascii="Arial" w:hAnsi="Arial"/>
                <w:b/>
                <w:bCs/>
                <w:rtl/>
              </w:rPr>
            </w:pPr>
            <w:r w:rsidRPr="00E31F7B">
              <w:rPr>
                <w:rFonts w:ascii="Arial" w:hAnsi="Arial" w:hint="cs"/>
                <w:b/>
                <w:bCs/>
                <w:rtl/>
              </w:rPr>
              <w:t>ה</w:t>
            </w:r>
            <w:r w:rsidRPr="00E31F7B">
              <w:rPr>
                <w:rFonts w:ascii="Arial" w:hAnsi="Arial"/>
                <w:b/>
                <w:bCs/>
                <w:rtl/>
              </w:rPr>
              <w:t>מאשימה</w:t>
            </w:r>
          </w:p>
        </w:tc>
      </w:tr>
      <w:tr w:rsidR="00AE07AE" w:rsidRPr="00E31F7B" w14:paraId="4F802660" w14:textId="77777777" w:rsidTr="00AE07AE">
        <w:trPr>
          <w:trHeight w:val="355"/>
          <w:jc w:val="center"/>
        </w:trPr>
        <w:tc>
          <w:tcPr>
            <w:tcW w:w="923" w:type="dxa"/>
            <w:tcBorders>
              <w:top w:val="nil"/>
              <w:left w:val="nil"/>
              <w:bottom w:val="nil"/>
              <w:right w:val="nil"/>
            </w:tcBorders>
            <w:shd w:val="clear" w:color="auto" w:fill="auto"/>
          </w:tcPr>
          <w:p w14:paraId="5B949E02" w14:textId="77777777" w:rsidR="00AE07AE" w:rsidRPr="00E31F7B" w:rsidRDefault="00AE07AE" w:rsidP="00AE07AE">
            <w:pPr>
              <w:jc w:val="both"/>
              <w:rPr>
                <w:rFonts w:ascii="Arial" w:hAnsi="Arial"/>
                <w:b/>
                <w:bCs/>
                <w:rtl/>
              </w:rPr>
            </w:pPr>
          </w:p>
        </w:tc>
        <w:tc>
          <w:tcPr>
            <w:tcW w:w="7897" w:type="dxa"/>
            <w:gridSpan w:val="2"/>
            <w:tcBorders>
              <w:top w:val="nil"/>
              <w:left w:val="nil"/>
              <w:bottom w:val="nil"/>
              <w:right w:val="nil"/>
            </w:tcBorders>
            <w:shd w:val="clear" w:color="auto" w:fill="auto"/>
          </w:tcPr>
          <w:p w14:paraId="6F7E93FB" w14:textId="77777777" w:rsidR="00AE07AE" w:rsidRPr="00E31F7B" w:rsidRDefault="00AE07AE" w:rsidP="00AE07AE">
            <w:pPr>
              <w:jc w:val="center"/>
              <w:rPr>
                <w:rFonts w:ascii="Arial" w:hAnsi="Arial"/>
                <w:b/>
                <w:bCs/>
                <w:rtl/>
              </w:rPr>
            </w:pPr>
          </w:p>
          <w:p w14:paraId="65FFFB8B" w14:textId="77777777" w:rsidR="00AE07AE" w:rsidRPr="00E31F7B" w:rsidRDefault="00AE07AE" w:rsidP="00AE07AE">
            <w:pPr>
              <w:jc w:val="center"/>
              <w:rPr>
                <w:rFonts w:ascii="Arial" w:hAnsi="Arial"/>
                <w:b/>
                <w:bCs/>
                <w:rtl/>
              </w:rPr>
            </w:pPr>
            <w:r w:rsidRPr="00E31F7B">
              <w:rPr>
                <w:rFonts w:ascii="Arial" w:hAnsi="Arial"/>
                <w:b/>
                <w:bCs/>
                <w:rtl/>
              </w:rPr>
              <w:t>נגד</w:t>
            </w:r>
          </w:p>
          <w:p w14:paraId="2861EAF9" w14:textId="77777777" w:rsidR="00AE07AE" w:rsidRPr="00E31F7B" w:rsidRDefault="00AE07AE" w:rsidP="00AE07AE">
            <w:pPr>
              <w:jc w:val="both"/>
              <w:rPr>
                <w:rFonts w:ascii="Arial" w:hAnsi="Arial"/>
                <w:b/>
                <w:bCs/>
              </w:rPr>
            </w:pPr>
          </w:p>
        </w:tc>
      </w:tr>
      <w:tr w:rsidR="00AE07AE" w:rsidRPr="00E31F7B" w14:paraId="5DA8AD98" w14:textId="77777777" w:rsidTr="00AE07AE">
        <w:trPr>
          <w:trHeight w:val="355"/>
          <w:jc w:val="center"/>
        </w:trPr>
        <w:tc>
          <w:tcPr>
            <w:tcW w:w="923" w:type="dxa"/>
            <w:tcBorders>
              <w:top w:val="nil"/>
              <w:left w:val="nil"/>
              <w:bottom w:val="nil"/>
              <w:right w:val="nil"/>
            </w:tcBorders>
            <w:shd w:val="clear" w:color="auto" w:fill="auto"/>
          </w:tcPr>
          <w:p w14:paraId="024D1B81" w14:textId="77777777" w:rsidR="00AE07AE" w:rsidRPr="00E31F7B" w:rsidRDefault="00AE07AE" w:rsidP="00E31F7B">
            <w:pPr>
              <w:rPr>
                <w:rFonts w:ascii="Arial" w:hAnsi="Arial"/>
                <w:b/>
                <w:bCs/>
                <w:rtl/>
              </w:rPr>
            </w:pPr>
          </w:p>
        </w:tc>
        <w:tc>
          <w:tcPr>
            <w:tcW w:w="4126" w:type="dxa"/>
            <w:tcBorders>
              <w:top w:val="nil"/>
              <w:left w:val="nil"/>
              <w:bottom w:val="nil"/>
              <w:right w:val="nil"/>
            </w:tcBorders>
            <w:shd w:val="clear" w:color="auto" w:fill="auto"/>
          </w:tcPr>
          <w:p w14:paraId="6324C32E" w14:textId="77777777" w:rsidR="00AE07AE" w:rsidRPr="00E31F7B" w:rsidRDefault="00AE07AE" w:rsidP="00E31F7B">
            <w:pPr>
              <w:rPr>
                <w:b/>
                <w:bCs/>
                <w:rtl/>
              </w:rPr>
            </w:pPr>
            <w:r w:rsidRPr="00E31F7B">
              <w:rPr>
                <w:rFonts w:ascii="Arial" w:hAnsi="Arial"/>
                <w:b/>
                <w:bCs/>
                <w:rtl/>
              </w:rPr>
              <w:t>יעקב אוחנה</w:t>
            </w:r>
          </w:p>
        </w:tc>
        <w:tc>
          <w:tcPr>
            <w:tcW w:w="3771" w:type="dxa"/>
            <w:tcBorders>
              <w:top w:val="nil"/>
              <w:left w:val="nil"/>
              <w:bottom w:val="nil"/>
              <w:right w:val="nil"/>
            </w:tcBorders>
            <w:shd w:val="clear" w:color="auto" w:fill="auto"/>
          </w:tcPr>
          <w:p w14:paraId="1460B912" w14:textId="77777777" w:rsidR="00AE07AE" w:rsidRPr="00E31F7B" w:rsidRDefault="00AE07AE" w:rsidP="00AE07AE">
            <w:pPr>
              <w:jc w:val="right"/>
              <w:rPr>
                <w:rFonts w:ascii="Arial" w:hAnsi="Arial"/>
                <w:b/>
                <w:bCs/>
              </w:rPr>
            </w:pPr>
          </w:p>
        </w:tc>
      </w:tr>
      <w:tr w:rsidR="00AE07AE" w:rsidRPr="00E31F7B" w14:paraId="1BAA1C7A" w14:textId="77777777" w:rsidTr="00AE07AE">
        <w:trPr>
          <w:trHeight w:val="355"/>
          <w:jc w:val="center"/>
        </w:trPr>
        <w:tc>
          <w:tcPr>
            <w:tcW w:w="923" w:type="dxa"/>
            <w:tcBorders>
              <w:top w:val="nil"/>
              <w:left w:val="nil"/>
              <w:bottom w:val="nil"/>
              <w:right w:val="nil"/>
            </w:tcBorders>
            <w:shd w:val="clear" w:color="auto" w:fill="auto"/>
          </w:tcPr>
          <w:p w14:paraId="2B189A0E" w14:textId="77777777" w:rsidR="00AE07AE" w:rsidRPr="00E31F7B" w:rsidRDefault="00AE07AE" w:rsidP="00AE07AE">
            <w:pPr>
              <w:jc w:val="both"/>
              <w:rPr>
                <w:rFonts w:ascii="Arial" w:hAnsi="Arial"/>
                <w:b/>
                <w:bCs/>
                <w:rtl/>
              </w:rPr>
            </w:pPr>
          </w:p>
        </w:tc>
        <w:tc>
          <w:tcPr>
            <w:tcW w:w="4126" w:type="dxa"/>
            <w:tcBorders>
              <w:top w:val="nil"/>
              <w:left w:val="nil"/>
              <w:bottom w:val="nil"/>
              <w:right w:val="nil"/>
            </w:tcBorders>
            <w:shd w:val="clear" w:color="auto" w:fill="auto"/>
          </w:tcPr>
          <w:p w14:paraId="69DACBE6" w14:textId="77777777" w:rsidR="00AE07AE" w:rsidRPr="00E31F7B" w:rsidRDefault="00AE07AE" w:rsidP="00AE07AE">
            <w:pPr>
              <w:jc w:val="both"/>
              <w:rPr>
                <w:b/>
                <w:bCs/>
                <w:rtl/>
              </w:rPr>
            </w:pPr>
          </w:p>
        </w:tc>
        <w:tc>
          <w:tcPr>
            <w:tcW w:w="3771" w:type="dxa"/>
            <w:tcBorders>
              <w:top w:val="nil"/>
              <w:left w:val="nil"/>
              <w:bottom w:val="nil"/>
              <w:right w:val="nil"/>
            </w:tcBorders>
            <w:shd w:val="clear" w:color="auto" w:fill="auto"/>
          </w:tcPr>
          <w:p w14:paraId="09CD14F8" w14:textId="77777777" w:rsidR="00AE07AE" w:rsidRPr="00E31F7B" w:rsidRDefault="00AE07AE" w:rsidP="00AE07AE">
            <w:pPr>
              <w:jc w:val="right"/>
              <w:rPr>
                <w:rFonts w:ascii="Arial" w:hAnsi="Arial"/>
                <w:b/>
                <w:bCs/>
              </w:rPr>
            </w:pPr>
            <w:r w:rsidRPr="00E31F7B">
              <w:rPr>
                <w:rFonts w:ascii="Arial" w:hAnsi="Arial" w:hint="cs"/>
                <w:b/>
                <w:bCs/>
                <w:rtl/>
              </w:rPr>
              <w:t>ה</w:t>
            </w:r>
            <w:r w:rsidRPr="00E31F7B">
              <w:rPr>
                <w:rFonts w:ascii="Arial" w:hAnsi="Arial"/>
                <w:b/>
                <w:bCs/>
                <w:rtl/>
              </w:rPr>
              <w:t>נאש</w:t>
            </w:r>
            <w:r w:rsidRPr="00E31F7B">
              <w:rPr>
                <w:rFonts w:ascii="Arial" w:hAnsi="Arial" w:hint="cs"/>
                <w:b/>
                <w:bCs/>
                <w:rtl/>
              </w:rPr>
              <w:t>ם</w:t>
            </w:r>
          </w:p>
        </w:tc>
      </w:tr>
      <w:tr w:rsidR="00AE07AE" w:rsidRPr="003D598C" w14:paraId="67A03A82" w14:textId="77777777" w:rsidTr="00AE07AE">
        <w:trPr>
          <w:trHeight w:val="355"/>
          <w:jc w:val="center"/>
        </w:trPr>
        <w:tc>
          <w:tcPr>
            <w:tcW w:w="8820" w:type="dxa"/>
            <w:gridSpan w:val="3"/>
            <w:tcBorders>
              <w:top w:val="nil"/>
              <w:left w:val="nil"/>
              <w:bottom w:val="nil"/>
              <w:right w:val="nil"/>
            </w:tcBorders>
            <w:shd w:val="clear" w:color="auto" w:fill="auto"/>
          </w:tcPr>
          <w:p w14:paraId="68133881" w14:textId="77777777" w:rsidR="00156E72" w:rsidRDefault="00156E72" w:rsidP="00E31F7B">
            <w:pPr>
              <w:jc w:val="center"/>
              <w:rPr>
                <w:rFonts w:ascii="Arial" w:hAnsi="Arial"/>
                <w:sz w:val="32"/>
                <w:szCs w:val="32"/>
                <w:rtl/>
              </w:rPr>
            </w:pPr>
            <w:bookmarkStart w:id="2" w:name="PsakDin" w:colFirst="0" w:colLast="0"/>
            <w:bookmarkStart w:id="3" w:name="LawTable"/>
            <w:bookmarkEnd w:id="0"/>
            <w:bookmarkEnd w:id="3"/>
          </w:p>
          <w:p w14:paraId="446B91F1" w14:textId="77777777" w:rsidR="00156E72" w:rsidRPr="00156E72" w:rsidRDefault="00156E72" w:rsidP="00156E72">
            <w:pPr>
              <w:spacing w:after="120" w:line="240" w:lineRule="exact"/>
              <w:ind w:left="283" w:hanging="283"/>
              <w:jc w:val="both"/>
              <w:rPr>
                <w:rFonts w:ascii="FrankRuehl" w:hAnsi="FrankRuehl" w:cs="FrankRuehl"/>
                <w:rtl/>
              </w:rPr>
            </w:pPr>
          </w:p>
          <w:p w14:paraId="6DCAA5A9" w14:textId="77777777" w:rsidR="00156E72" w:rsidRPr="00156E72" w:rsidRDefault="00156E72" w:rsidP="00156E72">
            <w:pPr>
              <w:spacing w:after="120" w:line="240" w:lineRule="exact"/>
              <w:ind w:left="283" w:hanging="283"/>
              <w:jc w:val="both"/>
              <w:rPr>
                <w:rFonts w:ascii="FrankRuehl" w:hAnsi="FrankRuehl" w:cs="FrankRuehl"/>
                <w:rtl/>
              </w:rPr>
            </w:pPr>
            <w:r w:rsidRPr="00156E72">
              <w:rPr>
                <w:rFonts w:ascii="FrankRuehl" w:hAnsi="FrankRuehl" w:cs="FrankRuehl"/>
                <w:rtl/>
              </w:rPr>
              <w:t xml:space="preserve">חקיקה שאוזכרה: </w:t>
            </w:r>
          </w:p>
          <w:p w14:paraId="12423FCE" w14:textId="77777777" w:rsidR="00156E72" w:rsidRPr="00156E72" w:rsidRDefault="00156E72" w:rsidP="00156E72">
            <w:pPr>
              <w:spacing w:after="120" w:line="240" w:lineRule="exact"/>
              <w:ind w:left="283" w:hanging="283"/>
              <w:jc w:val="both"/>
              <w:rPr>
                <w:rFonts w:ascii="FrankRuehl" w:hAnsi="FrankRuehl" w:cs="FrankRuehl"/>
                <w:rtl/>
              </w:rPr>
            </w:pPr>
            <w:hyperlink r:id="rId7" w:history="1">
              <w:r w:rsidRPr="00156E72">
                <w:rPr>
                  <w:rFonts w:ascii="FrankRuehl" w:hAnsi="FrankRuehl" w:cs="FrankRuehl"/>
                  <w:color w:val="0000FF"/>
                  <w:u w:val="single"/>
                  <w:rtl/>
                </w:rPr>
                <w:t>פקודת הסמים המסוכנים [נוסח חדש], תשל"ג-1973</w:t>
              </w:r>
            </w:hyperlink>
            <w:r w:rsidRPr="00156E72">
              <w:rPr>
                <w:rFonts w:ascii="FrankRuehl" w:hAnsi="FrankRuehl" w:cs="FrankRuehl"/>
                <w:rtl/>
              </w:rPr>
              <w:t xml:space="preserve">: סע'  </w:t>
            </w:r>
            <w:hyperlink r:id="rId8" w:history="1">
              <w:r w:rsidRPr="00156E72">
                <w:rPr>
                  <w:rFonts w:ascii="FrankRuehl" w:hAnsi="FrankRuehl" w:cs="FrankRuehl"/>
                  <w:color w:val="0000FF"/>
                  <w:u w:val="single"/>
                  <w:rtl/>
                </w:rPr>
                <w:t>6</w:t>
              </w:r>
            </w:hyperlink>
            <w:r w:rsidRPr="00156E72">
              <w:rPr>
                <w:rFonts w:ascii="FrankRuehl" w:hAnsi="FrankRuehl" w:cs="FrankRuehl"/>
                <w:rtl/>
              </w:rPr>
              <w:t xml:space="preserve">, </w:t>
            </w:r>
            <w:hyperlink r:id="rId9" w:history="1">
              <w:r w:rsidRPr="00156E72">
                <w:rPr>
                  <w:rFonts w:ascii="FrankRuehl" w:hAnsi="FrankRuehl" w:cs="FrankRuehl"/>
                  <w:color w:val="0000FF"/>
                  <w:u w:val="single"/>
                  <w:rtl/>
                </w:rPr>
                <w:t>10</w:t>
              </w:r>
            </w:hyperlink>
            <w:r w:rsidRPr="00156E72">
              <w:rPr>
                <w:rFonts w:ascii="FrankRuehl" w:hAnsi="FrankRuehl" w:cs="FrankRuehl"/>
                <w:rtl/>
              </w:rPr>
              <w:t xml:space="preserve">, </w:t>
            </w:r>
            <w:hyperlink r:id="rId10" w:history="1">
              <w:r w:rsidRPr="00156E72">
                <w:rPr>
                  <w:rFonts w:ascii="FrankRuehl" w:hAnsi="FrankRuehl" w:cs="FrankRuehl"/>
                  <w:color w:val="0000FF"/>
                  <w:u w:val="single"/>
                  <w:rtl/>
                </w:rPr>
                <w:t>36א(ב)</w:t>
              </w:r>
            </w:hyperlink>
          </w:p>
          <w:p w14:paraId="12967B9C" w14:textId="77777777" w:rsidR="00156E72" w:rsidRPr="00156E72" w:rsidRDefault="00156E72" w:rsidP="00156E72">
            <w:pPr>
              <w:spacing w:after="120" w:line="240" w:lineRule="exact"/>
              <w:ind w:left="283" w:hanging="283"/>
              <w:jc w:val="both"/>
              <w:rPr>
                <w:rFonts w:ascii="FrankRuehl" w:hAnsi="FrankRuehl" w:cs="FrankRuehl"/>
                <w:rtl/>
              </w:rPr>
            </w:pPr>
            <w:hyperlink r:id="rId11" w:history="1">
              <w:r w:rsidRPr="00156E72">
                <w:rPr>
                  <w:rFonts w:ascii="FrankRuehl" w:hAnsi="FrankRuehl" w:cs="FrankRuehl"/>
                  <w:color w:val="0000FF"/>
                  <w:u w:val="single"/>
                  <w:rtl/>
                </w:rPr>
                <w:t>חוק סדר הדין הפלילי [נוסח משולב], תשמ"ב-1982</w:t>
              </w:r>
            </w:hyperlink>
            <w:r w:rsidRPr="00156E72">
              <w:rPr>
                <w:rFonts w:ascii="FrankRuehl" w:hAnsi="FrankRuehl" w:cs="FrankRuehl"/>
                <w:rtl/>
              </w:rPr>
              <w:t xml:space="preserve">: סע'  </w:t>
            </w:r>
            <w:hyperlink r:id="rId12" w:history="1">
              <w:r w:rsidRPr="00156E72">
                <w:rPr>
                  <w:rFonts w:ascii="FrankRuehl" w:hAnsi="FrankRuehl" w:cs="FrankRuehl"/>
                  <w:color w:val="0000FF"/>
                  <w:u w:val="single"/>
                  <w:rtl/>
                </w:rPr>
                <w:t>184</w:t>
              </w:r>
            </w:hyperlink>
          </w:p>
          <w:p w14:paraId="3210C4DF" w14:textId="77777777" w:rsidR="00156E72" w:rsidRPr="00156E72" w:rsidRDefault="00156E72" w:rsidP="00156E72">
            <w:pPr>
              <w:spacing w:after="120" w:line="240" w:lineRule="exact"/>
              <w:ind w:left="283" w:hanging="283"/>
              <w:jc w:val="both"/>
              <w:rPr>
                <w:rFonts w:ascii="FrankRuehl" w:hAnsi="FrankRuehl" w:cs="FrankRuehl"/>
                <w:rtl/>
              </w:rPr>
            </w:pPr>
            <w:hyperlink r:id="rId13" w:history="1">
              <w:r w:rsidRPr="00156E72">
                <w:rPr>
                  <w:rFonts w:ascii="FrankRuehl" w:hAnsi="FrankRuehl" w:cs="FrankRuehl"/>
                  <w:color w:val="0000FF"/>
                  <w:u w:val="single"/>
                  <w:rtl/>
                </w:rPr>
                <w:t>חוק העונשין, תשל"ז-1977</w:t>
              </w:r>
            </w:hyperlink>
            <w:r w:rsidRPr="00156E72">
              <w:rPr>
                <w:rFonts w:ascii="FrankRuehl" w:hAnsi="FrankRuehl" w:cs="FrankRuehl"/>
                <w:rtl/>
              </w:rPr>
              <w:t xml:space="preserve">: סע'  </w:t>
            </w:r>
            <w:hyperlink r:id="rId14" w:history="1">
              <w:r w:rsidRPr="00156E72">
                <w:rPr>
                  <w:rFonts w:ascii="FrankRuehl" w:hAnsi="FrankRuehl" w:cs="FrankRuehl"/>
                  <w:color w:val="0000FF"/>
                  <w:u w:val="single"/>
                  <w:rtl/>
                </w:rPr>
                <w:t>40י'</w:t>
              </w:r>
            </w:hyperlink>
            <w:r w:rsidRPr="00156E72">
              <w:rPr>
                <w:rFonts w:ascii="FrankRuehl" w:hAnsi="FrankRuehl" w:cs="FrankRuehl"/>
                <w:rtl/>
              </w:rPr>
              <w:t xml:space="preserve">, </w:t>
            </w:r>
            <w:hyperlink r:id="rId15" w:history="1">
              <w:r w:rsidRPr="00156E72">
                <w:rPr>
                  <w:rFonts w:ascii="FrankRuehl" w:hAnsi="FrankRuehl" w:cs="FrankRuehl"/>
                  <w:color w:val="0000FF"/>
                  <w:u w:val="single"/>
                  <w:rtl/>
                </w:rPr>
                <w:t>40יב'</w:t>
              </w:r>
            </w:hyperlink>
          </w:p>
          <w:p w14:paraId="485D7780" w14:textId="77777777" w:rsidR="00156E72" w:rsidRPr="00156E72" w:rsidRDefault="00156E72" w:rsidP="00156E72">
            <w:pPr>
              <w:spacing w:after="120" w:line="240" w:lineRule="exact"/>
              <w:ind w:left="283" w:hanging="283"/>
              <w:jc w:val="both"/>
              <w:rPr>
                <w:rFonts w:ascii="FrankRuehl" w:hAnsi="FrankRuehl" w:cs="FrankRuehl"/>
                <w:rtl/>
              </w:rPr>
            </w:pPr>
            <w:hyperlink r:id="rId16" w:history="1">
              <w:r w:rsidRPr="00156E72">
                <w:rPr>
                  <w:rFonts w:ascii="FrankRuehl" w:hAnsi="FrankRuehl" w:cs="FrankRuehl"/>
                  <w:color w:val="0000FF"/>
                  <w:u w:val="single"/>
                  <w:rtl/>
                </w:rPr>
                <w:t>פקודת התעבורה [נוסח חדש]</w:t>
              </w:r>
            </w:hyperlink>
            <w:r w:rsidRPr="00156E72">
              <w:rPr>
                <w:rFonts w:ascii="FrankRuehl" w:hAnsi="FrankRuehl" w:cs="FrankRuehl"/>
                <w:rtl/>
              </w:rPr>
              <w:t xml:space="preserve">: סע'  </w:t>
            </w:r>
            <w:hyperlink r:id="rId17" w:history="1">
              <w:r w:rsidRPr="00156E72">
                <w:rPr>
                  <w:rFonts w:ascii="FrankRuehl" w:hAnsi="FrankRuehl" w:cs="FrankRuehl"/>
                  <w:color w:val="0000FF"/>
                  <w:u w:val="single"/>
                  <w:rtl/>
                </w:rPr>
                <w:t>42</w:t>
              </w:r>
            </w:hyperlink>
          </w:p>
          <w:p w14:paraId="44BE5732" w14:textId="77777777" w:rsidR="00156E72" w:rsidRPr="00156E72" w:rsidRDefault="00156E72" w:rsidP="00156E72">
            <w:pPr>
              <w:spacing w:after="120" w:line="240" w:lineRule="exact"/>
              <w:ind w:left="283" w:hanging="283"/>
              <w:jc w:val="both"/>
              <w:rPr>
                <w:rFonts w:ascii="FrankRuehl" w:hAnsi="FrankRuehl" w:cs="FrankRuehl"/>
                <w:rtl/>
              </w:rPr>
            </w:pPr>
          </w:p>
          <w:p w14:paraId="5523F001" w14:textId="77777777" w:rsidR="00156E72" w:rsidRPr="00156E72" w:rsidRDefault="00156E72" w:rsidP="00E31F7B">
            <w:pPr>
              <w:jc w:val="center"/>
              <w:rPr>
                <w:rFonts w:ascii="Arial" w:hAnsi="Arial"/>
                <w:sz w:val="32"/>
                <w:szCs w:val="32"/>
                <w:rtl/>
              </w:rPr>
            </w:pPr>
            <w:bookmarkStart w:id="4" w:name="LawTable_End"/>
            <w:bookmarkEnd w:id="4"/>
          </w:p>
          <w:p w14:paraId="5EBB4435" w14:textId="77777777" w:rsidR="00E31F7B" w:rsidRPr="00E31F7B" w:rsidRDefault="00E31F7B" w:rsidP="00E31F7B">
            <w:pPr>
              <w:jc w:val="center"/>
              <w:rPr>
                <w:rFonts w:ascii="Arial" w:hAnsi="Arial"/>
                <w:b/>
                <w:bCs/>
                <w:sz w:val="32"/>
                <w:szCs w:val="32"/>
                <w:u w:val="single"/>
                <w:rtl/>
              </w:rPr>
            </w:pPr>
            <w:r w:rsidRPr="00E31F7B">
              <w:rPr>
                <w:rFonts w:ascii="Arial" w:hAnsi="Arial"/>
                <w:b/>
                <w:bCs/>
                <w:sz w:val="32"/>
                <w:szCs w:val="32"/>
                <w:u w:val="single"/>
                <w:rtl/>
              </w:rPr>
              <w:t>גזר דין</w:t>
            </w:r>
          </w:p>
          <w:p w14:paraId="51348A08" w14:textId="77777777" w:rsidR="00AE07AE" w:rsidRPr="00E31F7B" w:rsidRDefault="00AE07AE" w:rsidP="00E31F7B">
            <w:pPr>
              <w:jc w:val="center"/>
              <w:rPr>
                <w:rFonts w:ascii="Arial" w:hAnsi="Arial"/>
                <w:bCs/>
                <w:sz w:val="32"/>
                <w:szCs w:val="32"/>
                <w:u w:val="single"/>
                <w:rtl/>
              </w:rPr>
            </w:pPr>
          </w:p>
        </w:tc>
      </w:tr>
      <w:bookmarkEnd w:id="2"/>
    </w:tbl>
    <w:p w14:paraId="08F172C2" w14:textId="77777777" w:rsidR="00AE07AE" w:rsidRPr="00B05847" w:rsidRDefault="00AE07AE" w:rsidP="00AE07AE">
      <w:pPr>
        <w:rPr>
          <w:rFonts w:ascii="Arial" w:hAnsi="Arial"/>
          <w:rtl/>
        </w:rPr>
      </w:pPr>
    </w:p>
    <w:p w14:paraId="31CC34AD" w14:textId="77777777" w:rsidR="00AE07AE" w:rsidRPr="00B05847" w:rsidRDefault="00AE07AE" w:rsidP="00AE07AE">
      <w:pPr>
        <w:rPr>
          <w:rFonts w:ascii="Arial" w:hAnsi="Arial"/>
          <w:rtl/>
        </w:rPr>
      </w:pPr>
    </w:p>
    <w:p w14:paraId="020D8D2B" w14:textId="77777777" w:rsidR="00AE07AE" w:rsidRDefault="00AE07AE" w:rsidP="00AE07AE">
      <w:pPr>
        <w:rPr>
          <w:rtl/>
        </w:rPr>
      </w:pPr>
    </w:p>
    <w:p w14:paraId="5CED6690" w14:textId="77777777" w:rsidR="00AE07AE" w:rsidRDefault="00AE07AE" w:rsidP="00AE07AE">
      <w:pPr>
        <w:ind w:firstLine="360"/>
        <w:rPr>
          <w:b/>
          <w:bCs/>
          <w:u w:val="single"/>
          <w:rtl/>
        </w:rPr>
      </w:pPr>
      <w:r>
        <w:rPr>
          <w:rFonts w:hint="cs"/>
          <w:b/>
          <w:bCs/>
          <w:u w:val="single"/>
          <w:rtl/>
        </w:rPr>
        <w:t>כתב האישום וההליכים</w:t>
      </w:r>
    </w:p>
    <w:p w14:paraId="1A848825" w14:textId="77777777" w:rsidR="00AE07AE" w:rsidRDefault="00AE07AE" w:rsidP="00AE07AE">
      <w:pPr>
        <w:rPr>
          <w:rtl/>
        </w:rPr>
      </w:pPr>
    </w:p>
    <w:p w14:paraId="6967B826" w14:textId="77777777" w:rsidR="00AE07AE" w:rsidRDefault="00AE07AE" w:rsidP="00AE07AE">
      <w:pPr>
        <w:rPr>
          <w:rtl/>
        </w:rPr>
      </w:pPr>
    </w:p>
    <w:p w14:paraId="4B10794C" w14:textId="77777777" w:rsidR="00AE07AE" w:rsidRPr="00B274E5" w:rsidRDefault="00AE07AE" w:rsidP="00AE07AE">
      <w:pPr>
        <w:numPr>
          <w:ilvl w:val="0"/>
          <w:numId w:val="2"/>
        </w:numPr>
        <w:spacing w:line="360" w:lineRule="auto"/>
        <w:contextualSpacing/>
        <w:jc w:val="both"/>
        <w:rPr>
          <w:rFonts w:ascii="Arial" w:hAnsi="Arial"/>
        </w:rPr>
      </w:pPr>
      <w:bookmarkStart w:id="5" w:name="ABSTRACT_START"/>
      <w:bookmarkEnd w:id="5"/>
      <w:r>
        <w:rPr>
          <w:rFonts w:hint="cs"/>
          <w:rtl/>
        </w:rPr>
        <w:t>הנאשם הורשע, לאחר שמיעת ראיות, ב</w:t>
      </w:r>
      <w:r w:rsidRPr="00B274E5">
        <w:rPr>
          <w:rFonts w:ascii="Arial" w:hAnsi="Arial"/>
          <w:rtl/>
        </w:rPr>
        <w:t xml:space="preserve">עבירות גידול סמים מסוכנים, לפי </w:t>
      </w:r>
      <w:hyperlink r:id="rId18" w:history="1">
        <w:r w:rsidR="00AB70FF" w:rsidRPr="00AB70FF">
          <w:rPr>
            <w:rFonts w:ascii="Arial" w:hAnsi="Arial"/>
            <w:color w:val="0000FF"/>
            <w:u w:val="single"/>
            <w:rtl/>
          </w:rPr>
          <w:t>סעיף 6</w:t>
        </w:r>
      </w:hyperlink>
      <w:r w:rsidRPr="00B274E5">
        <w:rPr>
          <w:rFonts w:ascii="Arial" w:hAnsi="Arial"/>
          <w:rtl/>
        </w:rPr>
        <w:t xml:space="preserve"> ל</w:t>
      </w:r>
      <w:hyperlink r:id="rId19" w:history="1">
        <w:r w:rsidR="00E31F7B" w:rsidRPr="00E31F7B">
          <w:rPr>
            <w:rStyle w:val="Hyperlink"/>
            <w:rFonts w:ascii="Arial" w:hAnsi="Arial"/>
            <w:rtl/>
          </w:rPr>
          <w:t>פקודת הסמים המסוכנים</w:t>
        </w:r>
      </w:hyperlink>
      <w:r w:rsidRPr="00B274E5">
        <w:rPr>
          <w:rFonts w:ascii="Arial" w:hAnsi="Arial"/>
          <w:rtl/>
        </w:rPr>
        <w:t xml:space="preserve"> [נוסח חדש], תשל"ג-1973 (להלן – "פקודת הסמים") וכן החזקת כלים להכנת סם שלא לצריכה עצמית, עבירה לפי </w:t>
      </w:r>
      <w:hyperlink r:id="rId20" w:history="1">
        <w:r w:rsidR="00AB70FF" w:rsidRPr="00AB70FF">
          <w:rPr>
            <w:rFonts w:ascii="Arial" w:hAnsi="Arial"/>
            <w:color w:val="0000FF"/>
            <w:u w:val="single"/>
            <w:rtl/>
          </w:rPr>
          <w:t>סעיף 10</w:t>
        </w:r>
      </w:hyperlink>
      <w:r w:rsidRPr="00B274E5">
        <w:rPr>
          <w:rFonts w:ascii="Arial" w:hAnsi="Arial"/>
          <w:rtl/>
        </w:rPr>
        <w:t xml:space="preserve"> רישא לפקודת הסמים. </w:t>
      </w:r>
    </w:p>
    <w:p w14:paraId="520A3D3D" w14:textId="77777777" w:rsidR="00AE07AE" w:rsidRPr="00B274E5" w:rsidRDefault="00AE07AE" w:rsidP="00AE07AE">
      <w:pPr>
        <w:spacing w:line="360" w:lineRule="auto"/>
        <w:ind w:left="720"/>
        <w:contextualSpacing/>
        <w:jc w:val="both"/>
        <w:rPr>
          <w:rFonts w:ascii="Arial" w:hAnsi="Arial"/>
        </w:rPr>
      </w:pPr>
      <w:bookmarkStart w:id="6" w:name="ABSTRACT_END"/>
      <w:bookmarkEnd w:id="6"/>
    </w:p>
    <w:p w14:paraId="6DDC24D3" w14:textId="77777777" w:rsidR="00AE07AE" w:rsidRDefault="00AE07AE" w:rsidP="00AE07AE">
      <w:pPr>
        <w:numPr>
          <w:ilvl w:val="0"/>
          <w:numId w:val="2"/>
        </w:numPr>
        <w:spacing w:line="360" w:lineRule="auto"/>
        <w:contextualSpacing/>
        <w:jc w:val="both"/>
        <w:rPr>
          <w:rFonts w:ascii="Arial" w:hAnsi="Arial"/>
        </w:rPr>
      </w:pPr>
      <w:r>
        <w:rPr>
          <w:rFonts w:ascii="Arial" w:hAnsi="Arial" w:hint="cs"/>
          <w:rtl/>
        </w:rPr>
        <w:t xml:space="preserve">בכתב האישום יוחס לנאשם כי ביום 14.10.15 גידל בשלושה חדרים בדירה בה התגורר, סמים מסוכנים מסוג קנביס במשקל כולל של 24.15 ק"ג וכן החזיק לשם כך בכלים לרבות גופי תאורה, שנאים, מערכת השקיה, מאוור ואוהל לייבוש הסמים. </w:t>
      </w:r>
    </w:p>
    <w:p w14:paraId="317DA06C" w14:textId="77777777" w:rsidR="00AE07AE" w:rsidRPr="00801A94" w:rsidRDefault="00AE07AE" w:rsidP="00AE07AE">
      <w:pPr>
        <w:spacing w:line="360" w:lineRule="auto"/>
        <w:ind w:left="720"/>
        <w:contextualSpacing/>
        <w:jc w:val="both"/>
        <w:rPr>
          <w:rFonts w:ascii="Arial" w:hAnsi="Arial"/>
        </w:rPr>
      </w:pPr>
    </w:p>
    <w:p w14:paraId="3B802D1F" w14:textId="77777777" w:rsidR="00AE07AE" w:rsidRDefault="00AE07AE" w:rsidP="00AE07AE">
      <w:pPr>
        <w:numPr>
          <w:ilvl w:val="0"/>
          <w:numId w:val="2"/>
        </w:numPr>
        <w:spacing w:line="360" w:lineRule="auto"/>
        <w:contextualSpacing/>
        <w:jc w:val="both"/>
        <w:rPr>
          <w:rFonts w:ascii="Arial" w:hAnsi="Arial"/>
        </w:rPr>
      </w:pPr>
      <w:r>
        <w:rPr>
          <w:rFonts w:ascii="Arial" w:hAnsi="Arial" w:hint="cs"/>
          <w:rtl/>
        </w:rPr>
        <w:lastRenderedPageBreak/>
        <w:t xml:space="preserve">יצוין כי הנאשם לא חלק בתשובתו לאישום על כך שגידל את הסמים הנזכרים בכתב האישום, אך טען שעשה כן לצורך שימושו האישי בסם. לא התקיימה פרשת תביעה אלא הוגש כל חומר החקירה בהסכמה ואילו מטעם הנאשם העיד מומחה שהגיש חוות דעת בדבר כמות הסם שניתן להפיק בסופו של דבר מהשתילים שנמצאו בדירת הנאשם. בכך ביקש הנאשם להראות שמשקל זה נמוך יחסית ומתיישב עם טענתו בדבר שימוש עצמי. הנאשם עצמו לא העיד. </w:t>
      </w:r>
    </w:p>
    <w:p w14:paraId="3F4FC897" w14:textId="77777777" w:rsidR="00AE07AE" w:rsidRDefault="00AE07AE" w:rsidP="00AE07AE">
      <w:pPr>
        <w:spacing w:line="360" w:lineRule="auto"/>
        <w:ind w:left="720"/>
        <w:contextualSpacing/>
        <w:jc w:val="both"/>
        <w:rPr>
          <w:rFonts w:ascii="Arial" w:hAnsi="Arial"/>
        </w:rPr>
      </w:pPr>
    </w:p>
    <w:p w14:paraId="72CF29E3" w14:textId="77777777" w:rsidR="00AE07AE" w:rsidRDefault="00AE07AE" w:rsidP="00AE07AE">
      <w:pPr>
        <w:numPr>
          <w:ilvl w:val="0"/>
          <w:numId w:val="2"/>
        </w:numPr>
        <w:spacing w:line="360" w:lineRule="auto"/>
        <w:contextualSpacing/>
        <w:jc w:val="both"/>
        <w:rPr>
          <w:rFonts w:ascii="Arial" w:hAnsi="Arial"/>
        </w:rPr>
      </w:pPr>
      <w:r>
        <w:rPr>
          <w:rFonts w:ascii="Arial" w:hAnsi="Arial" w:hint="cs"/>
          <w:rtl/>
        </w:rPr>
        <w:t xml:space="preserve">בהכרעת הדין דחיתי את טענת הנאשם וקבעתי כי משקלם של הצמחים (מעל 24 ק"ג) ומספרם (כ- 100), בצירוף אמרותיו במשטרה (כי ציפה לקבל כחמישה ק"ג של פרחים ולמכור "חלק"), אינם מתיישבים כלל ועיקר עם אפשרות שמדובר בגידול שמטרתו שימוש עצמי בלבד, וכי הנסיבות מתיישבות דווקא עם מטרה מסחרית. </w:t>
      </w:r>
    </w:p>
    <w:p w14:paraId="1086CBED" w14:textId="77777777" w:rsidR="00AE07AE" w:rsidRDefault="00AE07AE" w:rsidP="00AE07AE">
      <w:pPr>
        <w:spacing w:line="360" w:lineRule="auto"/>
        <w:ind w:left="720"/>
        <w:contextualSpacing/>
        <w:jc w:val="both"/>
        <w:rPr>
          <w:rFonts w:ascii="Arial" w:hAnsi="Arial"/>
        </w:rPr>
      </w:pPr>
      <w:r>
        <w:rPr>
          <w:rFonts w:ascii="Arial" w:hAnsi="Arial" w:hint="cs"/>
          <w:rtl/>
        </w:rPr>
        <w:t xml:space="preserve">לאור כך קבעתי כי: </w:t>
      </w:r>
    </w:p>
    <w:p w14:paraId="1E49EA4A" w14:textId="77777777" w:rsidR="00AE07AE" w:rsidRPr="00DA5F54" w:rsidRDefault="00AE07AE" w:rsidP="00AE07AE">
      <w:pPr>
        <w:spacing w:line="360" w:lineRule="auto"/>
        <w:ind w:left="720"/>
        <w:contextualSpacing/>
        <w:jc w:val="both"/>
        <w:rPr>
          <w:rFonts w:ascii="Arial" w:hAnsi="Arial"/>
        </w:rPr>
      </w:pPr>
    </w:p>
    <w:p w14:paraId="14ADCC49" w14:textId="77777777" w:rsidR="00AE07AE" w:rsidRDefault="00AE07AE" w:rsidP="00AE07AE">
      <w:pPr>
        <w:spacing w:line="360" w:lineRule="auto"/>
        <w:ind w:left="1440" w:right="1134"/>
        <w:contextualSpacing/>
        <w:jc w:val="both"/>
        <w:rPr>
          <w:rFonts w:cs="Miriam"/>
          <w:rtl/>
        </w:rPr>
      </w:pPr>
      <w:r>
        <w:rPr>
          <w:rFonts w:cs="Miriam" w:hint="cs"/>
          <w:rtl/>
        </w:rPr>
        <w:t>"</w:t>
      </w:r>
      <w:r w:rsidRPr="003460C0">
        <w:rPr>
          <w:rFonts w:cs="Miriam"/>
          <w:rtl/>
        </w:rPr>
        <w:t xml:space="preserve">לא עלה בידי ההגנה להוכיח (בוודאי שלא במאזן הסתברויות) </w:t>
      </w:r>
      <w:r>
        <w:rPr>
          <w:rFonts w:cs="Miriam" w:hint="cs"/>
          <w:rtl/>
        </w:rPr>
        <w:t>...</w:t>
      </w:r>
      <w:r w:rsidRPr="003460C0">
        <w:rPr>
          <w:rFonts w:cs="Miriam"/>
          <w:rtl/>
        </w:rPr>
        <w:t xml:space="preserve"> שמדובר בכמות מזערית המתיישבת ללא כל קושי עם שימוש עצמי, גם כאשר הנאשם לא העיד. בהתאמה ניתן לומר, אפוא, שהנאשם לא הצליח לשכנע ברמה הנדרשת (מאזן הסתברויות) כי מטרתו בגידול הסמים הייתה שיהיו לשימושו האישי בלבד.</w:t>
      </w:r>
      <w:r>
        <w:rPr>
          <w:rFonts w:cs="Miriam" w:hint="cs"/>
          <w:rtl/>
        </w:rPr>
        <w:t xml:space="preserve">" </w:t>
      </w:r>
      <w:r w:rsidRPr="003460C0">
        <w:rPr>
          <w:rFonts w:hint="cs"/>
          <w:rtl/>
        </w:rPr>
        <w:t>(פסקה 33</w:t>
      </w:r>
      <w:r>
        <w:rPr>
          <w:rFonts w:hint="cs"/>
          <w:rtl/>
        </w:rPr>
        <w:t xml:space="preserve"> להכרעת הדין</w:t>
      </w:r>
      <w:r w:rsidRPr="003460C0">
        <w:rPr>
          <w:rFonts w:hint="cs"/>
          <w:rtl/>
        </w:rPr>
        <w:t>).</w:t>
      </w:r>
      <w:r>
        <w:rPr>
          <w:rFonts w:cs="Miriam" w:hint="cs"/>
          <w:rtl/>
        </w:rPr>
        <w:t xml:space="preserve"> </w:t>
      </w:r>
    </w:p>
    <w:p w14:paraId="6A82D739" w14:textId="77777777" w:rsidR="00AE07AE" w:rsidRDefault="00AE07AE" w:rsidP="00AE07AE">
      <w:pPr>
        <w:spacing w:line="360" w:lineRule="auto"/>
        <w:ind w:left="720"/>
        <w:contextualSpacing/>
        <w:jc w:val="both"/>
        <w:rPr>
          <w:b/>
          <w:bCs/>
          <w:u w:val="single"/>
          <w:rtl/>
        </w:rPr>
      </w:pPr>
    </w:p>
    <w:p w14:paraId="38878338" w14:textId="77777777" w:rsidR="00AE07AE" w:rsidRDefault="00AE07AE" w:rsidP="00AE07AE">
      <w:pPr>
        <w:pStyle w:val="ListParagraph"/>
        <w:numPr>
          <w:ilvl w:val="0"/>
          <w:numId w:val="2"/>
        </w:numPr>
        <w:spacing w:line="360" w:lineRule="auto"/>
        <w:jc w:val="both"/>
        <w:rPr>
          <w:rFonts w:cs="David"/>
        </w:rPr>
      </w:pPr>
      <w:r>
        <w:rPr>
          <w:rFonts w:cs="David" w:hint="cs"/>
          <w:rtl/>
        </w:rPr>
        <w:t xml:space="preserve">אדגיש כי הגם שבכתב האישום לא צוין משום מה מספרם של השתילים, קבעתי בהכרעת הדין שמדובר בכ-100 שתילים וציינתי כי ניתנה לנאשם הזדמנות סבירה להתגונן בפני אפשרות שעובדה זו תקבע בהכרעת הדין, כאמור </w:t>
      </w:r>
      <w:hyperlink r:id="rId21" w:history="1">
        <w:r w:rsidR="00AB70FF" w:rsidRPr="00AB70FF">
          <w:rPr>
            <w:rFonts w:cs="David"/>
            <w:color w:val="0000FF"/>
            <w:u w:val="single"/>
            <w:rtl/>
          </w:rPr>
          <w:t>בסעיף 184</w:t>
        </w:r>
      </w:hyperlink>
      <w:r>
        <w:rPr>
          <w:rFonts w:cs="David" w:hint="cs"/>
          <w:rtl/>
        </w:rPr>
        <w:t xml:space="preserve"> ל</w:t>
      </w:r>
      <w:hyperlink r:id="rId22" w:history="1">
        <w:r w:rsidR="00E31F7B" w:rsidRPr="00E31F7B">
          <w:rPr>
            <w:rStyle w:val="Hyperlink"/>
            <w:rFonts w:cs="David" w:hint="eastAsia"/>
            <w:rtl/>
          </w:rPr>
          <w:t>חסד</w:t>
        </w:r>
        <w:r w:rsidR="00E31F7B" w:rsidRPr="00E31F7B">
          <w:rPr>
            <w:rStyle w:val="Hyperlink"/>
            <w:rFonts w:cs="David"/>
            <w:rtl/>
          </w:rPr>
          <w:t>"פ</w:t>
        </w:r>
      </w:hyperlink>
      <w:r>
        <w:rPr>
          <w:rFonts w:cs="David" w:hint="cs"/>
          <w:rtl/>
        </w:rPr>
        <w:t xml:space="preserve"> (סעיף 10 להכרעת הדין). לאור כך, מדובר בנסיבה שהוכחה כנדרש במסגרת שלב בירור האשמה (</w:t>
      </w:r>
      <w:hyperlink r:id="rId23" w:history="1">
        <w:r w:rsidR="00AB70FF" w:rsidRPr="00AB70FF">
          <w:rPr>
            <w:rFonts w:cs="David"/>
            <w:color w:val="0000FF"/>
            <w:u w:val="single"/>
            <w:rtl/>
          </w:rPr>
          <w:t>סעיף 40יב'</w:t>
        </w:r>
      </w:hyperlink>
      <w:r>
        <w:rPr>
          <w:rFonts w:cs="David" w:hint="cs"/>
          <w:rtl/>
        </w:rPr>
        <w:t xml:space="preserve"> ל</w:t>
      </w:r>
      <w:hyperlink r:id="rId24" w:history="1">
        <w:r w:rsidR="00E31F7B" w:rsidRPr="00E31F7B">
          <w:rPr>
            <w:rStyle w:val="Hyperlink"/>
            <w:rFonts w:cs="David" w:hint="eastAsia"/>
            <w:rtl/>
          </w:rPr>
          <w:t>חוק</w:t>
        </w:r>
        <w:r w:rsidR="00E31F7B" w:rsidRPr="00E31F7B">
          <w:rPr>
            <w:rStyle w:val="Hyperlink"/>
            <w:rFonts w:cs="David"/>
            <w:rtl/>
          </w:rPr>
          <w:t xml:space="preserve"> העונשין</w:t>
        </w:r>
      </w:hyperlink>
      <w:r>
        <w:rPr>
          <w:rFonts w:cs="David" w:hint="cs"/>
          <w:rtl/>
        </w:rPr>
        <w:t xml:space="preserve">) וניתן לעשות בה שימוש במסגרת גזר הדין. </w:t>
      </w:r>
    </w:p>
    <w:p w14:paraId="41C1C932" w14:textId="77777777" w:rsidR="00AE07AE" w:rsidRDefault="00AE07AE" w:rsidP="00AE07AE">
      <w:pPr>
        <w:spacing w:line="360" w:lineRule="auto"/>
        <w:ind w:left="720"/>
        <w:contextualSpacing/>
        <w:jc w:val="both"/>
        <w:rPr>
          <w:b/>
          <w:bCs/>
          <w:u w:val="single"/>
          <w:rtl/>
        </w:rPr>
      </w:pPr>
    </w:p>
    <w:p w14:paraId="42505270" w14:textId="77777777" w:rsidR="00AE07AE" w:rsidRDefault="00AE07AE" w:rsidP="00AE07AE">
      <w:pPr>
        <w:spacing w:line="360" w:lineRule="auto"/>
        <w:ind w:firstLine="360"/>
        <w:contextualSpacing/>
        <w:jc w:val="both"/>
        <w:rPr>
          <w:b/>
          <w:bCs/>
          <w:u w:val="single"/>
          <w:rtl/>
        </w:rPr>
      </w:pPr>
      <w:r>
        <w:rPr>
          <w:rFonts w:hint="cs"/>
          <w:b/>
          <w:bCs/>
          <w:u w:val="single"/>
          <w:rtl/>
        </w:rPr>
        <w:t>תסקיר שירות המבחן</w:t>
      </w:r>
    </w:p>
    <w:p w14:paraId="1E777346" w14:textId="77777777" w:rsidR="00AE07AE" w:rsidRDefault="00AE07AE" w:rsidP="00AE07AE">
      <w:pPr>
        <w:spacing w:line="360" w:lineRule="auto"/>
        <w:jc w:val="both"/>
        <w:rPr>
          <w:b/>
          <w:bCs/>
          <w:u w:val="single"/>
          <w:rtl/>
        </w:rPr>
      </w:pPr>
    </w:p>
    <w:p w14:paraId="678DFD13" w14:textId="77777777" w:rsidR="00AE07AE" w:rsidRPr="00242171" w:rsidRDefault="00AE07AE" w:rsidP="00AE07AE">
      <w:pPr>
        <w:pStyle w:val="ListParagraph"/>
        <w:numPr>
          <w:ilvl w:val="0"/>
          <w:numId w:val="2"/>
        </w:numPr>
        <w:spacing w:line="360" w:lineRule="auto"/>
        <w:jc w:val="both"/>
        <w:rPr>
          <w:rFonts w:cs="David"/>
        </w:rPr>
      </w:pPr>
      <w:r>
        <w:rPr>
          <w:rFonts w:cs="David" w:hint="cs"/>
          <w:rtl/>
        </w:rPr>
        <w:t xml:space="preserve">לבקשתו, הופנה </w:t>
      </w:r>
      <w:r w:rsidRPr="004177D3">
        <w:rPr>
          <w:rFonts w:cs="David" w:hint="cs"/>
          <w:rtl/>
        </w:rPr>
        <w:t>הנאשם לשירות המבחן. מהתסקיר עלה כי הנאשם כבן 36 רווק המתגורר לבדו ו</w:t>
      </w:r>
      <w:r>
        <w:rPr>
          <w:rFonts w:cs="David" w:hint="cs"/>
          <w:rtl/>
        </w:rPr>
        <w:t xml:space="preserve">מצוי </w:t>
      </w:r>
      <w:r w:rsidRPr="004177D3">
        <w:rPr>
          <w:rFonts w:cs="David" w:hint="cs"/>
          <w:rtl/>
        </w:rPr>
        <w:t xml:space="preserve">בקשרים טובים עם משפחתו הגרעינית. </w:t>
      </w:r>
      <w:r>
        <w:rPr>
          <w:rFonts w:cs="David" w:hint="cs"/>
          <w:rtl/>
        </w:rPr>
        <w:t xml:space="preserve">הנאשם שירת כלוחם מג"ב, אך בהמשך הוגש נגדו כתב אישום בשל מעשה אלימות בו היה שותף במהלך השירות. הנאשם נשפט (בבית משפט אזרחי) ודינו נגזר בשנת 2014 למאסר מותנה. בין לבין עזב הנאשם את הארץ והשתקע בארצות הברית שם שהה כעשור עד אשר חזר ארצה בשנת 2015 סמוך למעצרו בגין העבירה הנוכחית. </w:t>
      </w:r>
      <w:r w:rsidRPr="00242171">
        <w:rPr>
          <w:rFonts w:cs="David" w:hint="cs"/>
          <w:rtl/>
        </w:rPr>
        <w:t xml:space="preserve">במסגרת תקופת שהייתו בתנאים מגבילים במסגרת תיק זה, שולב </w:t>
      </w:r>
      <w:r w:rsidRPr="00242171">
        <w:rPr>
          <w:rFonts w:cs="David" w:hint="cs"/>
          <w:rtl/>
        </w:rPr>
        <w:lastRenderedPageBreak/>
        <w:t>הנאשם ביחידה לטיפול בהתמכרויות וצוין כי הוא הגיע לכל המפגשים ומסר בדיקות שתן נקיות.</w:t>
      </w:r>
      <w:r>
        <w:rPr>
          <w:rFonts w:cs="David" w:hint="cs"/>
          <w:rtl/>
        </w:rPr>
        <w:t xml:space="preserve"> ב</w:t>
      </w:r>
      <w:r w:rsidRPr="00242171">
        <w:rPr>
          <w:rFonts w:cs="David" w:hint="cs"/>
          <w:rtl/>
        </w:rPr>
        <w:t xml:space="preserve">התייחסותו לעבירה בה הורשע ציין הנאשם כי ביקש לגדל את הסמים לשימושו האישי  וזאת על מנת לטפל בכאבי ראש מהם הוא סובל. כאן המקום להדגיש כי ניתן להצר על כך ששירות המבחן לא נתן לבו לכך שגרסה זו עומדת בסתירה לקביעות שבהכרעת הדין. הנאשם מסר לשירות המבחן גרסה עובדתית שונה לחלוטין מזו שנקבעה בהכרעת הדין וההמלצה ניתנה על בסיס גרסה זו. </w:t>
      </w:r>
      <w:r>
        <w:rPr>
          <w:rFonts w:cs="David" w:hint="cs"/>
          <w:rtl/>
        </w:rPr>
        <w:t>חוסר תשומת לב זו מצערת שכן ברי שבמצב דברים זה התסקיר ניתן על בסיס נתונים עובדתיים בלתי נכונים וחבל. כך או כך, על בסיס מערכת עובדתית זו, התרשם שירות המבחן שבבסיס העבירות לא עמדו נורמות וערכים עברייניים, אלא רצון "לקצר דרך" במענה לכאביו הפיזיים ולהתמכרותו והמליץ להעמיד את הנאשם במבחן בצירוף 140 שעות של"צ.</w:t>
      </w:r>
    </w:p>
    <w:p w14:paraId="4D32A807" w14:textId="77777777" w:rsidR="00AE07AE" w:rsidRPr="00A71608" w:rsidRDefault="00AE07AE" w:rsidP="00AE07AE">
      <w:pPr>
        <w:pStyle w:val="ListParagraph"/>
        <w:spacing w:line="360" w:lineRule="auto"/>
        <w:jc w:val="both"/>
        <w:rPr>
          <w:rFonts w:cs="David"/>
        </w:rPr>
      </w:pPr>
    </w:p>
    <w:p w14:paraId="2B65047D" w14:textId="77777777" w:rsidR="00AE07AE" w:rsidRPr="00727A24" w:rsidRDefault="00AE07AE" w:rsidP="00AE07AE">
      <w:pPr>
        <w:pStyle w:val="ListParagraph"/>
        <w:spacing w:line="360" w:lineRule="auto"/>
        <w:jc w:val="both"/>
        <w:rPr>
          <w:rFonts w:cs="David"/>
          <w:rtl/>
        </w:rPr>
      </w:pPr>
    </w:p>
    <w:p w14:paraId="5D69F11F" w14:textId="77777777" w:rsidR="00AE07AE" w:rsidRDefault="00AE07AE" w:rsidP="00AE07AE">
      <w:pPr>
        <w:spacing w:line="360" w:lineRule="auto"/>
        <w:ind w:firstLine="360"/>
        <w:contextualSpacing/>
        <w:jc w:val="both"/>
        <w:rPr>
          <w:b/>
          <w:bCs/>
          <w:u w:val="single"/>
          <w:rtl/>
        </w:rPr>
      </w:pPr>
      <w:r>
        <w:rPr>
          <w:rFonts w:hint="cs"/>
          <w:b/>
          <w:bCs/>
          <w:u w:val="single"/>
          <w:rtl/>
        </w:rPr>
        <w:t>טיעוני הצדדים לעונש</w:t>
      </w:r>
    </w:p>
    <w:p w14:paraId="44541791" w14:textId="77777777" w:rsidR="00AE07AE" w:rsidRDefault="00AE07AE" w:rsidP="00AE07AE">
      <w:pPr>
        <w:spacing w:line="360" w:lineRule="auto"/>
        <w:ind w:left="720"/>
        <w:contextualSpacing/>
        <w:jc w:val="both"/>
        <w:rPr>
          <w:b/>
          <w:bCs/>
          <w:u w:val="single"/>
          <w:rtl/>
        </w:rPr>
      </w:pPr>
    </w:p>
    <w:p w14:paraId="6918DF54" w14:textId="77777777" w:rsidR="00AE07AE" w:rsidRDefault="00AE07AE" w:rsidP="00AE07AE">
      <w:pPr>
        <w:numPr>
          <w:ilvl w:val="0"/>
          <w:numId w:val="2"/>
        </w:numPr>
        <w:spacing w:line="360" w:lineRule="auto"/>
        <w:contextualSpacing/>
        <w:jc w:val="both"/>
      </w:pPr>
      <w:r w:rsidRPr="00C95B30">
        <w:rPr>
          <w:rFonts w:hint="cs"/>
          <w:rtl/>
        </w:rPr>
        <w:t xml:space="preserve">ב"כ המאשימה </w:t>
      </w:r>
      <w:r>
        <w:rPr>
          <w:rFonts w:hint="cs"/>
          <w:rtl/>
        </w:rPr>
        <w:t>הפנה לחומרת מעשיו של הנאשם הנעוצה בכמות הסם שנתפסה (24.15 ק"ג); כמות השתילים (100 שתילים); ולכלים הרבים ששימשו לגידול. נטען כי מדובר בתופעה נפוצה בעת האחרונה המשלבת לרוב אנשים "נורמטיביים". לאור כך נטען שיש לקבוע מתחם ענישה הולם הנע בין 12 חודשי מאסר בפועל ל-24 חודשי מאסר בפועל. בהתייחסו לעונש הראוי שיש להטיל על הנאשם, ציין ב"כ המאשימה כי לאור נתוניו החיוביים של הנאשם, יש להטיל עליו עונש מאסר בתחתית המתחם וזאת לצד מאסר על תנאי, קנס ופסילת רישיון נהיגה.</w:t>
      </w:r>
    </w:p>
    <w:p w14:paraId="7A3C888E" w14:textId="77777777" w:rsidR="00AE07AE" w:rsidRPr="00E40460" w:rsidRDefault="00AE07AE" w:rsidP="00AE07AE">
      <w:pPr>
        <w:spacing w:line="360" w:lineRule="auto"/>
        <w:ind w:left="720"/>
        <w:contextualSpacing/>
        <w:jc w:val="both"/>
      </w:pPr>
    </w:p>
    <w:p w14:paraId="7F4FB721" w14:textId="77777777" w:rsidR="00AE07AE" w:rsidRDefault="00AE07AE" w:rsidP="00AE07AE">
      <w:pPr>
        <w:numPr>
          <w:ilvl w:val="0"/>
          <w:numId w:val="2"/>
        </w:numPr>
        <w:spacing w:line="360" w:lineRule="auto"/>
        <w:contextualSpacing/>
        <w:jc w:val="both"/>
      </w:pPr>
      <w:r>
        <w:rPr>
          <w:rFonts w:hint="cs"/>
          <w:rtl/>
        </w:rPr>
        <w:t xml:space="preserve">ב"כ הנאשם ציין כי הנאשם הודה בעובדות כתב האישום וניהל את ההליך רק לעניין השאלה אם המטרה הייתה לשימוש עצמי. הסנגור לא התייחס למתחם הענישה ההולם את העבירה בה הורשע הנאשם, אך ביקש לאמץ את המלצות שירות המבחן לאור עברו הקל של הנאשם, נסיבותיו האישיות והאמור בתסקיר. </w:t>
      </w:r>
    </w:p>
    <w:p w14:paraId="30315D75" w14:textId="77777777" w:rsidR="00AE07AE" w:rsidRDefault="00AE07AE" w:rsidP="00AE07AE">
      <w:pPr>
        <w:spacing w:line="360" w:lineRule="auto"/>
        <w:ind w:left="720"/>
        <w:contextualSpacing/>
        <w:jc w:val="both"/>
      </w:pPr>
    </w:p>
    <w:p w14:paraId="70DB1DB4" w14:textId="77777777" w:rsidR="00AE07AE" w:rsidRPr="00916C5D" w:rsidRDefault="00AE07AE" w:rsidP="00AE07AE">
      <w:pPr>
        <w:numPr>
          <w:ilvl w:val="0"/>
          <w:numId w:val="2"/>
        </w:numPr>
        <w:spacing w:line="360" w:lineRule="auto"/>
        <w:contextualSpacing/>
        <w:jc w:val="both"/>
        <w:rPr>
          <w:rtl/>
        </w:rPr>
      </w:pPr>
      <w:r w:rsidRPr="00916C5D">
        <w:rPr>
          <w:rFonts w:hint="cs"/>
          <w:rtl/>
        </w:rPr>
        <w:t>הנאשם בדברו האחרון הביע צער וחרטה על מעשיו. הנאשם ציין כי רוב שנות בגרותו השתמש בסמים, במיוחד בתקופה הארוכה בה שהה בארה"ב. הנאשם ניצל את ההזדמנות לחלוק על האמור בהודעותיו במשטרה וטען שמעולם לא השתמש במילה "</w:t>
      </w:r>
      <w:r w:rsidRPr="00916C5D">
        <w:rPr>
          <w:rFonts w:cs="Miriam" w:hint="cs"/>
          <w:rtl/>
        </w:rPr>
        <w:t>למכור</w:t>
      </w:r>
      <w:r w:rsidRPr="00916C5D">
        <w:rPr>
          <w:rFonts w:hint="cs"/>
          <w:rtl/>
        </w:rPr>
        <w:t>" אלא לכל היותר אמר "</w:t>
      </w:r>
      <w:r w:rsidRPr="00916C5D">
        <w:rPr>
          <w:rFonts w:cs="Miriam" w:hint="cs"/>
          <w:rtl/>
        </w:rPr>
        <w:t>לתת</w:t>
      </w:r>
      <w:r w:rsidRPr="00916C5D">
        <w:rPr>
          <w:rFonts w:hint="cs"/>
          <w:rtl/>
        </w:rPr>
        <w:t xml:space="preserve">". אציין כי החקירה מתועדת בווידאו ולאור טענה זו שבתי ועיינתי בדיסק החקירה (ת/14 חקירת חשוד מיום 15/10/16, חלק שני) ובדקה  08:30 ניתן לשמוע כי הנאשם אומר במפורש לחוקר כי כוונתו בין היתר הייתה </w:t>
      </w:r>
      <w:r>
        <w:rPr>
          <w:rFonts w:hint="cs"/>
          <w:rtl/>
        </w:rPr>
        <w:t xml:space="preserve">גם </w:t>
      </w:r>
      <w:r w:rsidRPr="00916C5D">
        <w:rPr>
          <w:rFonts w:hint="cs"/>
          <w:rtl/>
        </w:rPr>
        <w:t>למכור</w:t>
      </w:r>
      <w:r>
        <w:rPr>
          <w:rFonts w:hint="cs"/>
          <w:rtl/>
        </w:rPr>
        <w:t xml:space="preserve"> את התוצרת</w:t>
      </w:r>
      <w:r w:rsidRPr="00916C5D">
        <w:rPr>
          <w:rFonts w:hint="cs"/>
          <w:rtl/>
        </w:rPr>
        <w:t xml:space="preserve">. </w:t>
      </w:r>
    </w:p>
    <w:p w14:paraId="210F782E" w14:textId="77777777" w:rsidR="00AE07AE" w:rsidRDefault="00AE07AE" w:rsidP="00AE07AE">
      <w:pPr>
        <w:spacing w:line="360" w:lineRule="auto"/>
        <w:ind w:left="720"/>
        <w:contextualSpacing/>
        <w:jc w:val="both"/>
        <w:rPr>
          <w:b/>
          <w:bCs/>
          <w:u w:val="single"/>
          <w:rtl/>
        </w:rPr>
      </w:pPr>
    </w:p>
    <w:p w14:paraId="698244DD" w14:textId="77777777" w:rsidR="00AE07AE" w:rsidRDefault="00AE07AE" w:rsidP="00AE07AE">
      <w:pPr>
        <w:spacing w:line="360" w:lineRule="auto"/>
        <w:ind w:firstLine="360"/>
        <w:contextualSpacing/>
        <w:jc w:val="both"/>
        <w:rPr>
          <w:b/>
          <w:bCs/>
          <w:u w:val="single"/>
          <w:rtl/>
        </w:rPr>
      </w:pPr>
      <w:r>
        <w:rPr>
          <w:rFonts w:hint="cs"/>
          <w:b/>
          <w:bCs/>
          <w:u w:val="single"/>
          <w:rtl/>
        </w:rPr>
        <w:t>דיון והכרעה</w:t>
      </w:r>
    </w:p>
    <w:p w14:paraId="4598CF6A" w14:textId="77777777" w:rsidR="00AE07AE" w:rsidRDefault="00AE07AE" w:rsidP="00AE07AE">
      <w:pPr>
        <w:spacing w:line="360" w:lineRule="auto"/>
        <w:ind w:left="720"/>
        <w:contextualSpacing/>
        <w:jc w:val="both"/>
      </w:pPr>
    </w:p>
    <w:p w14:paraId="1259FC63" w14:textId="77777777" w:rsidR="00AE07AE" w:rsidRPr="00BD67C1" w:rsidRDefault="00AE07AE" w:rsidP="00AE07AE">
      <w:pPr>
        <w:pStyle w:val="ListParagraph"/>
        <w:numPr>
          <w:ilvl w:val="0"/>
          <w:numId w:val="2"/>
        </w:numPr>
        <w:spacing w:line="360" w:lineRule="auto"/>
        <w:jc w:val="both"/>
        <w:rPr>
          <w:rFonts w:ascii="David" w:eastAsia="Calibri" w:hAnsi="David" w:cs="David"/>
          <w:rtl/>
        </w:rPr>
      </w:pPr>
      <w:r w:rsidRPr="00BD67C1">
        <w:rPr>
          <w:rFonts w:ascii="David" w:eastAsia="Calibri" w:hAnsi="David" w:cs="David"/>
          <w:rtl/>
        </w:rPr>
        <w:t>כידוע, מאז תיקון 113 ל</w:t>
      </w:r>
      <w:hyperlink r:id="rId25" w:history="1">
        <w:r w:rsidR="00E31F7B" w:rsidRPr="00E31F7B">
          <w:rPr>
            <w:rStyle w:val="Hyperlink"/>
            <w:rFonts w:ascii="David" w:eastAsia="Calibri" w:hAnsi="David" w:cs="David"/>
            <w:rtl/>
          </w:rPr>
          <w:t>חוק העונשין</w:t>
        </w:r>
      </w:hyperlink>
      <w:r w:rsidRPr="00BD67C1">
        <w:rPr>
          <w:rFonts w:ascii="David" w:eastAsia="Calibri" w:hAnsi="David" w:cs="David"/>
          <w:rtl/>
        </w:rPr>
        <w:t xml:space="preserve"> גזר הדין ניתן במסגרת הליך תלת שלבי. בשלב הראשון יש לקבוע אם כתב האישום מתאר אירוע אחד או מספר אירועים. לאחר מ</w:t>
      </w:r>
      <w:r>
        <w:rPr>
          <w:rFonts w:ascii="David" w:eastAsia="Calibri" w:hAnsi="David" w:cs="David"/>
          <w:rtl/>
        </w:rPr>
        <w:t>כן יש לקבוע את מתחם הענישה ההול</w:t>
      </w:r>
      <w:r>
        <w:rPr>
          <w:rFonts w:ascii="David" w:eastAsia="Calibri" w:hAnsi="David" w:cs="David" w:hint="cs"/>
          <w:rtl/>
        </w:rPr>
        <w:t>ם</w:t>
      </w:r>
      <w:r w:rsidRPr="00BD67C1">
        <w:rPr>
          <w:rFonts w:ascii="David" w:eastAsia="Calibri" w:hAnsi="David" w:cs="David"/>
          <w:rtl/>
        </w:rPr>
        <w:t xml:space="preserve"> את האירוע ובסופו של תהליך, יש להחליט אם נכון לחרוג מהמתחם שנקבע, שאחרת ייגזר העונש בגדרי המתחם.</w:t>
      </w:r>
      <w:r>
        <w:rPr>
          <w:rFonts w:ascii="David" w:eastAsia="Calibri" w:hAnsi="David" w:cs="David" w:hint="cs"/>
          <w:rtl/>
        </w:rPr>
        <w:t xml:space="preserve"> בנסיבות עניינו ברי שמדובר במתחם ענישה אחד הכולל את שתי העבירות בהן הורשע הנאשם. </w:t>
      </w:r>
    </w:p>
    <w:p w14:paraId="21342481" w14:textId="77777777" w:rsidR="00AE07AE" w:rsidRDefault="00AE07AE" w:rsidP="00AE07AE">
      <w:pPr>
        <w:spacing w:line="360" w:lineRule="auto"/>
        <w:ind w:left="720"/>
        <w:jc w:val="both"/>
        <w:rPr>
          <w:rFonts w:ascii="David" w:eastAsia="Calibri" w:hAnsi="David"/>
        </w:rPr>
      </w:pPr>
    </w:p>
    <w:p w14:paraId="686927BA" w14:textId="77777777" w:rsidR="00AE07AE" w:rsidRPr="003F04A3" w:rsidRDefault="00AE07AE" w:rsidP="00AE07AE">
      <w:pPr>
        <w:pStyle w:val="ListParagraph"/>
        <w:numPr>
          <w:ilvl w:val="0"/>
          <w:numId w:val="2"/>
        </w:numPr>
        <w:spacing w:line="360" w:lineRule="auto"/>
        <w:jc w:val="both"/>
        <w:rPr>
          <w:rFonts w:cs="David"/>
          <w:rtl/>
        </w:rPr>
      </w:pPr>
      <w:r w:rsidRPr="003F04A3">
        <w:rPr>
          <w:rFonts w:cs="David" w:hint="cs"/>
          <w:b/>
          <w:bCs/>
          <w:rtl/>
        </w:rPr>
        <w:t>הערכים המוגנים בבסיס העבירה</w:t>
      </w:r>
      <w:r w:rsidRPr="003F04A3">
        <w:rPr>
          <w:rFonts w:cs="David" w:hint="cs"/>
          <w:rtl/>
        </w:rPr>
        <w:t xml:space="preserve">: </w:t>
      </w:r>
      <w:r w:rsidRPr="003F04A3">
        <w:rPr>
          <w:rFonts w:cs="David"/>
          <w:rtl/>
        </w:rPr>
        <w:t>נגע הסמים מכלה כל חלקה טובה בחברה. על נזקיו הבריאותיים, החברתיים ו</w:t>
      </w:r>
      <w:r>
        <w:rPr>
          <w:rFonts w:cs="David" w:hint="cs"/>
          <w:rtl/>
        </w:rPr>
        <w:t>ה</w:t>
      </w:r>
      <w:r w:rsidRPr="003F04A3">
        <w:rPr>
          <w:rFonts w:cs="David"/>
          <w:rtl/>
        </w:rPr>
        <w:t>כלכליים, אין צורך להכביר מילים (</w:t>
      </w:r>
      <w:hyperlink r:id="rId26" w:history="1">
        <w:r w:rsidR="00E31F7B" w:rsidRPr="00E31F7B">
          <w:rPr>
            <w:rStyle w:val="Hyperlink"/>
            <w:rFonts w:cs="David"/>
            <w:rtl/>
          </w:rPr>
          <w:t>ע"פ 11220/03</w:t>
        </w:r>
      </w:hyperlink>
      <w:r w:rsidRPr="003F04A3">
        <w:rPr>
          <w:rFonts w:cs="David"/>
          <w:rtl/>
        </w:rPr>
        <w:t xml:space="preserve"> </w:t>
      </w:r>
      <w:r w:rsidRPr="003F04A3">
        <w:rPr>
          <w:rFonts w:cs="David"/>
          <w:b/>
          <w:bCs/>
          <w:rtl/>
        </w:rPr>
        <w:t>פלוני נ' מדינת ישראל</w:t>
      </w:r>
      <w:r w:rsidRPr="003F04A3">
        <w:rPr>
          <w:rFonts w:cs="David"/>
          <w:rtl/>
        </w:rPr>
        <w:t xml:space="preserve"> (6.7.05); </w:t>
      </w:r>
      <w:hyperlink r:id="rId27" w:history="1">
        <w:r w:rsidR="00E31F7B" w:rsidRPr="00E31F7B">
          <w:rPr>
            <w:rStyle w:val="Hyperlink"/>
            <w:rFonts w:cs="David"/>
            <w:rtl/>
          </w:rPr>
          <w:t>ע"פ 4998/95 קרדוסו נ' מדינת ישראל,  פ"ד נא</w:t>
        </w:r>
      </w:hyperlink>
      <w:r w:rsidRPr="003F04A3">
        <w:rPr>
          <w:rFonts w:cs="David"/>
          <w:rtl/>
        </w:rPr>
        <w:t xml:space="preserve">(3), 769)). </w:t>
      </w:r>
      <w:r>
        <w:rPr>
          <w:rFonts w:cs="David" w:hint="cs"/>
          <w:rtl/>
        </w:rPr>
        <w:t>אזכיר רק ש</w:t>
      </w:r>
      <w:r w:rsidRPr="003F04A3">
        <w:rPr>
          <w:rFonts w:cs="David"/>
          <w:rtl/>
        </w:rPr>
        <w:t xml:space="preserve">הצורך בסם, מוליד מספר נזקי משנה ובהם נזקים לגופו של המשתמש בסם, ובעקיפין גם לשלום הציבור, בשל כך שלרוב מכורי הסם מבצעים עבירות רכוש על מנת לממנו. </w:t>
      </w:r>
      <w:r>
        <w:rPr>
          <w:rFonts w:cs="David" w:hint="cs"/>
          <w:rtl/>
        </w:rPr>
        <w:t xml:space="preserve">מעגל הקסמים: סמים </w:t>
      </w:r>
      <w:r>
        <w:rPr>
          <w:rFonts w:cs="David"/>
          <w:rtl/>
        </w:rPr>
        <w:t>–</w:t>
      </w:r>
      <w:r>
        <w:rPr>
          <w:rFonts w:cs="David" w:hint="cs"/>
          <w:rtl/>
        </w:rPr>
        <w:t xml:space="preserve"> עבירות רכוש </w:t>
      </w:r>
      <w:r>
        <w:rPr>
          <w:rFonts w:cs="David"/>
          <w:rtl/>
        </w:rPr>
        <w:t>–</w:t>
      </w:r>
      <w:r>
        <w:rPr>
          <w:rFonts w:cs="David" w:hint="cs"/>
          <w:rtl/>
        </w:rPr>
        <w:t xml:space="preserve"> סמים, מוכר לכל העוסקים בתחום ואין צורך להרחיב בנושא.</w:t>
      </w:r>
      <w:r w:rsidRPr="003F04A3">
        <w:rPr>
          <w:rFonts w:cs="David"/>
          <w:rtl/>
        </w:rPr>
        <w:t xml:space="preserve"> </w:t>
      </w:r>
    </w:p>
    <w:p w14:paraId="2525F39F" w14:textId="77777777" w:rsidR="00AE07AE" w:rsidRDefault="00AE07AE" w:rsidP="00AE07AE">
      <w:pPr>
        <w:pStyle w:val="ListParagraph"/>
        <w:spacing w:line="360" w:lineRule="auto"/>
        <w:rPr>
          <w:rFonts w:cs="David"/>
          <w:b/>
          <w:bCs/>
        </w:rPr>
      </w:pPr>
    </w:p>
    <w:p w14:paraId="3BFFE790" w14:textId="77777777" w:rsidR="00AE07AE" w:rsidRDefault="00AE07AE" w:rsidP="00AE07AE">
      <w:pPr>
        <w:pStyle w:val="ListParagraph"/>
        <w:numPr>
          <w:ilvl w:val="0"/>
          <w:numId w:val="2"/>
        </w:numPr>
        <w:spacing w:line="360" w:lineRule="auto"/>
        <w:jc w:val="both"/>
        <w:rPr>
          <w:rFonts w:cs="David"/>
          <w:b/>
          <w:bCs/>
        </w:rPr>
      </w:pPr>
      <w:r>
        <w:rPr>
          <w:rFonts w:cs="David" w:hint="cs"/>
          <w:b/>
          <w:bCs/>
          <w:rtl/>
        </w:rPr>
        <w:t xml:space="preserve">נסיבות הקשורות ביצוע העבירה: </w:t>
      </w:r>
    </w:p>
    <w:p w14:paraId="6363601E" w14:textId="77777777" w:rsidR="00AE07AE" w:rsidRDefault="00AE07AE" w:rsidP="00AE07AE">
      <w:pPr>
        <w:pStyle w:val="ListParagraph"/>
        <w:spacing w:line="360" w:lineRule="auto"/>
        <w:jc w:val="both"/>
        <w:rPr>
          <w:rFonts w:cs="David"/>
          <w:b/>
          <w:bCs/>
        </w:rPr>
      </w:pPr>
    </w:p>
    <w:p w14:paraId="766B52CF" w14:textId="77777777" w:rsidR="00AE07AE" w:rsidRPr="005F6C4B" w:rsidRDefault="00AE07AE" w:rsidP="00AE07AE">
      <w:pPr>
        <w:pStyle w:val="ListParagraph"/>
        <w:numPr>
          <w:ilvl w:val="0"/>
          <w:numId w:val="3"/>
        </w:numPr>
        <w:spacing w:line="360" w:lineRule="auto"/>
        <w:jc w:val="both"/>
        <w:rPr>
          <w:rFonts w:cs="David"/>
        </w:rPr>
      </w:pPr>
      <w:r w:rsidRPr="00A502AA">
        <w:rPr>
          <w:rFonts w:cs="David" w:hint="cs"/>
          <w:u w:val="single"/>
          <w:rtl/>
        </w:rPr>
        <w:t>התכנון שקדם לביצוע העבירה</w:t>
      </w:r>
      <w:r>
        <w:rPr>
          <w:rFonts w:cs="David" w:hint="cs"/>
          <w:rtl/>
        </w:rPr>
        <w:t xml:space="preserve"> </w:t>
      </w:r>
      <w:r>
        <w:rPr>
          <w:rFonts w:cs="David"/>
          <w:rtl/>
        </w:rPr>
        <w:t>–</w:t>
      </w:r>
      <w:r>
        <w:rPr>
          <w:rFonts w:cs="David" w:hint="cs"/>
          <w:rtl/>
        </w:rPr>
        <w:t xml:space="preserve"> </w:t>
      </w:r>
      <w:r w:rsidRPr="00BF3082">
        <w:rPr>
          <w:rFonts w:cs="David"/>
          <w:rtl/>
        </w:rPr>
        <w:t>נסיבות ביצוע העבירה מלמדות בבירור על תכנון מוקדם, שהתבטא</w:t>
      </w:r>
      <w:r w:rsidRPr="00BF3082">
        <w:rPr>
          <w:rFonts w:cs="David"/>
          <w:b/>
          <w:bCs/>
          <w:rtl/>
        </w:rPr>
        <w:t xml:space="preserve"> </w:t>
      </w:r>
      <w:r w:rsidRPr="00BF3082">
        <w:rPr>
          <w:rFonts w:cs="David"/>
          <w:rtl/>
        </w:rPr>
        <w:t xml:space="preserve">בהצטיידות בכלים מתאימים לצורך גידול השתילים. </w:t>
      </w:r>
      <w:r>
        <w:rPr>
          <w:rFonts w:cs="David" w:hint="cs"/>
          <w:rtl/>
        </w:rPr>
        <w:t xml:space="preserve">מדובר </w:t>
      </w:r>
      <w:r w:rsidRPr="005F6C4B">
        <w:rPr>
          <w:rFonts w:cs="David" w:hint="cs"/>
          <w:rtl/>
        </w:rPr>
        <w:t>בשיטת גידול משוכללת</w:t>
      </w:r>
      <w:r>
        <w:rPr>
          <w:rFonts w:cs="David" w:hint="cs"/>
          <w:rtl/>
        </w:rPr>
        <w:t xml:space="preserve"> יחסית שיש בה להעיד על השקעה מחשבתית וכספית לא מבוטלת. </w:t>
      </w:r>
    </w:p>
    <w:p w14:paraId="0E54CF54" w14:textId="77777777" w:rsidR="00AE07AE" w:rsidRPr="00A502AA" w:rsidRDefault="00AE07AE" w:rsidP="00AE07AE">
      <w:pPr>
        <w:pStyle w:val="ListParagraph"/>
        <w:spacing w:line="360" w:lineRule="auto"/>
        <w:ind w:left="1440"/>
        <w:jc w:val="both"/>
        <w:rPr>
          <w:rFonts w:cs="David"/>
          <w:b/>
          <w:bCs/>
        </w:rPr>
      </w:pPr>
    </w:p>
    <w:p w14:paraId="66A2945E" w14:textId="77777777" w:rsidR="00AE07AE" w:rsidRDefault="00AE07AE" w:rsidP="00AE07AE">
      <w:pPr>
        <w:pStyle w:val="ListParagraph"/>
        <w:numPr>
          <w:ilvl w:val="0"/>
          <w:numId w:val="3"/>
        </w:numPr>
        <w:spacing w:line="360" w:lineRule="auto"/>
        <w:jc w:val="both"/>
        <w:rPr>
          <w:rFonts w:cs="David"/>
        </w:rPr>
      </w:pPr>
      <w:r w:rsidRPr="005F6C4B">
        <w:rPr>
          <w:rFonts w:cs="David" w:hint="cs"/>
          <w:u w:val="single"/>
          <w:rtl/>
        </w:rPr>
        <w:t>הנזק שנגרם וכן שהיה צפוי להיגרם מביצוע העבירה</w:t>
      </w:r>
      <w:r>
        <w:rPr>
          <w:rFonts w:cs="David" w:hint="cs"/>
          <w:rtl/>
        </w:rPr>
        <w:t xml:space="preserve"> </w:t>
      </w:r>
      <w:r>
        <w:rPr>
          <w:rFonts w:cs="David"/>
          <w:rtl/>
        </w:rPr>
        <w:t>–</w:t>
      </w:r>
      <w:r>
        <w:rPr>
          <w:rFonts w:cs="David" w:hint="cs"/>
          <w:rtl/>
        </w:rPr>
        <w:t xml:space="preserve">  כמות הסמים שגידל הנאשם משמעותית ביותר. מדובר בכ-100 שתילים אשר שקלו במועד התפיסה מעל 24 ק"ג. </w:t>
      </w:r>
      <w:r w:rsidRPr="005F6C4B">
        <w:rPr>
          <w:rFonts w:cs="David" w:hint="cs"/>
          <w:rtl/>
        </w:rPr>
        <w:t xml:space="preserve">מדובר בכמות משמעותית וממנה יש להסיק את הנזק שהיה צפוי באם היה עולה בידי הנאשם להחדיר ל"שוק" את הסמים שגידל. </w:t>
      </w:r>
    </w:p>
    <w:p w14:paraId="0622C599" w14:textId="77777777" w:rsidR="00AE07AE" w:rsidRDefault="00AE07AE" w:rsidP="00AE07AE">
      <w:pPr>
        <w:pStyle w:val="ListParagraph"/>
        <w:spacing w:line="360" w:lineRule="auto"/>
        <w:ind w:left="1440"/>
        <w:jc w:val="both"/>
        <w:rPr>
          <w:rFonts w:cs="David"/>
        </w:rPr>
      </w:pPr>
    </w:p>
    <w:p w14:paraId="7F034430" w14:textId="77777777" w:rsidR="00AE07AE" w:rsidRDefault="00AE07AE" w:rsidP="00156E72">
      <w:pPr>
        <w:pStyle w:val="ListParagraph"/>
        <w:numPr>
          <w:ilvl w:val="0"/>
          <w:numId w:val="3"/>
        </w:numPr>
        <w:spacing w:line="360" w:lineRule="auto"/>
        <w:jc w:val="both"/>
        <w:rPr>
          <w:rFonts w:cs="David"/>
        </w:rPr>
      </w:pPr>
      <w:r w:rsidRPr="005F6C4B">
        <w:rPr>
          <w:rFonts w:cs="David" w:hint="cs"/>
          <w:u w:val="single"/>
          <w:rtl/>
        </w:rPr>
        <w:t>הסיבות שהביאו את הנאשם לביצוע העבירות</w:t>
      </w:r>
      <w:r>
        <w:rPr>
          <w:rFonts w:cs="David" w:hint="cs"/>
          <w:rtl/>
        </w:rPr>
        <w:t xml:space="preserve"> </w:t>
      </w:r>
      <w:r>
        <w:rPr>
          <w:rFonts w:cs="David"/>
          <w:rtl/>
        </w:rPr>
        <w:t>–</w:t>
      </w:r>
      <w:r>
        <w:rPr>
          <w:rFonts w:cs="David" w:hint="cs"/>
          <w:rtl/>
        </w:rPr>
        <w:t xml:space="preserve"> בהכרעת הדין דחיתי את טענת הנאשם לפיה גידל את הסמים לשימושו האישי בלבד. מסקנה זו נלמדה לא רק מהיקף הסמים שאינו מתיישב עם שימוש עצמי בלבד, אלא אף מדבריו של הנאשם עצמו בחקירותיו במשטרה. כמו כן ברי לכל כי </w:t>
      </w:r>
      <w:r w:rsidRPr="00DF4CB1">
        <w:rPr>
          <w:rFonts w:cs="Miriam" w:hint="cs"/>
          <w:rtl/>
        </w:rPr>
        <w:t>"מי שמגדל סם בכמויות כאלה חזקה עליו שאיננו מתכוון רק לשימוש עצמי"</w:t>
      </w:r>
      <w:r>
        <w:rPr>
          <w:rFonts w:cs="David" w:hint="cs"/>
          <w:rtl/>
        </w:rPr>
        <w:t xml:space="preserve"> (</w:t>
      </w:r>
      <w:hyperlink r:id="rId28" w:history="1">
        <w:r w:rsidR="00E31F7B" w:rsidRPr="00E31F7B">
          <w:rPr>
            <w:rStyle w:val="Hyperlink"/>
            <w:rFonts w:cs="David" w:hint="eastAsia"/>
            <w:rtl/>
          </w:rPr>
          <w:t>עפ</w:t>
        </w:r>
        <w:r w:rsidR="00E31F7B" w:rsidRPr="00E31F7B">
          <w:rPr>
            <w:rStyle w:val="Hyperlink"/>
            <w:rFonts w:cs="David"/>
            <w:rtl/>
          </w:rPr>
          <w:t>"ג 12819-11-15</w:t>
        </w:r>
      </w:hyperlink>
      <w:r>
        <w:rPr>
          <w:rFonts w:cs="David" w:hint="cs"/>
          <w:rtl/>
        </w:rPr>
        <w:t xml:space="preserve"> </w:t>
      </w:r>
      <w:r w:rsidRPr="00B03E6C">
        <w:rPr>
          <w:rFonts w:cs="David" w:hint="cs"/>
          <w:b/>
          <w:bCs/>
          <w:rtl/>
        </w:rPr>
        <w:t>מדינת ישראל נ' בן צבי</w:t>
      </w:r>
      <w:r>
        <w:rPr>
          <w:rFonts w:cs="David" w:hint="cs"/>
          <w:rtl/>
        </w:rPr>
        <w:t xml:space="preserve"> (16.12.15)). דברים אלו נאמרו ביחס למי שגידל 9 שתילים בלבד וענייננו הוא בכ-100 שתילים כך שהדברים יפים מכוח קל וחומר. </w:t>
      </w:r>
      <w:r w:rsidRPr="00790DAB">
        <w:rPr>
          <w:rFonts w:cs="David" w:hint="cs"/>
          <w:rtl/>
        </w:rPr>
        <w:t xml:space="preserve">לאפשרות הסקת מסקנות </w:t>
      </w:r>
      <w:r>
        <w:rPr>
          <w:rFonts w:cs="David" w:hint="cs"/>
          <w:rtl/>
        </w:rPr>
        <w:t xml:space="preserve">בדבר כוונת העבריין </w:t>
      </w:r>
      <w:r w:rsidRPr="00790DAB">
        <w:rPr>
          <w:rFonts w:cs="David" w:hint="cs"/>
          <w:rtl/>
        </w:rPr>
        <w:t xml:space="preserve">מנסיבות החזקת הסם והכמות, ראו למשל: </w:t>
      </w:r>
      <w:hyperlink r:id="rId29" w:history="1">
        <w:r w:rsidR="00E31F7B" w:rsidRPr="00E31F7B">
          <w:rPr>
            <w:rStyle w:val="Hyperlink"/>
            <w:rFonts w:cs="David" w:hint="eastAsia"/>
            <w:rtl/>
          </w:rPr>
          <w:t>דנ</w:t>
        </w:r>
        <w:r w:rsidR="00E31F7B" w:rsidRPr="00E31F7B">
          <w:rPr>
            <w:rStyle w:val="Hyperlink"/>
            <w:rFonts w:cs="David"/>
            <w:rtl/>
          </w:rPr>
          <w:t>"פ 10402/07</w:t>
        </w:r>
      </w:hyperlink>
      <w:r w:rsidRPr="00790DAB">
        <w:rPr>
          <w:rFonts w:cs="David" w:hint="cs"/>
          <w:rtl/>
        </w:rPr>
        <w:t xml:space="preserve"> </w:t>
      </w:r>
      <w:r w:rsidRPr="00790DAB">
        <w:rPr>
          <w:rFonts w:cs="David" w:hint="cs"/>
          <w:b/>
          <w:bCs/>
          <w:rtl/>
        </w:rPr>
        <w:t>מטיס נ' מדינת ישראל</w:t>
      </w:r>
      <w:r w:rsidRPr="00790DAB">
        <w:rPr>
          <w:rFonts w:cs="David" w:hint="cs"/>
          <w:rtl/>
        </w:rPr>
        <w:t xml:space="preserve"> (29.1.08); (</w:t>
      </w:r>
      <w:hyperlink r:id="rId30" w:history="1">
        <w:r w:rsidR="00156E72" w:rsidRPr="00156E72">
          <w:rPr>
            <w:rFonts w:cs="David"/>
            <w:color w:val="0000FF"/>
            <w:u w:val="single"/>
            <w:rtl/>
          </w:rPr>
          <w:t xml:space="preserve">ת"פ (חי) 472/02 </w:t>
        </w:r>
      </w:hyperlink>
      <w:r w:rsidR="00156E72" w:rsidRPr="00156E72">
        <w:rPr>
          <w:rFonts w:cs="David" w:hint="cs"/>
          <w:rtl/>
        </w:rPr>
        <w:t xml:space="preserve"> </w:t>
      </w:r>
      <w:r w:rsidRPr="00790DAB">
        <w:rPr>
          <w:rFonts w:cs="David" w:hint="cs"/>
          <w:b/>
          <w:bCs/>
          <w:rtl/>
        </w:rPr>
        <w:t>מדינת ישראל נ' עבד אל רחמן תאפל</w:t>
      </w:r>
      <w:r w:rsidRPr="00790DAB">
        <w:rPr>
          <w:rFonts w:cs="David" w:hint="cs"/>
          <w:rtl/>
        </w:rPr>
        <w:t xml:space="preserve"> (16.5.05); השופט עמית).</w:t>
      </w:r>
      <w:r>
        <w:rPr>
          <w:rFonts w:cs="David" w:hint="cs"/>
          <w:rtl/>
        </w:rPr>
        <w:t xml:space="preserve"> לאור כך, ברי שמדובר, בין היתר, בעבירה כלכלית ובכוונה להפקת רווח כספי. אציין כי לאור מחירו הגבוה של סם הקנביס בתקופה זו העומד על כ-100 ₪ לכל גרם לצרכן הקצה (והדברים ידועים היטב לכל העוסקים במלאכה לאור כתבי האישום הרבים המוגשים בנושא) ברי לכל שהרווח לו מקווה אדם המגדל בביתו סמים במשקלים כה גבוהים, הוא רב. </w:t>
      </w:r>
    </w:p>
    <w:p w14:paraId="3B5BDBD3" w14:textId="77777777" w:rsidR="00AE07AE" w:rsidRPr="001174DB" w:rsidRDefault="00AE07AE" w:rsidP="00AE07AE">
      <w:pPr>
        <w:pStyle w:val="ListParagraph"/>
        <w:spacing w:line="360" w:lineRule="auto"/>
        <w:ind w:left="1440"/>
        <w:jc w:val="both"/>
        <w:rPr>
          <w:rFonts w:cs="David"/>
        </w:rPr>
      </w:pPr>
    </w:p>
    <w:p w14:paraId="4E0D0731" w14:textId="77777777" w:rsidR="00AE07AE" w:rsidRPr="00EF4BD6" w:rsidRDefault="00AE07AE" w:rsidP="00AE07AE">
      <w:pPr>
        <w:pStyle w:val="ListParagraph"/>
        <w:numPr>
          <w:ilvl w:val="0"/>
          <w:numId w:val="3"/>
        </w:numPr>
        <w:spacing w:line="360" w:lineRule="auto"/>
        <w:jc w:val="both"/>
        <w:rPr>
          <w:rFonts w:cs="David"/>
          <w:rtl/>
        </w:rPr>
      </w:pPr>
      <w:r w:rsidRPr="00EF4BD6">
        <w:rPr>
          <w:rFonts w:cs="David" w:hint="cs"/>
          <w:rtl/>
        </w:rPr>
        <w:t xml:space="preserve">ודוק: לא התעלמתי מכך </w:t>
      </w:r>
      <w:r>
        <w:rPr>
          <w:rFonts w:cs="David" w:hint="cs"/>
          <w:rtl/>
        </w:rPr>
        <w:t>שבכתב האישום לא נטען שהנאשם גידל את הסמים על מנת להפיק רווח. כמו גם לא התבקשה הכרזתו כסוחר סמים (</w:t>
      </w:r>
      <w:hyperlink r:id="rId31" w:history="1">
        <w:r w:rsidR="00AB70FF" w:rsidRPr="00AB70FF">
          <w:rPr>
            <w:rFonts w:cs="David"/>
            <w:color w:val="0000FF"/>
            <w:u w:val="single"/>
            <w:rtl/>
          </w:rPr>
          <w:t>סעיף 36א(ב)</w:t>
        </w:r>
      </w:hyperlink>
      <w:r>
        <w:rPr>
          <w:rFonts w:cs="David" w:hint="cs"/>
          <w:rtl/>
        </w:rPr>
        <w:t xml:space="preserve"> לפקודת הסמים). עם זאת, אין בכך למנוע מבית המשפט לקבוע כנסיבה מחמירה שאכן זו הסיבה בגינה בוצעה העבירה. כפי שציינתי לעיל, במקרה זה נשמעו ראיות הצדדים וקבעתי בהכרעת הדין כי הנאשם לא גידל את הסמים לשימוש עצמי, כטענתו, אלא כוונתו הייתה למכור את התוצרת (למצער חלקה). לאור כך מדובר בנסיבה שנקבעה במסגרת שלב בירור האשמה כנדרש </w:t>
      </w:r>
      <w:hyperlink r:id="rId32" w:history="1">
        <w:r w:rsidR="00AB70FF" w:rsidRPr="00AB70FF">
          <w:rPr>
            <w:rFonts w:cs="David"/>
            <w:color w:val="0000FF"/>
            <w:u w:val="single"/>
            <w:rtl/>
          </w:rPr>
          <w:t>בסעיף 40י'</w:t>
        </w:r>
      </w:hyperlink>
      <w:r>
        <w:rPr>
          <w:rFonts w:cs="David" w:hint="cs"/>
          <w:rtl/>
        </w:rPr>
        <w:t xml:space="preserve"> ל</w:t>
      </w:r>
      <w:hyperlink r:id="rId33" w:history="1">
        <w:r w:rsidR="00E31F7B" w:rsidRPr="00E31F7B">
          <w:rPr>
            <w:rStyle w:val="Hyperlink"/>
            <w:rFonts w:cs="David" w:hint="eastAsia"/>
            <w:rtl/>
          </w:rPr>
          <w:t>חוק</w:t>
        </w:r>
        <w:r w:rsidR="00E31F7B" w:rsidRPr="00E31F7B">
          <w:rPr>
            <w:rStyle w:val="Hyperlink"/>
            <w:rFonts w:cs="David"/>
            <w:rtl/>
          </w:rPr>
          <w:t xml:space="preserve"> העונשין</w:t>
        </w:r>
      </w:hyperlink>
      <w:r>
        <w:rPr>
          <w:rFonts w:cs="David" w:hint="cs"/>
          <w:rtl/>
        </w:rPr>
        <w:t xml:space="preserve">. יתרה מזו, נסיבה מעין זו אינה אלא </w:t>
      </w:r>
      <w:r w:rsidRPr="00EF4BD6">
        <w:rPr>
          <w:rFonts w:cs="David" w:hint="cs"/>
          <w:rtl/>
        </w:rPr>
        <w:t xml:space="preserve">הסקת מסקנה הגיונית מהעובדות </w:t>
      </w:r>
      <w:r>
        <w:rPr>
          <w:rFonts w:cs="David" w:hint="cs"/>
          <w:rtl/>
        </w:rPr>
        <w:t xml:space="preserve">הגולמיות </w:t>
      </w:r>
      <w:r w:rsidRPr="00EF4BD6">
        <w:rPr>
          <w:rFonts w:cs="David" w:hint="cs"/>
          <w:rtl/>
        </w:rPr>
        <w:t xml:space="preserve">וכידוע </w:t>
      </w:r>
      <w:r w:rsidRPr="00A72990">
        <w:rPr>
          <w:rFonts w:cs="Miriam" w:hint="cs"/>
          <w:rtl/>
        </w:rPr>
        <w:t>"</w:t>
      </w:r>
      <w:r w:rsidRPr="00282007">
        <w:rPr>
          <w:rFonts w:cs="Miriam" w:hint="cs"/>
          <w:rtl/>
        </w:rPr>
        <w:t>מתן משמעות לעובדות באופן זה אין משמעו יצירת עובדות חדשות או מתן משמעות מחודשת לעובדות – אלא מדובר בתהליך הלוגי של גזירת ממצאים והסקת מסקנות מהעובדות שהוכחו או שהוסכמו, כפי שנוהגים לעשות בתי המשפט חדשות לבקרים</w:t>
      </w:r>
      <w:r w:rsidRPr="00A72990">
        <w:rPr>
          <w:rFonts w:cs="Miriam" w:hint="cs"/>
          <w:rtl/>
        </w:rPr>
        <w:t>"</w:t>
      </w:r>
      <w:r w:rsidRPr="00EF4BD6">
        <w:rPr>
          <w:rFonts w:cs="David" w:hint="cs"/>
          <w:rtl/>
        </w:rPr>
        <w:t xml:space="preserve"> (</w:t>
      </w:r>
      <w:hyperlink r:id="rId34" w:history="1">
        <w:r w:rsidR="00E31F7B" w:rsidRPr="00E31F7B">
          <w:rPr>
            <w:rStyle w:val="Hyperlink"/>
            <w:rFonts w:cs="David" w:hint="eastAsia"/>
            <w:rtl/>
          </w:rPr>
          <w:t>דנ</w:t>
        </w:r>
        <w:r w:rsidR="00E31F7B" w:rsidRPr="00E31F7B">
          <w:rPr>
            <w:rStyle w:val="Hyperlink"/>
            <w:rFonts w:cs="David"/>
            <w:rtl/>
          </w:rPr>
          <w:t>"פ 623/16</w:t>
        </w:r>
      </w:hyperlink>
      <w:r w:rsidRPr="00EF4BD6">
        <w:rPr>
          <w:rFonts w:cs="David" w:hint="cs"/>
          <w:rtl/>
        </w:rPr>
        <w:t xml:space="preserve"> </w:t>
      </w:r>
      <w:r w:rsidRPr="00282007">
        <w:rPr>
          <w:rFonts w:cs="David" w:hint="cs"/>
          <w:b/>
          <w:bCs/>
          <w:rtl/>
        </w:rPr>
        <w:t>יאשיהו יוסף פינטו נ' מדינת ישראל</w:t>
      </w:r>
      <w:r w:rsidRPr="00EF4BD6">
        <w:rPr>
          <w:rFonts w:cs="David" w:hint="cs"/>
          <w:rtl/>
        </w:rPr>
        <w:t xml:space="preserve"> (8.2.16)). דוגמא ברורה לכך היא בהסקת מסקנה בדבר תכנון מוקדם, אשר לרוב אינה נזכרת במפורש בעובדות כתב האישום, אלא מוסקת באופן תדיר מהנסיבות. </w:t>
      </w:r>
      <w:r>
        <w:rPr>
          <w:rFonts w:cs="David" w:hint="cs"/>
          <w:rtl/>
        </w:rPr>
        <w:t xml:space="preserve">ראו בהקשר זה דברים שציין בית המשפט המחוזי בעניין דומה: </w:t>
      </w:r>
    </w:p>
    <w:p w14:paraId="64D9BEF6" w14:textId="77777777" w:rsidR="00AE07AE" w:rsidRPr="00974015" w:rsidRDefault="00AE07AE" w:rsidP="00AE07AE">
      <w:pPr>
        <w:spacing w:line="360" w:lineRule="auto"/>
        <w:contextualSpacing/>
        <w:jc w:val="both"/>
        <w:rPr>
          <w:rFonts w:ascii="David" w:hAnsi="David" w:cs="Miriam"/>
        </w:rPr>
      </w:pPr>
    </w:p>
    <w:p w14:paraId="107FCD3E" w14:textId="77777777" w:rsidR="00AE07AE" w:rsidRPr="005717C4" w:rsidRDefault="00AE07AE" w:rsidP="00AE07AE">
      <w:pPr>
        <w:pStyle w:val="ListParagraph"/>
        <w:tabs>
          <w:tab w:val="left" w:pos="7654"/>
        </w:tabs>
        <w:spacing w:line="360" w:lineRule="auto"/>
        <w:ind w:left="2160" w:right="851"/>
        <w:jc w:val="both"/>
        <w:rPr>
          <w:rFonts w:cs="David"/>
          <w:rtl/>
        </w:rPr>
      </w:pPr>
      <w:r w:rsidRPr="00974015">
        <w:rPr>
          <w:rFonts w:ascii="David" w:hAnsi="David" w:cs="Miriam"/>
          <w:rtl/>
        </w:rPr>
        <w:t>"</w:t>
      </w:r>
      <w:r w:rsidRPr="00974015">
        <w:rPr>
          <w:rFonts w:ascii="David" w:hAnsi="David" w:cs="Miriam" w:hint="eastAsia"/>
          <w:rtl/>
        </w:rPr>
        <w:t>התמונה</w:t>
      </w:r>
      <w:r w:rsidRPr="00974015">
        <w:rPr>
          <w:rFonts w:ascii="David" w:hAnsi="David" w:cs="Miriam"/>
          <w:rtl/>
        </w:rPr>
        <w:t xml:space="preserve"> </w:t>
      </w:r>
      <w:r w:rsidRPr="00974015">
        <w:rPr>
          <w:rFonts w:ascii="David" w:hAnsi="David" w:cs="Miriam" w:hint="eastAsia"/>
          <w:rtl/>
        </w:rPr>
        <w:t>המצטיירת</w:t>
      </w:r>
      <w:r w:rsidRPr="00974015">
        <w:rPr>
          <w:rFonts w:ascii="David" w:hAnsi="David" w:cs="Miriam"/>
          <w:rtl/>
        </w:rPr>
        <w:t xml:space="preserve"> </w:t>
      </w:r>
      <w:r w:rsidRPr="00974015">
        <w:rPr>
          <w:rFonts w:ascii="David" w:hAnsi="David" w:cs="Miriam" w:hint="eastAsia"/>
          <w:rtl/>
        </w:rPr>
        <w:t>היא</w:t>
      </w:r>
      <w:r w:rsidRPr="00974015">
        <w:rPr>
          <w:rFonts w:ascii="David" w:hAnsi="David" w:cs="Miriam"/>
          <w:rtl/>
        </w:rPr>
        <w:t xml:space="preserve"> </w:t>
      </w:r>
      <w:r w:rsidRPr="00974015">
        <w:rPr>
          <w:rFonts w:ascii="David" w:hAnsi="David" w:cs="Miriam" w:hint="eastAsia"/>
          <w:rtl/>
        </w:rPr>
        <w:t>של</w:t>
      </w:r>
      <w:r w:rsidRPr="00974015">
        <w:rPr>
          <w:rFonts w:ascii="David" w:hAnsi="David" w:cs="Miriam"/>
          <w:rtl/>
        </w:rPr>
        <w:t xml:space="preserve"> "</w:t>
      </w:r>
      <w:r w:rsidRPr="00974015">
        <w:rPr>
          <w:rFonts w:ascii="David" w:hAnsi="David" w:cs="Miriam" w:hint="eastAsia"/>
          <w:rtl/>
        </w:rPr>
        <w:t>מיזם</w:t>
      </w:r>
      <w:r w:rsidRPr="00974015">
        <w:rPr>
          <w:rFonts w:ascii="David" w:hAnsi="David" w:cs="Miriam"/>
          <w:rtl/>
        </w:rPr>
        <w:t xml:space="preserve"> </w:t>
      </w:r>
      <w:r w:rsidRPr="00974015">
        <w:rPr>
          <w:rFonts w:ascii="David" w:hAnsi="David" w:cs="Miriam" w:hint="eastAsia"/>
          <w:rtl/>
        </w:rPr>
        <w:t>עסקי</w:t>
      </w:r>
      <w:r w:rsidRPr="00974015">
        <w:rPr>
          <w:rFonts w:ascii="David" w:hAnsi="David" w:cs="Miriam"/>
          <w:rtl/>
        </w:rPr>
        <w:t xml:space="preserve">" </w:t>
      </w:r>
      <w:r w:rsidRPr="00974015">
        <w:rPr>
          <w:rFonts w:ascii="David" w:hAnsi="David" w:cs="Miriam" w:hint="eastAsia"/>
          <w:rtl/>
        </w:rPr>
        <w:t>משוכלל</w:t>
      </w:r>
      <w:r w:rsidRPr="00974015">
        <w:rPr>
          <w:rFonts w:ascii="David" w:hAnsi="David" w:cs="Miriam"/>
          <w:rtl/>
        </w:rPr>
        <w:t xml:space="preserve">, </w:t>
      </w:r>
      <w:r w:rsidRPr="00974015">
        <w:rPr>
          <w:rFonts w:ascii="David" w:hAnsi="David" w:cs="Miriam" w:hint="eastAsia"/>
          <w:rtl/>
        </w:rPr>
        <w:t>מתוכנן</w:t>
      </w:r>
      <w:r w:rsidRPr="00974015">
        <w:rPr>
          <w:rFonts w:ascii="David" w:hAnsi="David" w:cs="Miriam"/>
          <w:rtl/>
        </w:rPr>
        <w:t xml:space="preserve"> </w:t>
      </w:r>
      <w:r w:rsidRPr="00974015">
        <w:rPr>
          <w:rFonts w:ascii="David" w:hAnsi="David" w:cs="Miriam" w:hint="eastAsia"/>
          <w:rtl/>
        </w:rPr>
        <w:t>עד</w:t>
      </w:r>
      <w:r w:rsidRPr="00974015">
        <w:rPr>
          <w:rFonts w:ascii="David" w:hAnsi="David" w:cs="Miriam"/>
          <w:rtl/>
        </w:rPr>
        <w:t xml:space="preserve"> </w:t>
      </w:r>
      <w:r w:rsidRPr="00974015">
        <w:rPr>
          <w:rFonts w:ascii="David" w:hAnsi="David" w:cs="Miriam" w:hint="eastAsia"/>
          <w:rtl/>
        </w:rPr>
        <w:t>לפרט</w:t>
      </w:r>
      <w:r w:rsidRPr="00974015">
        <w:rPr>
          <w:rFonts w:ascii="David" w:hAnsi="David" w:cs="Miriam"/>
          <w:rtl/>
        </w:rPr>
        <w:t xml:space="preserve"> </w:t>
      </w:r>
      <w:r w:rsidRPr="00974015">
        <w:rPr>
          <w:rFonts w:ascii="David" w:hAnsi="David" w:cs="Miriam" w:hint="eastAsia"/>
          <w:rtl/>
        </w:rPr>
        <w:t>האחרון</w:t>
      </w:r>
      <w:r w:rsidRPr="00974015">
        <w:rPr>
          <w:rFonts w:ascii="David" w:hAnsi="David" w:cs="Miriam"/>
          <w:rtl/>
        </w:rPr>
        <w:t xml:space="preserve">, </w:t>
      </w:r>
      <w:r w:rsidRPr="00974015">
        <w:rPr>
          <w:rFonts w:ascii="David" w:hAnsi="David" w:cs="Miriam" w:hint="eastAsia"/>
          <w:rtl/>
        </w:rPr>
        <w:t>תוך</w:t>
      </w:r>
      <w:r w:rsidRPr="00974015">
        <w:rPr>
          <w:rFonts w:ascii="David" w:hAnsi="David" w:cs="Miriam"/>
          <w:rtl/>
        </w:rPr>
        <w:t xml:space="preserve"> </w:t>
      </w:r>
      <w:r w:rsidRPr="00974015">
        <w:rPr>
          <w:rFonts w:ascii="David" w:hAnsi="David" w:cs="Miriam" w:hint="eastAsia"/>
          <w:rtl/>
        </w:rPr>
        <w:t>שהמשיבים</w:t>
      </w:r>
      <w:r w:rsidRPr="00974015">
        <w:rPr>
          <w:rFonts w:ascii="David" w:hAnsi="David" w:cs="Miriam"/>
          <w:rtl/>
        </w:rPr>
        <w:t xml:space="preserve"> </w:t>
      </w:r>
      <w:r w:rsidRPr="00974015">
        <w:rPr>
          <w:rFonts w:ascii="David" w:hAnsi="David" w:cs="Miriam" w:hint="eastAsia"/>
          <w:rtl/>
        </w:rPr>
        <w:t>מוכנים</w:t>
      </w:r>
      <w:r w:rsidRPr="00974015">
        <w:rPr>
          <w:rFonts w:ascii="David" w:hAnsi="David" w:cs="Miriam"/>
          <w:rtl/>
        </w:rPr>
        <w:t xml:space="preserve"> </w:t>
      </w:r>
      <w:r w:rsidRPr="00974015">
        <w:rPr>
          <w:rFonts w:ascii="David" w:hAnsi="David" w:cs="Miriam" w:hint="eastAsia"/>
          <w:rtl/>
        </w:rPr>
        <w:t>להשקיע</w:t>
      </w:r>
      <w:r w:rsidRPr="00974015">
        <w:rPr>
          <w:rFonts w:ascii="David" w:hAnsi="David" w:cs="Miriam"/>
          <w:rtl/>
        </w:rPr>
        <w:t xml:space="preserve"> </w:t>
      </w:r>
      <w:r w:rsidRPr="00974015">
        <w:rPr>
          <w:rFonts w:ascii="David" w:hAnsi="David" w:cs="Miriam" w:hint="eastAsia"/>
          <w:rtl/>
        </w:rPr>
        <w:t>בו</w:t>
      </w:r>
      <w:r w:rsidRPr="00974015">
        <w:rPr>
          <w:rFonts w:ascii="David" w:hAnsi="David" w:cs="Miriam"/>
          <w:rtl/>
        </w:rPr>
        <w:t xml:space="preserve"> </w:t>
      </w:r>
      <w:r w:rsidRPr="00974015">
        <w:rPr>
          <w:rFonts w:ascii="David" w:hAnsi="David" w:cs="Miriam" w:hint="eastAsia"/>
          <w:rtl/>
        </w:rPr>
        <w:t>כסף</w:t>
      </w:r>
      <w:r w:rsidRPr="00974015">
        <w:rPr>
          <w:rFonts w:ascii="David" w:hAnsi="David" w:cs="Miriam"/>
          <w:rtl/>
        </w:rPr>
        <w:t xml:space="preserve"> </w:t>
      </w:r>
      <w:r w:rsidRPr="00974015">
        <w:rPr>
          <w:rFonts w:ascii="David" w:hAnsi="David" w:cs="Miriam" w:hint="eastAsia"/>
          <w:rtl/>
        </w:rPr>
        <w:t>רב</w:t>
      </w:r>
      <w:r w:rsidRPr="00974015">
        <w:rPr>
          <w:rFonts w:ascii="David" w:hAnsi="David" w:cs="Miriam"/>
          <w:rtl/>
        </w:rPr>
        <w:t xml:space="preserve"> </w:t>
      </w:r>
      <w:r w:rsidRPr="00974015">
        <w:rPr>
          <w:rFonts w:ascii="David" w:hAnsi="David" w:cs="Miriam" w:hint="eastAsia"/>
          <w:rtl/>
        </w:rPr>
        <w:t>ומחשבה</w:t>
      </w:r>
      <w:r w:rsidRPr="00974015">
        <w:rPr>
          <w:rFonts w:ascii="David" w:hAnsi="David" w:cs="Miriam"/>
          <w:rtl/>
        </w:rPr>
        <w:t xml:space="preserve"> </w:t>
      </w:r>
      <w:r w:rsidRPr="00974015">
        <w:rPr>
          <w:rFonts w:ascii="David" w:hAnsi="David" w:cs="Miriam" w:hint="eastAsia"/>
          <w:rtl/>
        </w:rPr>
        <w:t>רבה</w:t>
      </w:r>
      <w:r w:rsidRPr="00974015">
        <w:rPr>
          <w:rFonts w:ascii="David" w:hAnsi="David" w:cs="Miriam"/>
          <w:rtl/>
        </w:rPr>
        <w:t xml:space="preserve">. </w:t>
      </w:r>
      <w:r w:rsidRPr="00974015">
        <w:rPr>
          <w:rFonts w:ascii="David" w:hAnsi="David" w:cs="Miriam" w:hint="eastAsia"/>
          <w:rtl/>
        </w:rPr>
        <w:t>אין</w:t>
      </w:r>
      <w:r w:rsidRPr="00974015">
        <w:rPr>
          <w:rFonts w:ascii="David" w:hAnsi="David" w:cs="Miriam"/>
          <w:rtl/>
        </w:rPr>
        <w:t xml:space="preserve"> </w:t>
      </w:r>
      <w:r w:rsidRPr="00974015">
        <w:rPr>
          <w:rFonts w:ascii="David" w:hAnsi="David" w:cs="Miriam" w:hint="eastAsia"/>
          <w:rtl/>
        </w:rPr>
        <w:t>צורך</w:t>
      </w:r>
      <w:r w:rsidRPr="00974015">
        <w:rPr>
          <w:rFonts w:ascii="David" w:hAnsi="David" w:cs="Miriam"/>
          <w:rtl/>
        </w:rPr>
        <w:t xml:space="preserve"> </w:t>
      </w:r>
      <w:r w:rsidRPr="00974015">
        <w:rPr>
          <w:rFonts w:ascii="David" w:hAnsi="David" w:cs="Miriam" w:hint="eastAsia"/>
          <w:rtl/>
        </w:rPr>
        <w:t>לומר</w:t>
      </w:r>
      <w:r w:rsidRPr="00974015">
        <w:rPr>
          <w:rFonts w:ascii="David" w:hAnsi="David" w:cs="Miriam"/>
          <w:rtl/>
        </w:rPr>
        <w:t xml:space="preserve"> </w:t>
      </w:r>
      <w:r w:rsidRPr="00974015">
        <w:rPr>
          <w:rFonts w:ascii="David" w:hAnsi="David" w:cs="Miriam" w:hint="eastAsia"/>
          <w:rtl/>
        </w:rPr>
        <w:t>כי</w:t>
      </w:r>
      <w:r w:rsidRPr="00974015">
        <w:rPr>
          <w:rFonts w:ascii="David" w:hAnsi="David" w:cs="Miriam"/>
          <w:rtl/>
        </w:rPr>
        <w:t xml:space="preserve"> </w:t>
      </w:r>
      <w:r w:rsidRPr="00974015">
        <w:rPr>
          <w:rFonts w:ascii="David" w:hAnsi="David" w:cs="Miriam" w:hint="eastAsia"/>
          <w:rtl/>
        </w:rPr>
        <w:t>התכנון</w:t>
      </w:r>
      <w:r w:rsidRPr="00974015">
        <w:rPr>
          <w:rFonts w:ascii="David" w:hAnsi="David" w:cs="Miriam"/>
          <w:rtl/>
        </w:rPr>
        <w:t xml:space="preserve"> </w:t>
      </w:r>
      <w:r w:rsidRPr="00974015">
        <w:rPr>
          <w:rFonts w:ascii="David" w:hAnsi="David" w:cs="Miriam" w:hint="eastAsia"/>
          <w:rtl/>
        </w:rPr>
        <w:t>וההשקעה</w:t>
      </w:r>
      <w:r w:rsidRPr="00974015">
        <w:rPr>
          <w:rFonts w:ascii="David" w:hAnsi="David" w:cs="Miriam"/>
          <w:rtl/>
        </w:rPr>
        <w:t xml:space="preserve"> </w:t>
      </w:r>
      <w:r w:rsidRPr="00974015">
        <w:rPr>
          <w:rFonts w:ascii="David" w:hAnsi="David" w:cs="Miriam" w:hint="eastAsia"/>
          <w:rtl/>
        </w:rPr>
        <w:t>הכספית</w:t>
      </w:r>
      <w:r w:rsidRPr="00974015">
        <w:rPr>
          <w:rFonts w:ascii="David" w:hAnsi="David" w:cs="Miriam"/>
          <w:rtl/>
        </w:rPr>
        <w:t xml:space="preserve"> </w:t>
      </w:r>
      <w:r w:rsidRPr="00974015">
        <w:rPr>
          <w:rFonts w:ascii="David" w:hAnsi="David" w:cs="Miriam" w:hint="eastAsia"/>
          <w:rtl/>
        </w:rPr>
        <w:t>מעידים</w:t>
      </w:r>
      <w:r w:rsidRPr="00974015">
        <w:rPr>
          <w:rFonts w:ascii="David" w:hAnsi="David" w:cs="Miriam"/>
          <w:rtl/>
        </w:rPr>
        <w:t xml:space="preserve"> </w:t>
      </w:r>
      <w:r w:rsidRPr="00974015">
        <w:rPr>
          <w:rFonts w:ascii="David" w:hAnsi="David" w:cs="Miriam" w:hint="eastAsia"/>
          <w:rtl/>
        </w:rPr>
        <w:t>על</w:t>
      </w:r>
      <w:r w:rsidRPr="00974015">
        <w:rPr>
          <w:rFonts w:ascii="David" w:hAnsi="David" w:cs="Miriam"/>
          <w:rtl/>
        </w:rPr>
        <w:t xml:space="preserve"> </w:t>
      </w:r>
      <w:r w:rsidRPr="00974015">
        <w:rPr>
          <w:rFonts w:ascii="David" w:hAnsi="David" w:cs="Miriam" w:hint="eastAsia"/>
          <w:rtl/>
        </w:rPr>
        <w:t>החלטתם</w:t>
      </w:r>
      <w:r w:rsidRPr="00974015">
        <w:rPr>
          <w:rFonts w:ascii="David" w:hAnsi="David" w:cs="Miriam"/>
          <w:rtl/>
        </w:rPr>
        <w:t xml:space="preserve"> </w:t>
      </w:r>
      <w:r w:rsidRPr="00974015">
        <w:rPr>
          <w:rFonts w:ascii="David" w:hAnsi="David" w:cs="Miriam" w:hint="eastAsia"/>
          <w:rtl/>
        </w:rPr>
        <w:t>הנחושה</w:t>
      </w:r>
      <w:r w:rsidRPr="00974015">
        <w:rPr>
          <w:rFonts w:ascii="David" w:hAnsi="David" w:cs="Miriam"/>
          <w:rtl/>
        </w:rPr>
        <w:t xml:space="preserve"> </w:t>
      </w:r>
      <w:r w:rsidRPr="00974015">
        <w:rPr>
          <w:rFonts w:ascii="David" w:hAnsi="David" w:cs="Miriam" w:hint="eastAsia"/>
          <w:rtl/>
        </w:rPr>
        <w:t>של</w:t>
      </w:r>
      <w:r w:rsidRPr="00974015">
        <w:rPr>
          <w:rFonts w:ascii="David" w:hAnsi="David" w:cs="Miriam"/>
          <w:rtl/>
        </w:rPr>
        <w:t xml:space="preserve"> </w:t>
      </w:r>
      <w:r w:rsidRPr="00974015">
        <w:rPr>
          <w:rFonts w:ascii="David" w:hAnsi="David" w:cs="Miriam" w:hint="eastAsia"/>
          <w:rtl/>
        </w:rPr>
        <w:t>המשיבים</w:t>
      </w:r>
      <w:r w:rsidRPr="00974015">
        <w:rPr>
          <w:rFonts w:ascii="David" w:hAnsi="David" w:cs="Miriam"/>
          <w:rtl/>
        </w:rPr>
        <w:t xml:space="preserve"> </w:t>
      </w:r>
      <w:r w:rsidRPr="00974015">
        <w:rPr>
          <w:rFonts w:ascii="David" w:hAnsi="David" w:cs="Miriam" w:hint="eastAsia"/>
          <w:rtl/>
        </w:rPr>
        <w:t>לקצור</w:t>
      </w:r>
      <w:r w:rsidRPr="00974015">
        <w:rPr>
          <w:rFonts w:ascii="David" w:hAnsi="David" w:cs="Miriam"/>
          <w:rtl/>
        </w:rPr>
        <w:t xml:space="preserve"> </w:t>
      </w:r>
      <w:r w:rsidRPr="00974015">
        <w:rPr>
          <w:rFonts w:ascii="David" w:hAnsi="David" w:cs="Miriam" w:hint="eastAsia"/>
          <w:rtl/>
        </w:rPr>
        <w:t>את</w:t>
      </w:r>
      <w:r w:rsidRPr="00974015">
        <w:rPr>
          <w:rFonts w:ascii="David" w:hAnsi="David" w:cs="Miriam"/>
          <w:rtl/>
        </w:rPr>
        <w:t xml:space="preserve"> </w:t>
      </w:r>
      <w:r w:rsidRPr="00974015">
        <w:rPr>
          <w:rFonts w:ascii="David" w:hAnsi="David" w:cs="Miriam" w:hint="eastAsia"/>
          <w:rtl/>
        </w:rPr>
        <w:t>הפירות</w:t>
      </w:r>
      <w:r w:rsidRPr="00974015">
        <w:rPr>
          <w:rFonts w:ascii="David" w:hAnsi="David" w:cs="Miriam"/>
          <w:rtl/>
        </w:rPr>
        <w:t xml:space="preserve"> </w:t>
      </w:r>
      <w:r w:rsidRPr="00974015">
        <w:rPr>
          <w:rFonts w:ascii="David" w:hAnsi="David" w:cs="Miriam" w:hint="eastAsia"/>
          <w:rtl/>
        </w:rPr>
        <w:t>מאותו</w:t>
      </w:r>
      <w:r w:rsidRPr="00974015">
        <w:rPr>
          <w:rFonts w:ascii="David" w:hAnsi="David" w:cs="Miriam"/>
          <w:rtl/>
        </w:rPr>
        <w:t xml:space="preserve"> "</w:t>
      </w:r>
      <w:r w:rsidRPr="00974015">
        <w:rPr>
          <w:rFonts w:ascii="David" w:hAnsi="David" w:cs="Miriam" w:hint="eastAsia"/>
          <w:rtl/>
        </w:rPr>
        <w:t>מיזם</w:t>
      </w:r>
      <w:r w:rsidRPr="00974015">
        <w:rPr>
          <w:rFonts w:ascii="David" w:hAnsi="David" w:cs="Miriam"/>
          <w:rtl/>
        </w:rPr>
        <w:t xml:space="preserve">" </w:t>
      </w:r>
      <w:r w:rsidRPr="00974015">
        <w:rPr>
          <w:rFonts w:ascii="David" w:hAnsi="David" w:cs="Miriam" w:hint="eastAsia"/>
          <w:rtl/>
        </w:rPr>
        <w:t>ולהגיע</w:t>
      </w:r>
      <w:r w:rsidRPr="00974015">
        <w:rPr>
          <w:rFonts w:ascii="David" w:hAnsi="David" w:cs="Miriam"/>
          <w:rtl/>
        </w:rPr>
        <w:t xml:space="preserve"> </w:t>
      </w:r>
      <w:r w:rsidRPr="00974015">
        <w:rPr>
          <w:rFonts w:ascii="David" w:hAnsi="David" w:cs="Miriam" w:hint="eastAsia"/>
          <w:rtl/>
        </w:rPr>
        <w:t>עד</w:t>
      </w:r>
      <w:r w:rsidRPr="00974015">
        <w:rPr>
          <w:rFonts w:ascii="David" w:hAnsi="David" w:cs="Miriam"/>
          <w:rtl/>
        </w:rPr>
        <w:t xml:space="preserve"> </w:t>
      </w:r>
      <w:r w:rsidRPr="00974015">
        <w:rPr>
          <w:rFonts w:ascii="David" w:hAnsi="David" w:cs="Miriam" w:hint="eastAsia"/>
          <w:rtl/>
        </w:rPr>
        <w:t>השלב</w:t>
      </w:r>
      <w:r w:rsidRPr="00974015">
        <w:rPr>
          <w:rFonts w:ascii="David" w:hAnsi="David" w:cs="Miriam"/>
          <w:rtl/>
        </w:rPr>
        <w:t xml:space="preserve"> </w:t>
      </w:r>
      <w:r w:rsidRPr="00974015">
        <w:rPr>
          <w:rFonts w:ascii="David" w:hAnsi="David" w:cs="Miriam" w:hint="eastAsia"/>
          <w:rtl/>
        </w:rPr>
        <w:t>האחרון</w:t>
      </w:r>
      <w:r w:rsidRPr="00974015">
        <w:rPr>
          <w:rFonts w:ascii="David" w:hAnsi="David" w:cs="Miriam"/>
          <w:rtl/>
        </w:rPr>
        <w:t xml:space="preserve">. </w:t>
      </w:r>
      <w:r w:rsidRPr="00974015">
        <w:rPr>
          <w:rFonts w:ascii="David" w:hAnsi="David" w:cs="Miriam" w:hint="eastAsia"/>
          <w:rtl/>
        </w:rPr>
        <w:t>השלב</w:t>
      </w:r>
      <w:r w:rsidRPr="00974015">
        <w:rPr>
          <w:rFonts w:ascii="David" w:hAnsi="David" w:cs="Miriam"/>
          <w:rtl/>
        </w:rPr>
        <w:t xml:space="preserve"> </w:t>
      </w:r>
      <w:r w:rsidRPr="00974015">
        <w:rPr>
          <w:rFonts w:ascii="David" w:hAnsi="David" w:cs="Miriam" w:hint="eastAsia"/>
          <w:rtl/>
        </w:rPr>
        <w:t>האחרון</w:t>
      </w:r>
      <w:r w:rsidRPr="00974015">
        <w:rPr>
          <w:rFonts w:ascii="David" w:hAnsi="David" w:cs="Miriam"/>
          <w:rtl/>
        </w:rPr>
        <w:t xml:space="preserve"> </w:t>
      </w:r>
      <w:r w:rsidRPr="00974015">
        <w:rPr>
          <w:rFonts w:ascii="David" w:hAnsi="David" w:cs="Miriam" w:hint="eastAsia"/>
          <w:rtl/>
        </w:rPr>
        <w:t>משמעותו</w:t>
      </w:r>
      <w:r w:rsidRPr="00974015">
        <w:rPr>
          <w:rFonts w:ascii="David" w:hAnsi="David" w:cs="Miriam"/>
          <w:rtl/>
        </w:rPr>
        <w:t xml:space="preserve"> </w:t>
      </w:r>
      <w:r w:rsidRPr="00974015">
        <w:rPr>
          <w:rFonts w:ascii="David" w:hAnsi="David" w:cs="Miriam" w:hint="eastAsia"/>
          <w:rtl/>
        </w:rPr>
        <w:t>אפשרות</w:t>
      </w:r>
      <w:r w:rsidRPr="00974015">
        <w:rPr>
          <w:rFonts w:ascii="David" w:hAnsi="David" w:cs="Miriam"/>
          <w:rtl/>
        </w:rPr>
        <w:t xml:space="preserve"> </w:t>
      </w:r>
      <w:r w:rsidRPr="00974015">
        <w:rPr>
          <w:rFonts w:ascii="David" w:hAnsi="David" w:cs="Miriam" w:hint="eastAsia"/>
          <w:rtl/>
        </w:rPr>
        <w:t>להוציא</w:t>
      </w:r>
      <w:r w:rsidRPr="00974015">
        <w:rPr>
          <w:rFonts w:ascii="David" w:hAnsi="David" w:cs="Miriam"/>
          <w:rtl/>
        </w:rPr>
        <w:t xml:space="preserve"> </w:t>
      </w:r>
      <w:r w:rsidRPr="00974015">
        <w:rPr>
          <w:rFonts w:ascii="David" w:hAnsi="David" w:cs="Miriam" w:hint="eastAsia"/>
          <w:rtl/>
        </w:rPr>
        <w:t>את</w:t>
      </w:r>
      <w:r w:rsidRPr="00974015">
        <w:rPr>
          <w:rFonts w:ascii="David" w:hAnsi="David" w:cs="Miriam"/>
          <w:rtl/>
        </w:rPr>
        <w:t xml:space="preserve"> </w:t>
      </w:r>
      <w:r w:rsidRPr="00974015">
        <w:rPr>
          <w:rFonts w:ascii="David" w:hAnsi="David" w:cs="Miriam" w:hint="eastAsia"/>
          <w:rtl/>
        </w:rPr>
        <w:t>הסמים</w:t>
      </w:r>
      <w:r w:rsidRPr="00974015">
        <w:rPr>
          <w:rFonts w:ascii="David" w:hAnsi="David" w:cs="Miriam"/>
          <w:rtl/>
        </w:rPr>
        <w:t xml:space="preserve"> </w:t>
      </w:r>
      <w:r w:rsidRPr="00974015">
        <w:rPr>
          <w:rFonts w:ascii="David" w:hAnsi="David" w:cs="Miriam" w:hint="eastAsia"/>
          <w:rtl/>
        </w:rPr>
        <w:t>אל</w:t>
      </w:r>
      <w:r w:rsidRPr="00974015">
        <w:rPr>
          <w:rFonts w:ascii="David" w:hAnsi="David" w:cs="Miriam"/>
          <w:rtl/>
        </w:rPr>
        <w:t xml:space="preserve"> </w:t>
      </w:r>
      <w:r w:rsidRPr="00974015">
        <w:rPr>
          <w:rFonts w:ascii="David" w:hAnsi="David" w:cs="Miriam" w:hint="eastAsia"/>
          <w:rtl/>
        </w:rPr>
        <w:t>השוק</w:t>
      </w:r>
      <w:r w:rsidRPr="00974015">
        <w:rPr>
          <w:rFonts w:ascii="David" w:hAnsi="David" w:cs="Miriam"/>
          <w:rtl/>
        </w:rPr>
        <w:t xml:space="preserve">, </w:t>
      </w:r>
      <w:r w:rsidRPr="00974015">
        <w:rPr>
          <w:rFonts w:ascii="David" w:hAnsi="David" w:cs="Miriam" w:hint="eastAsia"/>
          <w:rtl/>
        </w:rPr>
        <w:t>ולמכור</w:t>
      </w:r>
      <w:r w:rsidRPr="00974015">
        <w:rPr>
          <w:rFonts w:ascii="David" w:hAnsi="David" w:cs="Miriam"/>
          <w:rtl/>
        </w:rPr>
        <w:t xml:space="preserve"> </w:t>
      </w:r>
      <w:r w:rsidRPr="00974015">
        <w:rPr>
          <w:rFonts w:ascii="David" w:hAnsi="David" w:cs="Miriam" w:hint="eastAsia"/>
          <w:rtl/>
        </w:rPr>
        <w:t>אותם</w:t>
      </w:r>
      <w:r w:rsidRPr="00974015">
        <w:rPr>
          <w:rFonts w:ascii="David" w:hAnsi="David" w:cs="Miriam"/>
          <w:rtl/>
        </w:rPr>
        <w:t xml:space="preserve"> </w:t>
      </w:r>
      <w:r w:rsidRPr="00974015">
        <w:rPr>
          <w:rFonts w:ascii="David" w:hAnsi="David" w:cs="Miriam" w:hint="eastAsia"/>
          <w:rtl/>
        </w:rPr>
        <w:t>ברווח</w:t>
      </w:r>
      <w:r w:rsidRPr="00974015">
        <w:rPr>
          <w:rFonts w:ascii="David" w:hAnsi="David" w:cs="Miriam"/>
          <w:rtl/>
        </w:rPr>
        <w:t xml:space="preserve"> </w:t>
      </w:r>
      <w:r w:rsidRPr="00974015">
        <w:rPr>
          <w:rFonts w:ascii="David" w:hAnsi="David" w:cs="Miriam" w:hint="eastAsia"/>
          <w:rtl/>
        </w:rPr>
        <w:t>כספי</w:t>
      </w:r>
      <w:r w:rsidRPr="00974015">
        <w:rPr>
          <w:rFonts w:ascii="David" w:hAnsi="David" w:cs="Miriam"/>
          <w:rtl/>
        </w:rPr>
        <w:t xml:space="preserve"> </w:t>
      </w:r>
      <w:r w:rsidRPr="00974015">
        <w:rPr>
          <w:rFonts w:ascii="David" w:hAnsi="David" w:cs="Miriam" w:hint="eastAsia"/>
          <w:rtl/>
        </w:rPr>
        <w:t>ניכר</w:t>
      </w:r>
      <w:r w:rsidRPr="00974015">
        <w:rPr>
          <w:rFonts w:ascii="David" w:hAnsi="David" w:cs="Miriam"/>
          <w:rtl/>
        </w:rPr>
        <w:t xml:space="preserve">. </w:t>
      </w:r>
      <w:r w:rsidRPr="00974015">
        <w:rPr>
          <w:rFonts w:ascii="David" w:hAnsi="David" w:cs="Miriam" w:hint="eastAsia"/>
          <w:rtl/>
        </w:rPr>
        <w:t>לשיטתנו</w:t>
      </w:r>
      <w:r w:rsidRPr="00974015">
        <w:rPr>
          <w:rFonts w:ascii="David" w:hAnsi="David" w:cs="Miriam"/>
          <w:rtl/>
        </w:rPr>
        <w:t xml:space="preserve">, </w:t>
      </w:r>
      <w:r w:rsidRPr="00974015">
        <w:rPr>
          <w:rFonts w:ascii="David" w:hAnsi="David" w:cs="Miriam" w:hint="eastAsia"/>
          <w:rtl/>
        </w:rPr>
        <w:t>התכנון</w:t>
      </w:r>
      <w:r w:rsidRPr="00974015">
        <w:rPr>
          <w:rFonts w:ascii="David" w:hAnsi="David" w:cs="Miriam"/>
          <w:rtl/>
        </w:rPr>
        <w:t xml:space="preserve"> </w:t>
      </w:r>
      <w:r w:rsidRPr="00974015">
        <w:rPr>
          <w:rFonts w:ascii="David" w:hAnsi="David" w:cs="Miriam" w:hint="eastAsia"/>
          <w:rtl/>
        </w:rPr>
        <w:t>המדוקדק</w:t>
      </w:r>
      <w:r w:rsidRPr="00974015">
        <w:rPr>
          <w:rFonts w:ascii="David" w:hAnsi="David" w:cs="Miriam"/>
          <w:rtl/>
        </w:rPr>
        <w:t xml:space="preserve"> </w:t>
      </w:r>
      <w:r w:rsidRPr="00974015">
        <w:rPr>
          <w:rFonts w:ascii="David" w:hAnsi="David" w:cs="Miriam" w:hint="eastAsia"/>
          <w:rtl/>
        </w:rPr>
        <w:t>הוא</w:t>
      </w:r>
      <w:r w:rsidRPr="00974015">
        <w:rPr>
          <w:rFonts w:ascii="David" w:hAnsi="David" w:cs="Miriam"/>
          <w:rtl/>
        </w:rPr>
        <w:t xml:space="preserve"> </w:t>
      </w:r>
      <w:r w:rsidRPr="00974015">
        <w:rPr>
          <w:rFonts w:ascii="David" w:hAnsi="David" w:cs="Miriam" w:hint="eastAsia"/>
          <w:rtl/>
        </w:rPr>
        <w:t>נסיבה</w:t>
      </w:r>
      <w:r w:rsidRPr="00974015">
        <w:rPr>
          <w:rFonts w:ascii="David" w:hAnsi="David" w:cs="Miriam"/>
          <w:rtl/>
        </w:rPr>
        <w:t xml:space="preserve"> </w:t>
      </w:r>
      <w:r w:rsidRPr="00974015">
        <w:rPr>
          <w:rFonts w:ascii="David" w:hAnsi="David" w:cs="Miriam" w:hint="eastAsia"/>
          <w:rtl/>
        </w:rPr>
        <w:t>מחמירה</w:t>
      </w:r>
      <w:r w:rsidRPr="00974015">
        <w:rPr>
          <w:rFonts w:ascii="David" w:hAnsi="David" w:cs="Miriam"/>
          <w:rtl/>
        </w:rPr>
        <w:t xml:space="preserve"> </w:t>
      </w:r>
      <w:r w:rsidRPr="00974015">
        <w:rPr>
          <w:rFonts w:ascii="David" w:hAnsi="David" w:cs="Miriam" w:hint="eastAsia"/>
          <w:rtl/>
        </w:rPr>
        <w:t>מעין</w:t>
      </w:r>
      <w:r w:rsidRPr="00974015">
        <w:rPr>
          <w:rFonts w:ascii="David" w:hAnsi="David" w:cs="Miriam"/>
          <w:rtl/>
        </w:rPr>
        <w:t xml:space="preserve"> </w:t>
      </w:r>
      <w:r w:rsidRPr="00974015">
        <w:rPr>
          <w:rFonts w:ascii="David" w:hAnsi="David" w:cs="Miriam" w:hint="eastAsia"/>
          <w:rtl/>
        </w:rPr>
        <w:t>כמותה</w:t>
      </w:r>
      <w:r>
        <w:rPr>
          <w:rFonts w:ascii="David" w:hAnsi="David" w:cs="Miriam"/>
          <w:rtl/>
        </w:rPr>
        <w:t xml:space="preserve">.." </w:t>
      </w:r>
      <w:r w:rsidRPr="00974015">
        <w:rPr>
          <w:rFonts w:ascii="David" w:hAnsi="David" w:cs="David"/>
          <w:rtl/>
        </w:rPr>
        <w:t>(</w:t>
      </w:r>
      <w:hyperlink r:id="rId35" w:history="1">
        <w:r w:rsidR="00E31F7B" w:rsidRPr="00E31F7B">
          <w:rPr>
            <w:rStyle w:val="Hyperlink"/>
            <w:rFonts w:cs="David"/>
            <w:rtl/>
          </w:rPr>
          <w:t>עפ"ג 46738-09-14</w:t>
        </w:r>
      </w:hyperlink>
      <w:r w:rsidRPr="00974015">
        <w:rPr>
          <w:rFonts w:ascii="David" w:hAnsi="David" w:cs="David"/>
          <w:rtl/>
        </w:rPr>
        <w:t xml:space="preserve"> </w:t>
      </w:r>
      <w:r w:rsidRPr="00974015">
        <w:rPr>
          <w:rFonts w:ascii="David" w:hAnsi="David" w:cs="David" w:hint="eastAsia"/>
          <w:b/>
          <w:bCs/>
          <w:rtl/>
        </w:rPr>
        <w:t>מדינת</w:t>
      </w:r>
      <w:r w:rsidRPr="00974015">
        <w:rPr>
          <w:rFonts w:ascii="David" w:hAnsi="David" w:cs="David"/>
          <w:b/>
          <w:bCs/>
          <w:rtl/>
        </w:rPr>
        <w:t xml:space="preserve"> </w:t>
      </w:r>
      <w:r w:rsidRPr="00974015">
        <w:rPr>
          <w:rFonts w:ascii="David" w:hAnsi="David" w:cs="David" w:hint="eastAsia"/>
          <w:b/>
          <w:bCs/>
          <w:rtl/>
        </w:rPr>
        <w:t>ישראל</w:t>
      </w:r>
      <w:r w:rsidRPr="00974015">
        <w:rPr>
          <w:rFonts w:ascii="David" w:hAnsi="David" w:cs="David"/>
          <w:b/>
          <w:bCs/>
          <w:rtl/>
        </w:rPr>
        <w:t xml:space="preserve"> </w:t>
      </w:r>
      <w:r w:rsidRPr="00974015">
        <w:rPr>
          <w:rFonts w:ascii="David" w:hAnsi="David" w:cs="David" w:hint="eastAsia"/>
          <w:b/>
          <w:bCs/>
          <w:rtl/>
        </w:rPr>
        <w:t>נ</w:t>
      </w:r>
      <w:r w:rsidRPr="00974015">
        <w:rPr>
          <w:rFonts w:ascii="David" w:hAnsi="David" w:cs="David"/>
          <w:b/>
          <w:bCs/>
          <w:rtl/>
        </w:rPr>
        <w:t xml:space="preserve">' </w:t>
      </w:r>
      <w:r w:rsidRPr="00974015">
        <w:rPr>
          <w:rFonts w:ascii="David" w:hAnsi="David" w:cs="David" w:hint="eastAsia"/>
          <w:b/>
          <w:bCs/>
          <w:rtl/>
        </w:rPr>
        <w:t>צקבאשווילי</w:t>
      </w:r>
      <w:r w:rsidRPr="00974015">
        <w:rPr>
          <w:rFonts w:ascii="David" w:hAnsi="David" w:cs="David"/>
          <w:rtl/>
        </w:rPr>
        <w:t xml:space="preserve"> (31.12.14)).</w:t>
      </w:r>
    </w:p>
    <w:p w14:paraId="11F19041" w14:textId="77777777" w:rsidR="00AE07AE" w:rsidRDefault="00AE07AE" w:rsidP="00AE07AE">
      <w:pPr>
        <w:pStyle w:val="ListParagraph"/>
        <w:tabs>
          <w:tab w:val="left" w:pos="7654"/>
        </w:tabs>
        <w:spacing w:line="360" w:lineRule="auto"/>
        <w:ind w:left="1417" w:right="851"/>
        <w:jc w:val="both"/>
        <w:rPr>
          <w:rFonts w:cs="David"/>
          <w:rtl/>
        </w:rPr>
      </w:pPr>
    </w:p>
    <w:p w14:paraId="7B37C116" w14:textId="77777777" w:rsidR="00AE07AE" w:rsidRPr="002D48E4" w:rsidRDefault="00AE07AE" w:rsidP="00AE07AE">
      <w:pPr>
        <w:numPr>
          <w:ilvl w:val="0"/>
          <w:numId w:val="2"/>
        </w:numPr>
        <w:spacing w:line="360" w:lineRule="auto"/>
        <w:jc w:val="both"/>
        <w:rPr>
          <w:rFonts w:ascii="David" w:hAnsi="David" w:cs="Times New Roman"/>
        </w:rPr>
      </w:pPr>
      <w:r w:rsidRPr="001A3B89">
        <w:rPr>
          <w:rFonts w:ascii="David" w:hAnsi="David" w:hint="cs"/>
          <w:b/>
          <w:bCs/>
          <w:rtl/>
        </w:rPr>
        <w:t>מדיניות הענישה:</w:t>
      </w:r>
      <w:r>
        <w:rPr>
          <w:rFonts w:ascii="David" w:hAnsi="David" w:hint="cs"/>
          <w:rtl/>
        </w:rPr>
        <w:t xml:space="preserve"> </w:t>
      </w:r>
      <w:r w:rsidRPr="002D48E4">
        <w:rPr>
          <w:rFonts w:ascii="David" w:hAnsi="David" w:hint="eastAsia"/>
          <w:rtl/>
        </w:rPr>
        <w:t>הענישה</w:t>
      </w:r>
      <w:r w:rsidRPr="002D48E4">
        <w:rPr>
          <w:rFonts w:ascii="David" w:hAnsi="David"/>
          <w:rtl/>
        </w:rPr>
        <w:t xml:space="preserve"> </w:t>
      </w:r>
      <w:r w:rsidRPr="002D48E4">
        <w:rPr>
          <w:rFonts w:ascii="David" w:hAnsi="David" w:hint="eastAsia"/>
          <w:rtl/>
        </w:rPr>
        <w:t>המוטלת</w:t>
      </w:r>
      <w:r w:rsidRPr="002D48E4">
        <w:rPr>
          <w:rFonts w:ascii="David" w:hAnsi="David"/>
          <w:rtl/>
        </w:rPr>
        <w:t xml:space="preserve"> </w:t>
      </w:r>
      <w:r w:rsidRPr="002D48E4">
        <w:rPr>
          <w:rFonts w:ascii="David" w:hAnsi="David" w:hint="eastAsia"/>
          <w:rtl/>
        </w:rPr>
        <w:t>בעבירות</w:t>
      </w:r>
      <w:r w:rsidRPr="002D48E4">
        <w:rPr>
          <w:rFonts w:ascii="David" w:hAnsi="David"/>
          <w:rtl/>
        </w:rPr>
        <w:t xml:space="preserve"> </w:t>
      </w:r>
      <w:r w:rsidRPr="002D48E4">
        <w:rPr>
          <w:rFonts w:ascii="David" w:hAnsi="David" w:hint="eastAsia"/>
          <w:rtl/>
        </w:rPr>
        <w:t>מסוג</w:t>
      </w:r>
      <w:r w:rsidRPr="002D48E4">
        <w:rPr>
          <w:rFonts w:ascii="David" w:hAnsi="David"/>
          <w:rtl/>
        </w:rPr>
        <w:t xml:space="preserve"> </w:t>
      </w:r>
      <w:r w:rsidRPr="002D48E4">
        <w:rPr>
          <w:rFonts w:ascii="David" w:hAnsi="David" w:hint="eastAsia"/>
          <w:rtl/>
        </w:rPr>
        <w:t>זה</w:t>
      </w:r>
      <w:r w:rsidRPr="002D48E4">
        <w:rPr>
          <w:rFonts w:ascii="David" w:hAnsi="David"/>
          <w:rtl/>
        </w:rPr>
        <w:t xml:space="preserve"> </w:t>
      </w:r>
      <w:r w:rsidRPr="002D48E4">
        <w:rPr>
          <w:rFonts w:ascii="David" w:hAnsi="David" w:hint="eastAsia"/>
          <w:rtl/>
        </w:rPr>
        <w:t>משתנה</w:t>
      </w:r>
      <w:r w:rsidRPr="002D48E4">
        <w:rPr>
          <w:rFonts w:ascii="David" w:hAnsi="David"/>
          <w:rtl/>
        </w:rPr>
        <w:t xml:space="preserve"> </w:t>
      </w:r>
      <w:r w:rsidRPr="002D48E4">
        <w:rPr>
          <w:rFonts w:ascii="David" w:hAnsi="David" w:hint="eastAsia"/>
          <w:rtl/>
        </w:rPr>
        <w:t>ממקרה</w:t>
      </w:r>
      <w:r w:rsidRPr="002D48E4">
        <w:rPr>
          <w:rFonts w:ascii="David" w:hAnsi="David"/>
          <w:rtl/>
        </w:rPr>
        <w:t xml:space="preserve"> </w:t>
      </w:r>
      <w:r w:rsidRPr="002D48E4">
        <w:rPr>
          <w:rFonts w:ascii="David" w:hAnsi="David" w:hint="eastAsia"/>
          <w:rtl/>
        </w:rPr>
        <w:t>למקרה</w:t>
      </w:r>
      <w:r w:rsidRPr="002D48E4">
        <w:rPr>
          <w:rFonts w:ascii="David" w:hAnsi="David"/>
          <w:rtl/>
        </w:rPr>
        <w:t xml:space="preserve"> </w:t>
      </w:r>
      <w:r w:rsidRPr="002D48E4">
        <w:rPr>
          <w:rFonts w:ascii="David" w:hAnsi="David" w:hint="eastAsia"/>
          <w:rtl/>
        </w:rPr>
        <w:t>והיא</w:t>
      </w:r>
      <w:r w:rsidRPr="002D48E4">
        <w:rPr>
          <w:rFonts w:ascii="David" w:hAnsi="David"/>
          <w:rtl/>
        </w:rPr>
        <w:t xml:space="preserve"> </w:t>
      </w:r>
      <w:r w:rsidRPr="002D48E4">
        <w:rPr>
          <w:rFonts w:ascii="David" w:hAnsi="David" w:hint="eastAsia"/>
          <w:rtl/>
        </w:rPr>
        <w:t>תלויה</w:t>
      </w:r>
      <w:r w:rsidRPr="002D48E4">
        <w:rPr>
          <w:rFonts w:ascii="David" w:hAnsi="David"/>
          <w:rtl/>
        </w:rPr>
        <w:t xml:space="preserve"> </w:t>
      </w:r>
      <w:r w:rsidRPr="002D48E4">
        <w:rPr>
          <w:rFonts w:ascii="David" w:hAnsi="David" w:hint="eastAsia"/>
          <w:rtl/>
        </w:rPr>
        <w:t>בין</w:t>
      </w:r>
      <w:r w:rsidRPr="002D48E4">
        <w:rPr>
          <w:rFonts w:ascii="David" w:hAnsi="David"/>
          <w:rtl/>
        </w:rPr>
        <w:t xml:space="preserve"> </w:t>
      </w:r>
      <w:r w:rsidRPr="002D48E4">
        <w:rPr>
          <w:rFonts w:ascii="David" w:hAnsi="David" w:hint="eastAsia"/>
          <w:rtl/>
        </w:rPr>
        <w:t>היתר</w:t>
      </w:r>
      <w:r w:rsidRPr="002D48E4">
        <w:rPr>
          <w:rFonts w:ascii="David" w:hAnsi="David"/>
          <w:rtl/>
        </w:rPr>
        <w:t xml:space="preserve"> </w:t>
      </w:r>
      <w:r>
        <w:rPr>
          <w:rFonts w:ascii="David" w:hAnsi="David" w:hint="cs"/>
          <w:rtl/>
        </w:rPr>
        <w:t xml:space="preserve">בכמות </w:t>
      </w:r>
      <w:r w:rsidRPr="002D48E4">
        <w:rPr>
          <w:rFonts w:ascii="David" w:hAnsi="David" w:hint="eastAsia"/>
          <w:rtl/>
        </w:rPr>
        <w:t>הסם</w:t>
      </w:r>
      <w:r w:rsidRPr="002D48E4">
        <w:rPr>
          <w:rFonts w:ascii="David" w:hAnsi="David"/>
          <w:rtl/>
        </w:rPr>
        <w:t xml:space="preserve"> </w:t>
      </w:r>
      <w:r>
        <w:rPr>
          <w:rFonts w:ascii="David" w:hAnsi="David" w:hint="cs"/>
          <w:rtl/>
        </w:rPr>
        <w:t xml:space="preserve">(מספר השתילים והמשקל) </w:t>
      </w:r>
      <w:r w:rsidRPr="002D48E4">
        <w:rPr>
          <w:rFonts w:ascii="David" w:hAnsi="David" w:hint="eastAsia"/>
          <w:rtl/>
        </w:rPr>
        <w:t>ובנסיבותיו</w:t>
      </w:r>
      <w:r w:rsidRPr="002D48E4">
        <w:rPr>
          <w:rFonts w:ascii="David" w:hAnsi="David"/>
          <w:rtl/>
        </w:rPr>
        <w:t xml:space="preserve"> </w:t>
      </w:r>
      <w:r w:rsidRPr="002D48E4">
        <w:rPr>
          <w:rFonts w:ascii="David" w:hAnsi="David" w:hint="eastAsia"/>
          <w:rtl/>
        </w:rPr>
        <w:t>של</w:t>
      </w:r>
      <w:r w:rsidRPr="002D48E4">
        <w:rPr>
          <w:rFonts w:ascii="David" w:hAnsi="David"/>
          <w:rtl/>
        </w:rPr>
        <w:t xml:space="preserve"> </w:t>
      </w:r>
      <w:r w:rsidRPr="002D48E4">
        <w:rPr>
          <w:rFonts w:ascii="David" w:hAnsi="David" w:hint="eastAsia"/>
          <w:rtl/>
        </w:rPr>
        <w:t>הנאשם</w:t>
      </w:r>
      <w:r w:rsidRPr="002D48E4">
        <w:rPr>
          <w:rFonts w:ascii="David" w:hAnsi="David"/>
          <w:rtl/>
        </w:rPr>
        <w:t xml:space="preserve"> (</w:t>
      </w:r>
      <w:r w:rsidRPr="002D48E4">
        <w:rPr>
          <w:rFonts w:ascii="David" w:hAnsi="David" w:hint="eastAsia"/>
          <w:rtl/>
        </w:rPr>
        <w:t>עבר</w:t>
      </w:r>
      <w:r w:rsidRPr="002D48E4">
        <w:rPr>
          <w:rFonts w:ascii="David" w:hAnsi="David"/>
          <w:rtl/>
        </w:rPr>
        <w:t xml:space="preserve"> </w:t>
      </w:r>
      <w:r w:rsidRPr="002D48E4">
        <w:rPr>
          <w:rFonts w:ascii="David" w:hAnsi="David" w:hint="eastAsia"/>
          <w:rtl/>
        </w:rPr>
        <w:t>פלילי</w:t>
      </w:r>
      <w:r w:rsidRPr="002D48E4">
        <w:rPr>
          <w:rFonts w:ascii="David" w:hAnsi="David"/>
          <w:rtl/>
        </w:rPr>
        <w:t xml:space="preserve">, </w:t>
      </w:r>
      <w:r w:rsidRPr="002D48E4">
        <w:rPr>
          <w:rFonts w:ascii="David" w:hAnsi="David" w:hint="eastAsia"/>
          <w:rtl/>
        </w:rPr>
        <w:t>שיקום</w:t>
      </w:r>
      <w:r w:rsidRPr="002D48E4">
        <w:rPr>
          <w:rFonts w:ascii="David" w:hAnsi="David"/>
          <w:rtl/>
        </w:rPr>
        <w:t xml:space="preserve">, </w:t>
      </w:r>
      <w:r w:rsidRPr="002D48E4">
        <w:rPr>
          <w:rFonts w:ascii="David" w:hAnsi="David" w:hint="eastAsia"/>
          <w:rtl/>
        </w:rPr>
        <w:t>תסקיר</w:t>
      </w:r>
      <w:r w:rsidRPr="002D48E4">
        <w:rPr>
          <w:rFonts w:ascii="David" w:hAnsi="David"/>
          <w:rtl/>
        </w:rPr>
        <w:t xml:space="preserve"> </w:t>
      </w:r>
      <w:r w:rsidRPr="002D48E4">
        <w:rPr>
          <w:rFonts w:ascii="David" w:hAnsi="David" w:hint="eastAsia"/>
          <w:rtl/>
        </w:rPr>
        <w:t>חיובי</w:t>
      </w:r>
      <w:r w:rsidRPr="002D48E4">
        <w:rPr>
          <w:rFonts w:ascii="David" w:hAnsi="David"/>
          <w:rtl/>
        </w:rPr>
        <w:t xml:space="preserve"> </w:t>
      </w:r>
      <w:r w:rsidRPr="002D48E4">
        <w:rPr>
          <w:rFonts w:ascii="David" w:hAnsi="David" w:hint="eastAsia"/>
          <w:rtl/>
        </w:rPr>
        <w:t>וכיוצב</w:t>
      </w:r>
      <w:r w:rsidRPr="002D48E4">
        <w:rPr>
          <w:rFonts w:ascii="David" w:hAnsi="David"/>
          <w:rtl/>
        </w:rPr>
        <w:t xml:space="preserve">'). </w:t>
      </w:r>
      <w:r w:rsidRPr="002D48E4">
        <w:rPr>
          <w:rFonts w:ascii="David" w:hAnsi="David" w:hint="eastAsia"/>
          <w:rtl/>
        </w:rPr>
        <w:t>עם</w:t>
      </w:r>
      <w:r w:rsidRPr="002D48E4">
        <w:rPr>
          <w:rFonts w:ascii="David" w:hAnsi="David"/>
          <w:rtl/>
        </w:rPr>
        <w:t xml:space="preserve"> </w:t>
      </w:r>
      <w:r w:rsidRPr="002D48E4">
        <w:rPr>
          <w:rFonts w:ascii="David" w:hAnsi="David" w:hint="eastAsia"/>
          <w:rtl/>
        </w:rPr>
        <w:t>זאת</w:t>
      </w:r>
      <w:r w:rsidRPr="002D48E4">
        <w:rPr>
          <w:rFonts w:ascii="David" w:hAnsi="David"/>
          <w:rtl/>
        </w:rPr>
        <w:t xml:space="preserve"> </w:t>
      </w:r>
      <w:r w:rsidRPr="002D48E4">
        <w:rPr>
          <w:rFonts w:ascii="David" w:hAnsi="David" w:hint="eastAsia"/>
          <w:rtl/>
        </w:rPr>
        <w:t>נקבע</w:t>
      </w:r>
      <w:r w:rsidRPr="002D48E4">
        <w:rPr>
          <w:rFonts w:ascii="David" w:hAnsi="David"/>
          <w:rtl/>
        </w:rPr>
        <w:t xml:space="preserve"> </w:t>
      </w:r>
      <w:r w:rsidRPr="002D48E4">
        <w:rPr>
          <w:rFonts w:ascii="David" w:hAnsi="David" w:hint="eastAsia"/>
          <w:rtl/>
        </w:rPr>
        <w:t>לא</w:t>
      </w:r>
      <w:r w:rsidRPr="002D48E4">
        <w:rPr>
          <w:rFonts w:ascii="David" w:hAnsi="David"/>
          <w:rtl/>
        </w:rPr>
        <w:t xml:space="preserve"> </w:t>
      </w:r>
      <w:r w:rsidRPr="002D48E4">
        <w:rPr>
          <w:rFonts w:ascii="David" w:hAnsi="David" w:hint="eastAsia"/>
          <w:rtl/>
        </w:rPr>
        <w:t>אחת</w:t>
      </w:r>
      <w:r w:rsidRPr="002D48E4">
        <w:rPr>
          <w:rFonts w:ascii="David" w:hAnsi="David"/>
          <w:rtl/>
        </w:rPr>
        <w:t xml:space="preserve"> </w:t>
      </w:r>
      <w:r w:rsidRPr="002D48E4">
        <w:rPr>
          <w:rFonts w:ascii="David" w:hAnsi="David" w:hint="eastAsia"/>
          <w:rtl/>
        </w:rPr>
        <w:t>כי</w:t>
      </w:r>
      <w:r w:rsidRPr="002D48E4">
        <w:rPr>
          <w:rFonts w:ascii="David" w:hAnsi="David"/>
          <w:rtl/>
        </w:rPr>
        <w:t xml:space="preserve"> </w:t>
      </w:r>
      <w:r w:rsidRPr="002D48E4">
        <w:rPr>
          <w:rFonts w:ascii="David" w:hAnsi="David" w:hint="eastAsia"/>
          <w:rtl/>
        </w:rPr>
        <w:t>יש</w:t>
      </w:r>
      <w:r w:rsidRPr="002D48E4">
        <w:rPr>
          <w:rFonts w:ascii="David" w:hAnsi="David"/>
          <w:rtl/>
        </w:rPr>
        <w:t xml:space="preserve"> </w:t>
      </w:r>
      <w:r w:rsidRPr="002D48E4">
        <w:rPr>
          <w:rFonts w:ascii="David" w:hAnsi="David" w:hint="eastAsia"/>
          <w:rtl/>
        </w:rPr>
        <w:t>להחמיר</w:t>
      </w:r>
      <w:r w:rsidRPr="002D48E4">
        <w:rPr>
          <w:rFonts w:ascii="David" w:hAnsi="David"/>
          <w:rtl/>
        </w:rPr>
        <w:t xml:space="preserve"> </w:t>
      </w:r>
      <w:r w:rsidRPr="002D48E4">
        <w:rPr>
          <w:rFonts w:ascii="David" w:hAnsi="David" w:hint="eastAsia"/>
          <w:rtl/>
        </w:rPr>
        <w:t>עם</w:t>
      </w:r>
      <w:r w:rsidRPr="002D48E4">
        <w:rPr>
          <w:rFonts w:ascii="David" w:hAnsi="David"/>
          <w:rtl/>
        </w:rPr>
        <w:t xml:space="preserve"> </w:t>
      </w:r>
      <w:r w:rsidRPr="002D48E4">
        <w:rPr>
          <w:rFonts w:ascii="David" w:hAnsi="David" w:hint="eastAsia"/>
          <w:rtl/>
        </w:rPr>
        <w:t>אלו</w:t>
      </w:r>
      <w:r w:rsidRPr="002D48E4">
        <w:rPr>
          <w:rFonts w:ascii="David" w:hAnsi="David"/>
          <w:rtl/>
        </w:rPr>
        <w:t xml:space="preserve"> </w:t>
      </w:r>
      <w:r w:rsidRPr="002D48E4">
        <w:rPr>
          <w:rFonts w:ascii="David" w:hAnsi="David" w:hint="eastAsia"/>
          <w:rtl/>
        </w:rPr>
        <w:t>שמגדלים</w:t>
      </w:r>
      <w:r w:rsidRPr="002D48E4">
        <w:rPr>
          <w:rFonts w:ascii="David" w:hAnsi="David"/>
          <w:rtl/>
        </w:rPr>
        <w:t xml:space="preserve"> </w:t>
      </w:r>
      <w:r w:rsidRPr="002D48E4">
        <w:rPr>
          <w:rFonts w:ascii="David" w:hAnsi="David" w:hint="eastAsia"/>
          <w:rtl/>
        </w:rPr>
        <w:t>סמים</w:t>
      </w:r>
      <w:r w:rsidRPr="002D48E4">
        <w:rPr>
          <w:rFonts w:ascii="David" w:hAnsi="David"/>
          <w:rtl/>
        </w:rPr>
        <w:t xml:space="preserve"> (</w:t>
      </w:r>
      <w:r w:rsidRPr="002D48E4">
        <w:rPr>
          <w:rFonts w:ascii="David" w:hAnsi="David" w:hint="eastAsia"/>
          <w:rtl/>
        </w:rPr>
        <w:t>ראה</w:t>
      </w:r>
      <w:r w:rsidRPr="002D48E4">
        <w:rPr>
          <w:rFonts w:ascii="David" w:hAnsi="David"/>
          <w:rtl/>
        </w:rPr>
        <w:t xml:space="preserve">: </w:t>
      </w:r>
      <w:hyperlink r:id="rId36" w:history="1">
        <w:r w:rsidR="00E31F7B" w:rsidRPr="00E31F7B">
          <w:rPr>
            <w:rStyle w:val="Hyperlink"/>
            <w:rFonts w:ascii="David" w:hAnsi="David"/>
            <w:rtl/>
          </w:rPr>
          <w:t>ע"פ 11220/03</w:t>
        </w:r>
      </w:hyperlink>
      <w:r w:rsidRPr="002D48E4">
        <w:rPr>
          <w:rFonts w:ascii="David" w:hAnsi="David"/>
          <w:rtl/>
        </w:rPr>
        <w:t xml:space="preserve"> </w:t>
      </w:r>
      <w:r w:rsidRPr="002D48E4">
        <w:rPr>
          <w:rFonts w:ascii="David" w:hAnsi="David" w:hint="eastAsia"/>
          <w:b/>
          <w:bCs/>
          <w:rtl/>
        </w:rPr>
        <w:t>פלוני</w:t>
      </w:r>
      <w:r w:rsidRPr="002D48E4">
        <w:rPr>
          <w:rFonts w:ascii="David" w:hAnsi="David"/>
          <w:b/>
          <w:bCs/>
          <w:rtl/>
        </w:rPr>
        <w:t xml:space="preserve"> </w:t>
      </w:r>
      <w:r w:rsidRPr="002D48E4">
        <w:rPr>
          <w:rFonts w:ascii="David" w:hAnsi="David" w:hint="eastAsia"/>
          <w:b/>
          <w:bCs/>
          <w:rtl/>
        </w:rPr>
        <w:t>נ</w:t>
      </w:r>
      <w:r w:rsidRPr="002D48E4">
        <w:rPr>
          <w:rFonts w:ascii="David" w:hAnsi="David"/>
          <w:b/>
          <w:bCs/>
          <w:rtl/>
        </w:rPr>
        <w:t xml:space="preserve">' </w:t>
      </w:r>
      <w:r w:rsidRPr="002D48E4">
        <w:rPr>
          <w:rFonts w:ascii="David" w:hAnsi="David" w:hint="eastAsia"/>
          <w:b/>
          <w:bCs/>
          <w:rtl/>
        </w:rPr>
        <w:t>מדינת</w:t>
      </w:r>
      <w:r w:rsidRPr="002D48E4">
        <w:rPr>
          <w:rFonts w:ascii="David" w:hAnsi="David"/>
          <w:b/>
          <w:bCs/>
          <w:rtl/>
        </w:rPr>
        <w:t xml:space="preserve"> </w:t>
      </w:r>
      <w:r w:rsidRPr="002D48E4">
        <w:rPr>
          <w:rFonts w:ascii="David" w:hAnsi="David" w:hint="eastAsia"/>
          <w:b/>
          <w:bCs/>
          <w:rtl/>
        </w:rPr>
        <w:t>ישראל</w:t>
      </w:r>
      <w:r w:rsidRPr="002D48E4">
        <w:rPr>
          <w:rFonts w:ascii="David" w:hAnsi="David"/>
          <w:rtl/>
        </w:rPr>
        <w:t xml:space="preserve"> (6.7.05); </w:t>
      </w:r>
      <w:hyperlink r:id="rId37" w:history="1">
        <w:r w:rsidR="00E31F7B" w:rsidRPr="00E31F7B">
          <w:rPr>
            <w:rStyle w:val="Hyperlink"/>
            <w:rFonts w:ascii="David" w:hAnsi="David"/>
            <w:rtl/>
          </w:rPr>
          <w:t>ע"פ (י-ם) 1987-04-10</w:t>
        </w:r>
      </w:hyperlink>
      <w:r w:rsidRPr="002D48E4">
        <w:rPr>
          <w:rFonts w:ascii="David" w:hAnsi="David"/>
          <w:rtl/>
        </w:rPr>
        <w:t xml:space="preserve"> </w:t>
      </w:r>
      <w:r w:rsidRPr="002D48E4">
        <w:rPr>
          <w:rFonts w:ascii="David" w:hAnsi="David" w:hint="eastAsia"/>
          <w:b/>
          <w:bCs/>
          <w:rtl/>
        </w:rPr>
        <w:t>מדינת</w:t>
      </w:r>
      <w:r w:rsidRPr="002D48E4">
        <w:rPr>
          <w:rFonts w:ascii="David" w:hAnsi="David"/>
          <w:b/>
          <w:bCs/>
          <w:rtl/>
        </w:rPr>
        <w:t xml:space="preserve"> </w:t>
      </w:r>
      <w:r w:rsidRPr="002D48E4">
        <w:rPr>
          <w:rFonts w:ascii="David" w:hAnsi="David" w:hint="eastAsia"/>
          <w:b/>
          <w:bCs/>
          <w:rtl/>
        </w:rPr>
        <w:t>ישראל</w:t>
      </w:r>
      <w:r w:rsidRPr="002D48E4">
        <w:rPr>
          <w:rFonts w:ascii="David" w:hAnsi="David"/>
          <w:b/>
          <w:bCs/>
          <w:rtl/>
        </w:rPr>
        <w:t xml:space="preserve"> </w:t>
      </w:r>
      <w:r w:rsidRPr="002D48E4">
        <w:rPr>
          <w:rFonts w:ascii="David" w:hAnsi="David" w:hint="eastAsia"/>
          <w:b/>
          <w:bCs/>
          <w:rtl/>
        </w:rPr>
        <w:t>נ</w:t>
      </w:r>
      <w:r w:rsidRPr="002D48E4">
        <w:rPr>
          <w:rFonts w:ascii="David" w:hAnsi="David"/>
          <w:b/>
          <w:bCs/>
          <w:rtl/>
        </w:rPr>
        <w:t xml:space="preserve">' </w:t>
      </w:r>
      <w:r w:rsidRPr="002D48E4">
        <w:rPr>
          <w:rFonts w:ascii="David" w:hAnsi="David" w:hint="eastAsia"/>
          <w:b/>
          <w:bCs/>
          <w:rtl/>
        </w:rPr>
        <w:t>אלוני</w:t>
      </w:r>
      <w:r w:rsidRPr="002D48E4">
        <w:rPr>
          <w:rFonts w:ascii="David" w:hAnsi="David"/>
          <w:rtl/>
        </w:rPr>
        <w:t xml:space="preserve"> (28.6.2010) </w:t>
      </w:r>
      <w:r w:rsidRPr="002D48E4">
        <w:rPr>
          <w:rFonts w:ascii="David" w:hAnsi="David" w:hint="eastAsia"/>
          <w:rtl/>
        </w:rPr>
        <w:t>וכן</w:t>
      </w:r>
      <w:r w:rsidRPr="002D48E4">
        <w:rPr>
          <w:rFonts w:ascii="David" w:hAnsi="David"/>
          <w:rtl/>
        </w:rPr>
        <w:t xml:space="preserve"> </w:t>
      </w:r>
      <w:hyperlink r:id="rId38" w:history="1">
        <w:r w:rsidR="00E31F7B" w:rsidRPr="00E31F7B">
          <w:rPr>
            <w:rStyle w:val="Hyperlink"/>
            <w:rFonts w:ascii="David" w:hAnsi="David"/>
            <w:rtl/>
          </w:rPr>
          <w:t>עפ"ג (ת"א) 12819-11-15</w:t>
        </w:r>
      </w:hyperlink>
      <w:r w:rsidRPr="002D48E4">
        <w:rPr>
          <w:rFonts w:ascii="David" w:hAnsi="David"/>
          <w:rtl/>
        </w:rPr>
        <w:t xml:space="preserve"> </w:t>
      </w:r>
      <w:r w:rsidRPr="002D48E4">
        <w:rPr>
          <w:rFonts w:ascii="David" w:hAnsi="David" w:hint="eastAsia"/>
          <w:b/>
          <w:bCs/>
          <w:rtl/>
        </w:rPr>
        <w:t>מדינת</w:t>
      </w:r>
      <w:r w:rsidRPr="002D48E4">
        <w:rPr>
          <w:rFonts w:ascii="David" w:hAnsi="David"/>
          <w:b/>
          <w:bCs/>
          <w:rtl/>
        </w:rPr>
        <w:t xml:space="preserve"> </w:t>
      </w:r>
      <w:r w:rsidRPr="002D48E4">
        <w:rPr>
          <w:rFonts w:ascii="David" w:hAnsi="David" w:hint="eastAsia"/>
          <w:b/>
          <w:bCs/>
          <w:rtl/>
        </w:rPr>
        <w:t>ישראל</w:t>
      </w:r>
      <w:r w:rsidRPr="002D48E4">
        <w:rPr>
          <w:rFonts w:ascii="David" w:hAnsi="David"/>
          <w:b/>
          <w:bCs/>
          <w:rtl/>
        </w:rPr>
        <w:t xml:space="preserve"> </w:t>
      </w:r>
      <w:r w:rsidRPr="002D48E4">
        <w:rPr>
          <w:rFonts w:ascii="David" w:hAnsi="David" w:hint="eastAsia"/>
          <w:b/>
          <w:bCs/>
          <w:rtl/>
        </w:rPr>
        <w:t>נ</w:t>
      </w:r>
      <w:r w:rsidRPr="002D48E4">
        <w:rPr>
          <w:rFonts w:ascii="David" w:hAnsi="David"/>
          <w:b/>
          <w:bCs/>
          <w:rtl/>
        </w:rPr>
        <w:t xml:space="preserve">' </w:t>
      </w:r>
      <w:r w:rsidRPr="002D48E4">
        <w:rPr>
          <w:rFonts w:ascii="David" w:hAnsi="David" w:hint="eastAsia"/>
          <w:b/>
          <w:bCs/>
          <w:rtl/>
        </w:rPr>
        <w:t>בן</w:t>
      </w:r>
      <w:r w:rsidRPr="002D48E4">
        <w:rPr>
          <w:rFonts w:ascii="David" w:hAnsi="David"/>
          <w:b/>
          <w:bCs/>
          <w:rtl/>
        </w:rPr>
        <w:t xml:space="preserve"> </w:t>
      </w:r>
      <w:r w:rsidRPr="002D48E4">
        <w:rPr>
          <w:rFonts w:ascii="David" w:hAnsi="David" w:hint="eastAsia"/>
          <w:b/>
          <w:bCs/>
          <w:rtl/>
        </w:rPr>
        <w:t>צבי</w:t>
      </w:r>
      <w:r w:rsidRPr="002D48E4">
        <w:rPr>
          <w:rFonts w:ascii="David" w:hAnsi="David"/>
          <w:rtl/>
        </w:rPr>
        <w:t xml:space="preserve"> (16.12.15) </w:t>
      </w:r>
      <w:r w:rsidRPr="002D48E4">
        <w:rPr>
          <w:rFonts w:ascii="David" w:hAnsi="David" w:hint="eastAsia"/>
          <w:rtl/>
        </w:rPr>
        <w:t>שם</w:t>
      </w:r>
      <w:r w:rsidRPr="002D48E4">
        <w:rPr>
          <w:rFonts w:ascii="David" w:hAnsi="David"/>
          <w:rtl/>
        </w:rPr>
        <w:t xml:space="preserve"> </w:t>
      </w:r>
      <w:r w:rsidRPr="002D48E4">
        <w:rPr>
          <w:rFonts w:ascii="David" w:hAnsi="David" w:hint="eastAsia"/>
          <w:rtl/>
        </w:rPr>
        <w:t>נקבע</w:t>
      </w:r>
      <w:r w:rsidRPr="002D48E4">
        <w:rPr>
          <w:rFonts w:ascii="David" w:hAnsi="David"/>
          <w:rtl/>
        </w:rPr>
        <w:t xml:space="preserve"> </w:t>
      </w:r>
      <w:r w:rsidRPr="002D48E4">
        <w:rPr>
          <w:rFonts w:ascii="David" w:hAnsi="David" w:hint="eastAsia"/>
          <w:rtl/>
        </w:rPr>
        <w:t>כי</w:t>
      </w:r>
      <w:r w:rsidRPr="002D48E4">
        <w:rPr>
          <w:rFonts w:ascii="David" w:hAnsi="David"/>
          <w:rtl/>
        </w:rPr>
        <w:t>:</w:t>
      </w:r>
    </w:p>
    <w:p w14:paraId="24F76108" w14:textId="77777777" w:rsidR="00AE07AE" w:rsidRPr="002D48E4" w:rsidRDefault="00AE07AE" w:rsidP="00AE07AE">
      <w:pPr>
        <w:spacing w:line="360" w:lineRule="auto"/>
        <w:ind w:left="720"/>
        <w:jc w:val="both"/>
        <w:rPr>
          <w:b/>
          <w:bCs/>
        </w:rPr>
      </w:pPr>
    </w:p>
    <w:p w14:paraId="41522315" w14:textId="77777777" w:rsidR="00AE07AE" w:rsidRPr="002D48E4" w:rsidRDefault="00AE07AE" w:rsidP="00AE07AE">
      <w:pPr>
        <w:spacing w:line="360" w:lineRule="auto"/>
        <w:ind w:left="1440" w:right="1134"/>
        <w:jc w:val="both"/>
        <w:rPr>
          <w:rFonts w:ascii="David" w:hAnsi="David" w:cs="Miriam"/>
          <w:rtl/>
        </w:rPr>
      </w:pPr>
      <w:r w:rsidRPr="002D48E4">
        <w:rPr>
          <w:rFonts w:ascii="David" w:hAnsi="David" w:cs="Miriam"/>
          <w:rtl/>
        </w:rPr>
        <w:t>"</w:t>
      </w:r>
      <w:r w:rsidRPr="002D48E4">
        <w:rPr>
          <w:rFonts w:ascii="David" w:hAnsi="David" w:cs="Miriam" w:hint="eastAsia"/>
          <w:rtl/>
        </w:rPr>
        <w:t>לא</w:t>
      </w:r>
      <w:r w:rsidRPr="002D48E4">
        <w:rPr>
          <w:rFonts w:ascii="David" w:hAnsi="David" w:cs="Miriam"/>
          <w:rtl/>
        </w:rPr>
        <w:t xml:space="preserve"> </w:t>
      </w:r>
      <w:r w:rsidRPr="002D48E4">
        <w:rPr>
          <w:rFonts w:ascii="David" w:hAnsi="David" w:cs="Miriam" w:hint="eastAsia"/>
          <w:rtl/>
        </w:rPr>
        <w:t>בכדִי</w:t>
      </w:r>
      <w:r w:rsidRPr="002D48E4">
        <w:rPr>
          <w:rFonts w:ascii="David" w:hAnsi="David" w:cs="Miriam"/>
          <w:rtl/>
        </w:rPr>
        <w:t xml:space="preserve"> </w:t>
      </w:r>
      <w:r w:rsidRPr="002D48E4">
        <w:rPr>
          <w:rFonts w:ascii="David" w:hAnsi="David" w:cs="Miriam" w:hint="eastAsia"/>
          <w:rtl/>
        </w:rPr>
        <w:t>הציב</w:t>
      </w:r>
      <w:r w:rsidRPr="002D48E4">
        <w:rPr>
          <w:rFonts w:ascii="David" w:hAnsi="David" w:cs="Miriam"/>
          <w:rtl/>
        </w:rPr>
        <w:t xml:space="preserve"> </w:t>
      </w:r>
      <w:r w:rsidRPr="002D48E4">
        <w:rPr>
          <w:rFonts w:ascii="David" w:hAnsi="David" w:cs="Miriam" w:hint="eastAsia"/>
          <w:rtl/>
        </w:rPr>
        <w:t>המחוקק</w:t>
      </w:r>
      <w:r w:rsidRPr="002D48E4">
        <w:rPr>
          <w:rFonts w:ascii="David" w:hAnsi="David" w:cs="Miriam"/>
          <w:rtl/>
        </w:rPr>
        <w:t xml:space="preserve"> </w:t>
      </w:r>
      <w:r w:rsidRPr="002D48E4">
        <w:rPr>
          <w:rFonts w:ascii="David" w:hAnsi="David" w:cs="Miriam" w:hint="eastAsia"/>
          <w:rtl/>
        </w:rPr>
        <w:t>בצדה</w:t>
      </w:r>
      <w:r w:rsidRPr="002D48E4">
        <w:rPr>
          <w:rFonts w:ascii="David" w:hAnsi="David" w:cs="Miriam"/>
          <w:rtl/>
        </w:rPr>
        <w:t xml:space="preserve"> </w:t>
      </w:r>
      <w:r w:rsidRPr="002D48E4">
        <w:rPr>
          <w:rFonts w:ascii="David" w:hAnsi="David" w:cs="Miriam" w:hint="eastAsia"/>
          <w:rtl/>
        </w:rPr>
        <w:t>של</w:t>
      </w:r>
      <w:r w:rsidRPr="002D48E4">
        <w:rPr>
          <w:rFonts w:ascii="David" w:hAnsi="David" w:cs="Miriam"/>
          <w:rtl/>
        </w:rPr>
        <w:t xml:space="preserve"> </w:t>
      </w:r>
      <w:r w:rsidRPr="002D48E4">
        <w:rPr>
          <w:rFonts w:ascii="David" w:hAnsi="David" w:cs="Miriam" w:hint="eastAsia"/>
          <w:rtl/>
        </w:rPr>
        <w:t>עברת</w:t>
      </w:r>
      <w:r w:rsidRPr="002D48E4">
        <w:rPr>
          <w:rFonts w:ascii="David" w:hAnsi="David" w:cs="Miriam"/>
          <w:rtl/>
        </w:rPr>
        <w:t xml:space="preserve"> </w:t>
      </w:r>
      <w:r w:rsidRPr="002D48E4">
        <w:rPr>
          <w:rFonts w:ascii="David" w:hAnsi="David" w:cs="Miriam" w:hint="eastAsia"/>
          <w:rtl/>
        </w:rPr>
        <w:t>גידול</w:t>
      </w:r>
      <w:r w:rsidRPr="002D48E4">
        <w:rPr>
          <w:rFonts w:ascii="David" w:hAnsi="David" w:cs="Miriam"/>
          <w:rtl/>
        </w:rPr>
        <w:t xml:space="preserve"> </w:t>
      </w:r>
      <w:r w:rsidRPr="002D48E4">
        <w:rPr>
          <w:rFonts w:ascii="David" w:hAnsi="David" w:cs="Miriam" w:hint="eastAsia"/>
          <w:rtl/>
        </w:rPr>
        <w:t>הסם</w:t>
      </w:r>
      <w:r w:rsidRPr="002D48E4">
        <w:rPr>
          <w:rFonts w:ascii="David" w:hAnsi="David" w:cs="Miriam"/>
          <w:rtl/>
        </w:rPr>
        <w:t xml:space="preserve"> </w:t>
      </w:r>
      <w:r w:rsidRPr="002D48E4">
        <w:rPr>
          <w:rFonts w:ascii="David" w:hAnsi="David" w:cs="Miriam" w:hint="eastAsia"/>
          <w:rtl/>
        </w:rPr>
        <w:t>עונש</w:t>
      </w:r>
      <w:r w:rsidRPr="002D48E4">
        <w:rPr>
          <w:rFonts w:ascii="David" w:hAnsi="David" w:cs="Miriam"/>
          <w:rtl/>
        </w:rPr>
        <w:t xml:space="preserve"> </w:t>
      </w:r>
      <w:r w:rsidRPr="002D48E4">
        <w:rPr>
          <w:rFonts w:ascii="David" w:hAnsi="David" w:cs="Miriam" w:hint="eastAsia"/>
          <w:rtl/>
        </w:rPr>
        <w:t>מקסימלי</w:t>
      </w:r>
      <w:r w:rsidRPr="002D48E4">
        <w:rPr>
          <w:rFonts w:ascii="David" w:hAnsi="David" w:cs="Miriam"/>
          <w:rtl/>
        </w:rPr>
        <w:t xml:space="preserve"> </w:t>
      </w:r>
      <w:r w:rsidRPr="002D48E4">
        <w:rPr>
          <w:rFonts w:ascii="David" w:hAnsi="David" w:cs="Miriam" w:hint="eastAsia"/>
          <w:rtl/>
        </w:rPr>
        <w:t>השווה</w:t>
      </w:r>
      <w:r w:rsidRPr="002D48E4">
        <w:rPr>
          <w:rFonts w:ascii="David" w:hAnsi="David" w:cs="Miriam"/>
          <w:rtl/>
        </w:rPr>
        <w:t xml:space="preserve"> </w:t>
      </w:r>
      <w:r w:rsidRPr="002D48E4">
        <w:rPr>
          <w:rFonts w:ascii="David" w:hAnsi="David" w:cs="Miriam" w:hint="eastAsia"/>
          <w:rtl/>
        </w:rPr>
        <w:t>לעונש</w:t>
      </w:r>
      <w:r w:rsidRPr="002D48E4">
        <w:rPr>
          <w:rFonts w:ascii="David" w:hAnsi="David" w:cs="Miriam"/>
          <w:rtl/>
        </w:rPr>
        <w:t xml:space="preserve"> </w:t>
      </w:r>
      <w:r w:rsidRPr="002D48E4">
        <w:rPr>
          <w:rFonts w:ascii="David" w:hAnsi="David" w:cs="Miriam" w:hint="eastAsia"/>
          <w:rtl/>
        </w:rPr>
        <w:t>שמוטל</w:t>
      </w:r>
      <w:r w:rsidRPr="002D48E4">
        <w:rPr>
          <w:rFonts w:ascii="David" w:hAnsi="David" w:cs="Miriam"/>
          <w:rtl/>
        </w:rPr>
        <w:t xml:space="preserve"> </w:t>
      </w:r>
      <w:r w:rsidRPr="002D48E4">
        <w:rPr>
          <w:rFonts w:ascii="David" w:hAnsi="David" w:cs="Miriam" w:hint="eastAsia"/>
          <w:rtl/>
        </w:rPr>
        <w:t>על</w:t>
      </w:r>
      <w:r w:rsidRPr="002D48E4">
        <w:rPr>
          <w:rFonts w:ascii="David" w:hAnsi="David" w:cs="Miriam"/>
          <w:rtl/>
        </w:rPr>
        <w:t xml:space="preserve"> </w:t>
      </w:r>
      <w:r w:rsidRPr="002D48E4">
        <w:rPr>
          <w:rFonts w:ascii="David" w:hAnsi="David" w:cs="Miriam" w:hint="eastAsia"/>
          <w:rtl/>
        </w:rPr>
        <w:t>הפצת</w:t>
      </w:r>
      <w:r w:rsidRPr="002D48E4">
        <w:rPr>
          <w:rFonts w:ascii="David" w:hAnsi="David" w:cs="Miriam"/>
          <w:rtl/>
        </w:rPr>
        <w:t xml:space="preserve"> </w:t>
      </w:r>
      <w:r w:rsidRPr="002D48E4">
        <w:rPr>
          <w:rFonts w:ascii="David" w:hAnsi="David" w:cs="Miriam" w:hint="eastAsia"/>
          <w:rtl/>
        </w:rPr>
        <w:t>סם</w:t>
      </w:r>
      <w:r w:rsidRPr="002D48E4">
        <w:rPr>
          <w:rFonts w:ascii="David" w:hAnsi="David" w:cs="Miriam"/>
          <w:rtl/>
        </w:rPr>
        <w:t xml:space="preserve"> </w:t>
      </w:r>
      <w:r w:rsidRPr="002D48E4">
        <w:rPr>
          <w:rFonts w:ascii="David" w:hAnsi="David" w:cs="Miriam" w:hint="eastAsia"/>
          <w:rtl/>
        </w:rPr>
        <w:t>וסחר</w:t>
      </w:r>
      <w:r w:rsidRPr="002D48E4">
        <w:rPr>
          <w:rFonts w:ascii="David" w:hAnsi="David" w:cs="Miriam"/>
          <w:rtl/>
        </w:rPr>
        <w:t xml:space="preserve"> </w:t>
      </w:r>
      <w:r w:rsidRPr="002D48E4">
        <w:rPr>
          <w:rFonts w:ascii="David" w:hAnsi="David" w:cs="Miriam" w:hint="eastAsia"/>
          <w:rtl/>
        </w:rPr>
        <w:t>בסמים</w:t>
      </w:r>
      <w:r w:rsidRPr="002D48E4">
        <w:rPr>
          <w:rFonts w:ascii="David" w:hAnsi="David" w:cs="Miriam"/>
          <w:rtl/>
        </w:rPr>
        <w:t xml:space="preserve">. </w:t>
      </w:r>
      <w:r w:rsidRPr="002D48E4">
        <w:rPr>
          <w:rFonts w:ascii="David" w:hAnsi="David" w:cs="Miriam" w:hint="eastAsia"/>
          <w:rtl/>
        </w:rPr>
        <w:t>יש</w:t>
      </w:r>
      <w:r w:rsidRPr="002D48E4">
        <w:rPr>
          <w:rFonts w:ascii="David" w:hAnsi="David" w:cs="Miriam"/>
          <w:rtl/>
        </w:rPr>
        <w:t xml:space="preserve"> </w:t>
      </w:r>
      <w:r w:rsidRPr="002D48E4">
        <w:rPr>
          <w:rFonts w:ascii="David" w:hAnsi="David" w:cs="Miriam" w:hint="eastAsia"/>
          <w:rtl/>
        </w:rPr>
        <w:t>בכך</w:t>
      </w:r>
      <w:r w:rsidRPr="002D48E4">
        <w:rPr>
          <w:rFonts w:ascii="David" w:hAnsi="David" w:cs="Miriam"/>
          <w:rtl/>
        </w:rPr>
        <w:t xml:space="preserve"> </w:t>
      </w:r>
      <w:r w:rsidRPr="002D48E4">
        <w:rPr>
          <w:rFonts w:ascii="David" w:hAnsi="David" w:cs="Miriam" w:hint="eastAsia"/>
          <w:rtl/>
        </w:rPr>
        <w:t>אמירה</w:t>
      </w:r>
      <w:r w:rsidRPr="002D48E4">
        <w:rPr>
          <w:rFonts w:ascii="David" w:hAnsi="David" w:cs="Miriam"/>
          <w:rtl/>
        </w:rPr>
        <w:t xml:space="preserve"> </w:t>
      </w:r>
      <w:r w:rsidRPr="002D48E4">
        <w:rPr>
          <w:rFonts w:ascii="David" w:hAnsi="David" w:cs="Miriam" w:hint="eastAsia"/>
          <w:rtl/>
        </w:rPr>
        <w:t>נורמטיבית</w:t>
      </w:r>
      <w:r w:rsidRPr="002D48E4">
        <w:rPr>
          <w:rFonts w:ascii="David" w:hAnsi="David" w:cs="Miriam"/>
          <w:rtl/>
        </w:rPr>
        <w:t xml:space="preserve"> </w:t>
      </w:r>
      <w:r w:rsidRPr="002D48E4">
        <w:rPr>
          <w:rFonts w:ascii="David" w:hAnsi="David" w:cs="Miriam" w:hint="eastAsia"/>
          <w:rtl/>
        </w:rPr>
        <w:t>לצד</w:t>
      </w:r>
      <w:r w:rsidRPr="002D48E4">
        <w:rPr>
          <w:rFonts w:ascii="David" w:hAnsi="David" w:cs="Miriam"/>
          <w:rtl/>
        </w:rPr>
        <w:t xml:space="preserve"> </w:t>
      </w:r>
      <w:r w:rsidRPr="002D48E4">
        <w:rPr>
          <w:rFonts w:ascii="David" w:hAnsi="David" w:cs="Miriam" w:hint="eastAsia"/>
          <w:rtl/>
        </w:rPr>
        <w:t>אמירה</w:t>
      </w:r>
      <w:r w:rsidRPr="002D48E4">
        <w:rPr>
          <w:rFonts w:ascii="David" w:hAnsi="David" w:cs="Miriam"/>
          <w:rtl/>
        </w:rPr>
        <w:t xml:space="preserve"> </w:t>
      </w:r>
      <w:r w:rsidRPr="002D48E4">
        <w:rPr>
          <w:rFonts w:ascii="David" w:hAnsi="David" w:cs="Miriam" w:hint="eastAsia"/>
          <w:rtl/>
        </w:rPr>
        <w:t>אופרטיבית</w:t>
      </w:r>
      <w:r w:rsidRPr="002D48E4">
        <w:rPr>
          <w:rFonts w:ascii="David" w:hAnsi="David" w:cs="Miriam"/>
          <w:rtl/>
        </w:rPr>
        <w:t xml:space="preserve">. </w:t>
      </w:r>
      <w:r w:rsidRPr="002D48E4">
        <w:rPr>
          <w:rFonts w:ascii="David" w:hAnsi="David" w:cs="Miriam" w:hint="eastAsia"/>
          <w:rtl/>
        </w:rPr>
        <w:t>מידת</w:t>
      </w:r>
      <w:r w:rsidRPr="002D48E4">
        <w:rPr>
          <w:rFonts w:ascii="David" w:hAnsi="David" w:cs="Miriam"/>
          <w:rtl/>
        </w:rPr>
        <w:t xml:space="preserve"> </w:t>
      </w:r>
      <w:r w:rsidRPr="002D48E4">
        <w:rPr>
          <w:rFonts w:ascii="David" w:hAnsi="David" w:cs="Miriam" w:hint="eastAsia"/>
          <w:rtl/>
        </w:rPr>
        <w:t>החומרה</w:t>
      </w:r>
      <w:r w:rsidRPr="002D48E4">
        <w:rPr>
          <w:rFonts w:ascii="David" w:hAnsi="David" w:cs="Miriam"/>
          <w:rtl/>
        </w:rPr>
        <w:t xml:space="preserve"> </w:t>
      </w:r>
      <w:r w:rsidRPr="002D48E4">
        <w:rPr>
          <w:rFonts w:ascii="David" w:hAnsi="David" w:cs="Miriam" w:hint="eastAsia"/>
          <w:rtl/>
        </w:rPr>
        <w:t>שבגידול</w:t>
      </w:r>
      <w:r w:rsidRPr="002D48E4">
        <w:rPr>
          <w:rFonts w:ascii="David" w:hAnsi="David" w:cs="Miriam"/>
          <w:rtl/>
        </w:rPr>
        <w:t xml:space="preserve"> </w:t>
      </w:r>
      <w:r w:rsidRPr="002D48E4">
        <w:rPr>
          <w:rFonts w:ascii="David" w:hAnsi="David" w:cs="Miriam" w:hint="eastAsia"/>
          <w:rtl/>
        </w:rPr>
        <w:t>סם</w:t>
      </w:r>
      <w:r w:rsidRPr="002D48E4">
        <w:rPr>
          <w:rFonts w:ascii="David" w:hAnsi="David" w:cs="Miriam"/>
          <w:rtl/>
        </w:rPr>
        <w:t xml:space="preserve"> </w:t>
      </w:r>
      <w:r w:rsidRPr="002D48E4">
        <w:rPr>
          <w:rFonts w:ascii="David" w:hAnsi="David" w:cs="Miriam" w:hint="eastAsia"/>
          <w:rtl/>
        </w:rPr>
        <w:t>איננה</w:t>
      </w:r>
      <w:r w:rsidRPr="002D48E4">
        <w:rPr>
          <w:rFonts w:ascii="David" w:hAnsi="David" w:cs="Miriam"/>
          <w:rtl/>
        </w:rPr>
        <w:t xml:space="preserve"> </w:t>
      </w:r>
      <w:r w:rsidRPr="002D48E4">
        <w:rPr>
          <w:rFonts w:ascii="David" w:hAnsi="David" w:cs="Miriam" w:hint="eastAsia"/>
          <w:rtl/>
        </w:rPr>
        <w:t>נופלת</w:t>
      </w:r>
      <w:r w:rsidRPr="002D48E4">
        <w:rPr>
          <w:rFonts w:ascii="David" w:hAnsi="David" w:cs="Miriam"/>
          <w:rtl/>
        </w:rPr>
        <w:t xml:space="preserve"> </w:t>
      </w:r>
      <w:r w:rsidRPr="002D48E4">
        <w:rPr>
          <w:rFonts w:ascii="David" w:hAnsi="David" w:cs="Miriam" w:hint="eastAsia"/>
          <w:rtl/>
        </w:rPr>
        <w:t>מזו</w:t>
      </w:r>
      <w:r w:rsidRPr="002D48E4">
        <w:rPr>
          <w:rFonts w:ascii="David" w:hAnsi="David" w:cs="Miriam"/>
          <w:rtl/>
        </w:rPr>
        <w:t xml:space="preserve"> </w:t>
      </w:r>
      <w:r w:rsidRPr="002D48E4">
        <w:rPr>
          <w:rFonts w:ascii="David" w:hAnsi="David" w:cs="Miriam" w:hint="eastAsia"/>
          <w:rtl/>
        </w:rPr>
        <w:t>של</w:t>
      </w:r>
      <w:r w:rsidRPr="002D48E4">
        <w:rPr>
          <w:rFonts w:ascii="David" w:hAnsi="David" w:cs="Miriam"/>
          <w:rtl/>
        </w:rPr>
        <w:t xml:space="preserve"> </w:t>
      </w:r>
      <w:r w:rsidRPr="002D48E4">
        <w:rPr>
          <w:rFonts w:ascii="David" w:hAnsi="David" w:cs="Miriam" w:hint="eastAsia"/>
          <w:rtl/>
        </w:rPr>
        <w:t>הפצת</w:t>
      </w:r>
      <w:r w:rsidRPr="002D48E4">
        <w:rPr>
          <w:rFonts w:ascii="David" w:hAnsi="David" w:cs="Miriam"/>
          <w:rtl/>
        </w:rPr>
        <w:t xml:space="preserve"> </w:t>
      </w:r>
      <w:r w:rsidRPr="002D48E4">
        <w:rPr>
          <w:rFonts w:ascii="David" w:hAnsi="David" w:cs="Miriam" w:hint="eastAsia"/>
          <w:rtl/>
        </w:rPr>
        <w:t>הסם</w:t>
      </w:r>
      <w:r w:rsidRPr="002D48E4">
        <w:rPr>
          <w:rFonts w:ascii="David" w:hAnsi="David" w:cs="Miriam"/>
          <w:rtl/>
        </w:rPr>
        <w:t xml:space="preserve">. [ </w:t>
      </w:r>
      <w:r w:rsidRPr="002D48E4">
        <w:rPr>
          <w:rFonts w:ascii="David" w:hAnsi="David" w:cs="Miriam" w:hint="eastAsia"/>
          <w:rtl/>
        </w:rPr>
        <w:t>העונש</w:t>
      </w:r>
      <w:r w:rsidRPr="002D48E4">
        <w:rPr>
          <w:rFonts w:ascii="David" w:hAnsi="David" w:cs="Miriam"/>
          <w:rtl/>
        </w:rPr>
        <w:t xml:space="preserve">] </w:t>
      </w:r>
      <w:r w:rsidRPr="002D48E4">
        <w:rPr>
          <w:rFonts w:ascii="David" w:hAnsi="David" w:cs="Miriam" w:hint="eastAsia"/>
          <w:rtl/>
        </w:rPr>
        <w:t>צריך</w:t>
      </w:r>
      <w:r w:rsidRPr="002D48E4">
        <w:rPr>
          <w:rFonts w:ascii="David" w:hAnsi="David" w:cs="Miriam"/>
          <w:rtl/>
        </w:rPr>
        <w:t xml:space="preserve"> </w:t>
      </w:r>
      <w:r w:rsidRPr="002D48E4">
        <w:rPr>
          <w:rFonts w:ascii="David" w:hAnsi="David" w:cs="Miriam" w:hint="eastAsia"/>
          <w:rtl/>
        </w:rPr>
        <w:t>לעמוד</w:t>
      </w:r>
      <w:r w:rsidRPr="002D48E4">
        <w:rPr>
          <w:rFonts w:ascii="David" w:hAnsi="David" w:cs="Miriam"/>
          <w:rtl/>
        </w:rPr>
        <w:t xml:space="preserve"> </w:t>
      </w:r>
      <w:r w:rsidRPr="002D48E4">
        <w:rPr>
          <w:rFonts w:ascii="David" w:hAnsi="David" w:cs="Miriam" w:hint="eastAsia"/>
          <w:rtl/>
        </w:rPr>
        <w:t>על</w:t>
      </w:r>
      <w:r w:rsidRPr="002D48E4">
        <w:rPr>
          <w:rFonts w:ascii="David" w:hAnsi="David" w:cs="Miriam"/>
          <w:rtl/>
        </w:rPr>
        <w:t xml:space="preserve"> </w:t>
      </w:r>
      <w:r w:rsidRPr="002D48E4">
        <w:rPr>
          <w:rFonts w:ascii="David" w:hAnsi="David" w:cs="Miriam" w:hint="eastAsia"/>
          <w:rtl/>
        </w:rPr>
        <w:t>תקופה</w:t>
      </w:r>
      <w:r w:rsidRPr="002D48E4">
        <w:rPr>
          <w:rFonts w:ascii="David" w:hAnsi="David" w:cs="Miriam"/>
          <w:rtl/>
        </w:rPr>
        <w:t xml:space="preserve"> </w:t>
      </w:r>
      <w:r w:rsidRPr="002D48E4">
        <w:rPr>
          <w:rFonts w:ascii="David" w:hAnsi="David" w:cs="Miriam" w:hint="eastAsia"/>
          <w:rtl/>
        </w:rPr>
        <w:t>שתחילתה</w:t>
      </w:r>
      <w:r w:rsidRPr="002D48E4">
        <w:rPr>
          <w:rFonts w:ascii="David" w:hAnsi="David" w:cs="Miriam"/>
          <w:rtl/>
        </w:rPr>
        <w:t xml:space="preserve"> </w:t>
      </w:r>
      <w:r w:rsidRPr="002D48E4">
        <w:rPr>
          <w:rFonts w:ascii="David" w:hAnsi="David" w:cs="Miriam" w:hint="eastAsia"/>
          <w:rtl/>
        </w:rPr>
        <w:t>במאסר</w:t>
      </w:r>
      <w:r w:rsidRPr="002D48E4">
        <w:rPr>
          <w:rFonts w:ascii="David" w:hAnsi="David" w:cs="Miriam"/>
          <w:rtl/>
        </w:rPr>
        <w:t xml:space="preserve"> </w:t>
      </w:r>
      <w:r w:rsidRPr="002D48E4">
        <w:rPr>
          <w:rFonts w:ascii="David" w:hAnsi="David" w:cs="Miriam" w:hint="eastAsia"/>
          <w:rtl/>
        </w:rPr>
        <w:t>שיינשא</w:t>
      </w:r>
      <w:r w:rsidRPr="002D48E4">
        <w:rPr>
          <w:rFonts w:ascii="David" w:hAnsi="David" w:cs="Miriam"/>
          <w:rtl/>
        </w:rPr>
        <w:t xml:space="preserve"> </w:t>
      </w:r>
      <w:r w:rsidRPr="002D48E4">
        <w:rPr>
          <w:rFonts w:ascii="David" w:hAnsi="David" w:cs="Miriam" w:hint="eastAsia"/>
          <w:rtl/>
        </w:rPr>
        <w:t>מאחורי</w:t>
      </w:r>
      <w:r w:rsidRPr="002D48E4">
        <w:rPr>
          <w:rFonts w:ascii="David" w:hAnsi="David" w:cs="Miriam"/>
          <w:rtl/>
        </w:rPr>
        <w:t xml:space="preserve"> </w:t>
      </w:r>
      <w:r w:rsidRPr="002D48E4">
        <w:rPr>
          <w:rFonts w:ascii="David" w:hAnsi="David" w:cs="Miriam" w:hint="eastAsia"/>
          <w:rtl/>
        </w:rPr>
        <w:t>סורג</w:t>
      </w:r>
      <w:r w:rsidRPr="002D48E4">
        <w:rPr>
          <w:rFonts w:ascii="David" w:hAnsi="David" w:cs="Miriam"/>
          <w:rtl/>
        </w:rPr>
        <w:t xml:space="preserve"> </w:t>
      </w:r>
      <w:r w:rsidRPr="002D48E4">
        <w:rPr>
          <w:rFonts w:ascii="David" w:hAnsi="David" w:cs="Miriam" w:hint="eastAsia"/>
          <w:rtl/>
        </w:rPr>
        <w:t>ובריח</w:t>
      </w:r>
      <w:r w:rsidRPr="002D48E4">
        <w:rPr>
          <w:rFonts w:ascii="David" w:hAnsi="David" w:cs="Miriam"/>
          <w:rtl/>
        </w:rPr>
        <w:t xml:space="preserve"> </w:t>
      </w:r>
      <w:r w:rsidRPr="002D48E4">
        <w:rPr>
          <w:rFonts w:ascii="David" w:hAnsi="David" w:cs="Miriam" w:hint="eastAsia"/>
          <w:rtl/>
        </w:rPr>
        <w:t>ולא</w:t>
      </w:r>
      <w:r w:rsidRPr="002D48E4">
        <w:rPr>
          <w:rFonts w:ascii="David" w:hAnsi="David" w:cs="Miriam"/>
          <w:rtl/>
        </w:rPr>
        <w:t xml:space="preserve"> </w:t>
      </w:r>
      <w:r w:rsidRPr="002D48E4">
        <w:rPr>
          <w:rFonts w:ascii="David" w:hAnsi="David" w:cs="Miriam" w:hint="eastAsia"/>
          <w:rtl/>
        </w:rPr>
        <w:t>במאסר</w:t>
      </w:r>
      <w:r w:rsidRPr="002D48E4">
        <w:rPr>
          <w:rFonts w:ascii="David" w:hAnsi="David" w:cs="Miriam"/>
          <w:rtl/>
        </w:rPr>
        <w:t xml:space="preserve"> </w:t>
      </w:r>
      <w:r w:rsidRPr="002D48E4">
        <w:rPr>
          <w:rFonts w:ascii="David" w:hAnsi="David" w:cs="Miriam" w:hint="eastAsia"/>
          <w:rtl/>
        </w:rPr>
        <w:t>שיינשא</w:t>
      </w:r>
      <w:r w:rsidRPr="002D48E4">
        <w:rPr>
          <w:rFonts w:ascii="David" w:hAnsi="David" w:cs="Miriam"/>
          <w:rtl/>
        </w:rPr>
        <w:t xml:space="preserve"> </w:t>
      </w:r>
      <w:r w:rsidRPr="002D48E4">
        <w:rPr>
          <w:rFonts w:ascii="David" w:hAnsi="David" w:cs="Miriam" w:hint="eastAsia"/>
          <w:rtl/>
        </w:rPr>
        <w:t>בעבודות</w:t>
      </w:r>
      <w:r w:rsidRPr="002D48E4">
        <w:rPr>
          <w:rFonts w:ascii="David" w:hAnsi="David" w:cs="Miriam"/>
          <w:rtl/>
        </w:rPr>
        <w:t xml:space="preserve"> </w:t>
      </w:r>
      <w:r w:rsidRPr="002D48E4">
        <w:rPr>
          <w:rFonts w:ascii="David" w:hAnsi="David" w:cs="Miriam" w:hint="eastAsia"/>
          <w:rtl/>
        </w:rPr>
        <w:t>שירות</w:t>
      </w:r>
      <w:r w:rsidRPr="002D48E4">
        <w:rPr>
          <w:rFonts w:ascii="David" w:hAnsi="David" w:cs="Miriam"/>
          <w:rtl/>
        </w:rPr>
        <w:t>".</w:t>
      </w:r>
    </w:p>
    <w:p w14:paraId="0718B8CB" w14:textId="77777777" w:rsidR="00AE07AE" w:rsidRDefault="00AE07AE" w:rsidP="00AE07AE">
      <w:pPr>
        <w:spacing w:line="360" w:lineRule="auto"/>
        <w:contextualSpacing/>
        <w:rPr>
          <w:rtl/>
        </w:rPr>
      </w:pPr>
    </w:p>
    <w:p w14:paraId="5A760741" w14:textId="77777777" w:rsidR="00AE07AE" w:rsidRPr="002D48E4" w:rsidRDefault="00AE07AE" w:rsidP="00AE07AE">
      <w:pPr>
        <w:spacing w:line="360" w:lineRule="auto"/>
        <w:ind w:left="720"/>
        <w:contextualSpacing/>
        <w:rPr>
          <w:b/>
          <w:bCs/>
          <w:rtl/>
        </w:rPr>
      </w:pPr>
      <w:r w:rsidRPr="002D48E4">
        <w:rPr>
          <w:rtl/>
        </w:rPr>
        <w:t xml:space="preserve">לצורך בחינת מדיניות הענישה הנוהגת במקרים דומים, ניתן להפנות לפסקי הדין הבאים: </w:t>
      </w:r>
    </w:p>
    <w:p w14:paraId="7D013BB3" w14:textId="77777777" w:rsidR="00AE07AE" w:rsidRDefault="00AE07AE" w:rsidP="00AE07AE">
      <w:pPr>
        <w:spacing w:line="360" w:lineRule="auto"/>
        <w:jc w:val="both"/>
        <w:rPr>
          <w:rFonts w:ascii="David" w:hAnsi="David"/>
          <w:rtl/>
        </w:rPr>
      </w:pPr>
    </w:p>
    <w:p w14:paraId="335C423B" w14:textId="77777777" w:rsidR="00AE07AE" w:rsidRDefault="00E31F7B" w:rsidP="00AE07AE">
      <w:pPr>
        <w:spacing w:line="360" w:lineRule="auto"/>
        <w:ind w:left="720"/>
        <w:jc w:val="both"/>
        <w:rPr>
          <w:rFonts w:ascii="David" w:hAnsi="David"/>
          <w:rtl/>
        </w:rPr>
      </w:pPr>
      <w:hyperlink r:id="rId39" w:history="1">
        <w:r w:rsidRPr="00E31F7B">
          <w:rPr>
            <w:rStyle w:val="Hyperlink"/>
            <w:rFonts w:ascii="David" w:hAnsi="David"/>
            <w:rtl/>
          </w:rPr>
          <w:t>רע"פ 6987/13</w:t>
        </w:r>
      </w:hyperlink>
      <w:r w:rsidR="00AE07AE" w:rsidRPr="002D48E4">
        <w:rPr>
          <w:rFonts w:ascii="David" w:hAnsi="David"/>
          <w:rtl/>
        </w:rPr>
        <w:t xml:space="preserve"> </w:t>
      </w:r>
      <w:r w:rsidR="00AE07AE" w:rsidRPr="002D48E4">
        <w:rPr>
          <w:rFonts w:ascii="David" w:hAnsi="David" w:hint="eastAsia"/>
          <w:b/>
          <w:bCs/>
          <w:rtl/>
        </w:rPr>
        <w:t>אברמוב</w:t>
      </w:r>
      <w:r w:rsidR="00AE07AE" w:rsidRPr="002D48E4">
        <w:rPr>
          <w:rFonts w:ascii="David" w:hAnsi="David"/>
          <w:b/>
          <w:bCs/>
          <w:rtl/>
        </w:rPr>
        <w:t xml:space="preserve"> </w:t>
      </w:r>
      <w:r w:rsidR="00AE07AE" w:rsidRPr="002D48E4">
        <w:rPr>
          <w:rFonts w:ascii="David" w:hAnsi="David" w:hint="eastAsia"/>
          <w:b/>
          <w:bCs/>
          <w:rtl/>
        </w:rPr>
        <w:t>נ</w:t>
      </w:r>
      <w:r w:rsidR="00AE07AE" w:rsidRPr="002D48E4">
        <w:rPr>
          <w:rFonts w:ascii="David" w:hAnsi="David"/>
          <w:b/>
          <w:bCs/>
          <w:rtl/>
        </w:rPr>
        <w:t xml:space="preserve">' </w:t>
      </w:r>
      <w:r w:rsidR="00AE07AE" w:rsidRPr="002D48E4">
        <w:rPr>
          <w:rFonts w:ascii="David" w:hAnsi="David" w:hint="eastAsia"/>
          <w:b/>
          <w:bCs/>
          <w:rtl/>
        </w:rPr>
        <w:t>מדינת</w:t>
      </w:r>
      <w:r w:rsidR="00AE07AE" w:rsidRPr="002D48E4">
        <w:rPr>
          <w:rFonts w:ascii="David" w:hAnsi="David"/>
          <w:b/>
          <w:bCs/>
          <w:rtl/>
        </w:rPr>
        <w:t xml:space="preserve"> </w:t>
      </w:r>
      <w:r w:rsidR="00AE07AE" w:rsidRPr="002D48E4">
        <w:rPr>
          <w:rFonts w:ascii="David" w:hAnsi="David" w:hint="eastAsia"/>
          <w:b/>
          <w:bCs/>
          <w:rtl/>
        </w:rPr>
        <w:t>ישראל</w:t>
      </w:r>
      <w:r w:rsidR="00AE07AE" w:rsidRPr="002D48E4">
        <w:rPr>
          <w:rFonts w:ascii="David" w:hAnsi="David"/>
          <w:rtl/>
        </w:rPr>
        <w:t xml:space="preserve"> (21.10.13), </w:t>
      </w:r>
      <w:r w:rsidR="00AE07AE" w:rsidRPr="002D48E4">
        <w:rPr>
          <w:rFonts w:ascii="David" w:hAnsi="David" w:hint="eastAsia"/>
          <w:rtl/>
        </w:rPr>
        <w:t>בו</w:t>
      </w:r>
      <w:r w:rsidR="00AE07AE" w:rsidRPr="002D48E4">
        <w:rPr>
          <w:rFonts w:ascii="David" w:hAnsi="David"/>
          <w:rtl/>
        </w:rPr>
        <w:t xml:space="preserve"> </w:t>
      </w:r>
      <w:r w:rsidR="00AE07AE" w:rsidRPr="002D48E4">
        <w:rPr>
          <w:rFonts w:ascii="David" w:hAnsi="David" w:hint="eastAsia"/>
          <w:rtl/>
        </w:rPr>
        <w:t>הוטלו</w:t>
      </w:r>
      <w:r w:rsidR="00AE07AE" w:rsidRPr="002D48E4">
        <w:rPr>
          <w:rFonts w:ascii="David" w:hAnsi="David"/>
          <w:rtl/>
        </w:rPr>
        <w:t xml:space="preserve"> </w:t>
      </w:r>
      <w:r w:rsidR="00AE07AE" w:rsidRPr="002D48E4">
        <w:rPr>
          <w:rFonts w:ascii="David" w:hAnsi="David" w:hint="eastAsia"/>
          <w:rtl/>
        </w:rPr>
        <w:t>על</w:t>
      </w:r>
      <w:r w:rsidR="00AE07AE" w:rsidRPr="002D48E4">
        <w:rPr>
          <w:rFonts w:ascii="David" w:hAnsi="David"/>
          <w:rtl/>
        </w:rPr>
        <w:t xml:space="preserve"> </w:t>
      </w:r>
      <w:r w:rsidR="00AE07AE" w:rsidRPr="002D48E4">
        <w:rPr>
          <w:rFonts w:ascii="David" w:hAnsi="David" w:hint="eastAsia"/>
          <w:rtl/>
        </w:rPr>
        <w:t>הנאשם</w:t>
      </w:r>
      <w:r w:rsidR="00AE07AE" w:rsidRPr="002D48E4">
        <w:rPr>
          <w:rFonts w:ascii="David" w:hAnsi="David"/>
          <w:rtl/>
        </w:rPr>
        <w:t xml:space="preserve"> 12 </w:t>
      </w:r>
      <w:r w:rsidR="00AE07AE" w:rsidRPr="002D48E4">
        <w:rPr>
          <w:rFonts w:ascii="David" w:hAnsi="David" w:hint="eastAsia"/>
          <w:rtl/>
        </w:rPr>
        <w:t>חודשי</w:t>
      </w:r>
      <w:r w:rsidR="00AE07AE" w:rsidRPr="002D48E4">
        <w:rPr>
          <w:rFonts w:ascii="David" w:hAnsi="David"/>
          <w:rtl/>
        </w:rPr>
        <w:t xml:space="preserve"> </w:t>
      </w:r>
      <w:r w:rsidR="00AE07AE" w:rsidRPr="002D48E4">
        <w:rPr>
          <w:rFonts w:ascii="David" w:hAnsi="David" w:hint="eastAsia"/>
          <w:rtl/>
        </w:rPr>
        <w:t>מאסר</w:t>
      </w:r>
      <w:r w:rsidR="00AE07AE" w:rsidRPr="002D48E4">
        <w:rPr>
          <w:rFonts w:ascii="David" w:hAnsi="David"/>
          <w:rtl/>
        </w:rPr>
        <w:t xml:space="preserve"> </w:t>
      </w:r>
      <w:r w:rsidR="00AE07AE" w:rsidRPr="002D48E4">
        <w:rPr>
          <w:rFonts w:ascii="David" w:hAnsi="David" w:hint="eastAsia"/>
          <w:rtl/>
        </w:rPr>
        <w:t>בפועל</w:t>
      </w:r>
      <w:r w:rsidR="00AE07AE" w:rsidRPr="002D48E4">
        <w:rPr>
          <w:rFonts w:ascii="David" w:hAnsi="David"/>
          <w:rtl/>
        </w:rPr>
        <w:t xml:space="preserve"> </w:t>
      </w:r>
      <w:r w:rsidR="00AE07AE" w:rsidRPr="002D48E4">
        <w:rPr>
          <w:rFonts w:ascii="David" w:hAnsi="David" w:hint="eastAsia"/>
          <w:rtl/>
        </w:rPr>
        <w:t>בשל</w:t>
      </w:r>
      <w:r w:rsidR="00AE07AE" w:rsidRPr="002D48E4">
        <w:rPr>
          <w:rFonts w:ascii="David" w:hAnsi="David"/>
          <w:rtl/>
        </w:rPr>
        <w:t xml:space="preserve"> </w:t>
      </w:r>
      <w:r w:rsidR="00AE07AE" w:rsidRPr="002D48E4">
        <w:rPr>
          <w:rFonts w:ascii="David" w:hAnsi="David" w:hint="eastAsia"/>
          <w:rtl/>
        </w:rPr>
        <w:t>גידול</w:t>
      </w:r>
      <w:r w:rsidR="00AE07AE" w:rsidRPr="002D48E4">
        <w:rPr>
          <w:rFonts w:ascii="David" w:hAnsi="David"/>
          <w:rtl/>
        </w:rPr>
        <w:t xml:space="preserve">  </w:t>
      </w:r>
      <w:r w:rsidR="00AE07AE" w:rsidRPr="002D48E4">
        <w:rPr>
          <w:rFonts w:ascii="David" w:hAnsi="David" w:hint="eastAsia"/>
          <w:rtl/>
        </w:rPr>
        <w:t>סם</w:t>
      </w:r>
      <w:r w:rsidR="00AE07AE" w:rsidRPr="002D48E4">
        <w:rPr>
          <w:rFonts w:ascii="David" w:hAnsi="David"/>
          <w:rtl/>
        </w:rPr>
        <w:t xml:space="preserve"> </w:t>
      </w:r>
      <w:r w:rsidR="00AE07AE" w:rsidRPr="002D48E4">
        <w:rPr>
          <w:rFonts w:ascii="David" w:hAnsi="David" w:hint="eastAsia"/>
          <w:rtl/>
        </w:rPr>
        <w:t>מסוג</w:t>
      </w:r>
      <w:r w:rsidR="00AE07AE" w:rsidRPr="002D48E4">
        <w:rPr>
          <w:rFonts w:ascii="David" w:hAnsi="David"/>
          <w:rtl/>
        </w:rPr>
        <w:t xml:space="preserve"> </w:t>
      </w:r>
      <w:r w:rsidR="00AE07AE" w:rsidRPr="002D48E4">
        <w:rPr>
          <w:rFonts w:ascii="David" w:hAnsi="David" w:hint="eastAsia"/>
          <w:rtl/>
        </w:rPr>
        <w:t>קנביס</w:t>
      </w:r>
      <w:r w:rsidR="00AE07AE" w:rsidRPr="002D48E4">
        <w:rPr>
          <w:rFonts w:ascii="David" w:hAnsi="David"/>
          <w:rtl/>
        </w:rPr>
        <w:t xml:space="preserve"> </w:t>
      </w:r>
      <w:r w:rsidR="00AE07AE" w:rsidRPr="002D48E4">
        <w:rPr>
          <w:rFonts w:ascii="David" w:hAnsi="David" w:hint="eastAsia"/>
          <w:rtl/>
        </w:rPr>
        <w:t>במשקל</w:t>
      </w:r>
      <w:r w:rsidR="00AE07AE" w:rsidRPr="002D48E4">
        <w:rPr>
          <w:rFonts w:ascii="David" w:hAnsi="David"/>
          <w:rtl/>
        </w:rPr>
        <w:t xml:space="preserve"> </w:t>
      </w:r>
      <w:r w:rsidR="00AE07AE" w:rsidRPr="002D48E4">
        <w:rPr>
          <w:rFonts w:ascii="David" w:hAnsi="David" w:hint="eastAsia"/>
          <w:rtl/>
        </w:rPr>
        <w:t>כולל</w:t>
      </w:r>
      <w:r w:rsidR="00AE07AE" w:rsidRPr="002D48E4">
        <w:rPr>
          <w:rFonts w:ascii="David" w:hAnsi="David"/>
          <w:rtl/>
        </w:rPr>
        <w:t xml:space="preserve"> </w:t>
      </w:r>
      <w:r w:rsidR="00AE07AE" w:rsidRPr="002D48E4">
        <w:rPr>
          <w:rFonts w:ascii="David" w:hAnsi="David" w:hint="eastAsia"/>
          <w:rtl/>
        </w:rPr>
        <w:t>של</w:t>
      </w:r>
      <w:r w:rsidR="00AE07AE" w:rsidRPr="002D48E4">
        <w:rPr>
          <w:rFonts w:ascii="David" w:hAnsi="David"/>
          <w:rtl/>
        </w:rPr>
        <w:t xml:space="preserve"> 10 </w:t>
      </w:r>
      <w:r w:rsidR="00AE07AE" w:rsidRPr="002D48E4">
        <w:rPr>
          <w:rFonts w:ascii="David" w:hAnsi="David" w:hint="eastAsia"/>
          <w:rtl/>
        </w:rPr>
        <w:t>ק</w:t>
      </w:r>
      <w:r w:rsidR="00AE07AE" w:rsidRPr="002D48E4">
        <w:rPr>
          <w:rFonts w:ascii="David" w:hAnsi="David"/>
          <w:rtl/>
        </w:rPr>
        <w:t>"</w:t>
      </w:r>
      <w:r w:rsidR="00AE07AE" w:rsidRPr="002D48E4">
        <w:rPr>
          <w:rFonts w:ascii="David" w:hAnsi="David" w:hint="eastAsia"/>
          <w:rtl/>
        </w:rPr>
        <w:t>ג</w:t>
      </w:r>
      <w:r w:rsidR="00AE07AE" w:rsidRPr="002D48E4">
        <w:rPr>
          <w:rFonts w:ascii="David" w:hAnsi="David"/>
          <w:rtl/>
        </w:rPr>
        <w:t xml:space="preserve">.  </w:t>
      </w:r>
    </w:p>
    <w:p w14:paraId="7565A32D" w14:textId="77777777" w:rsidR="00AE07AE" w:rsidRPr="002D48E4" w:rsidRDefault="00AE07AE" w:rsidP="00AE07AE">
      <w:pPr>
        <w:spacing w:line="360" w:lineRule="auto"/>
        <w:ind w:left="720"/>
        <w:jc w:val="both"/>
        <w:rPr>
          <w:rFonts w:ascii="David" w:hAnsi="David"/>
          <w:rtl/>
        </w:rPr>
      </w:pPr>
    </w:p>
    <w:p w14:paraId="5731FC11" w14:textId="77777777" w:rsidR="00AE07AE" w:rsidRDefault="00E31F7B" w:rsidP="00AE07AE">
      <w:pPr>
        <w:spacing w:line="360" w:lineRule="auto"/>
        <w:ind w:left="720"/>
        <w:jc w:val="both"/>
        <w:rPr>
          <w:rFonts w:ascii="David" w:hAnsi="David"/>
          <w:rtl/>
        </w:rPr>
      </w:pPr>
      <w:hyperlink r:id="rId40" w:history="1">
        <w:r w:rsidRPr="00E31F7B">
          <w:rPr>
            <w:rStyle w:val="Hyperlink"/>
            <w:rFonts w:ascii="David" w:hAnsi="David"/>
            <w:rtl/>
          </w:rPr>
          <w:t>ע"פ 2194/14</w:t>
        </w:r>
      </w:hyperlink>
      <w:r w:rsidR="00AE07AE" w:rsidRPr="00DB775D">
        <w:rPr>
          <w:rFonts w:ascii="David" w:hAnsi="David"/>
          <w:rtl/>
        </w:rPr>
        <w:t xml:space="preserve">, </w:t>
      </w:r>
      <w:r w:rsidR="00AE07AE" w:rsidRPr="00DB775D">
        <w:rPr>
          <w:rFonts w:ascii="David" w:hAnsi="David"/>
          <w:b/>
          <w:bCs/>
          <w:rtl/>
        </w:rPr>
        <w:t>בן שמעון נ' מדינת ישראל</w:t>
      </w:r>
      <w:r w:rsidR="00AE07AE">
        <w:rPr>
          <w:rFonts w:ascii="David" w:hAnsi="David" w:hint="cs"/>
          <w:rtl/>
        </w:rPr>
        <w:t xml:space="preserve"> (10.9.14), בו התקבל ערעור נאשם על חומרת עונשו והועמד על 20 חודשי מאסר חלף 27 חודשי מאסר בשל שיקולי שיקום. </w:t>
      </w:r>
      <w:r w:rsidR="00AE07AE" w:rsidRPr="00DB775D">
        <w:rPr>
          <w:rFonts w:ascii="David" w:hAnsi="David"/>
          <w:rtl/>
        </w:rPr>
        <w:t xml:space="preserve"> </w:t>
      </w:r>
      <w:r w:rsidR="00AE07AE">
        <w:rPr>
          <w:rFonts w:ascii="David" w:hAnsi="David" w:hint="cs"/>
          <w:rtl/>
        </w:rPr>
        <w:t xml:space="preserve">בעניין זה הורשע הנאשם </w:t>
      </w:r>
      <w:r w:rsidR="00AE07AE" w:rsidRPr="00DB775D">
        <w:rPr>
          <w:rFonts w:ascii="David" w:hAnsi="David"/>
          <w:rtl/>
        </w:rPr>
        <w:t>בגידול קנבוס במ</w:t>
      </w:r>
      <w:r w:rsidR="00AE07AE">
        <w:rPr>
          <w:rFonts w:ascii="David" w:hAnsi="David"/>
          <w:rtl/>
        </w:rPr>
        <w:t>שקל של 33.5 ק"ג, ובעבירות נלוות</w:t>
      </w:r>
      <w:r w:rsidR="00AE07AE">
        <w:rPr>
          <w:rFonts w:ascii="David" w:hAnsi="David" w:hint="cs"/>
          <w:rtl/>
        </w:rPr>
        <w:t xml:space="preserve">. </w:t>
      </w:r>
    </w:p>
    <w:p w14:paraId="33A008CB" w14:textId="77777777" w:rsidR="00AE07AE" w:rsidRDefault="00AE07AE" w:rsidP="00AE07AE">
      <w:pPr>
        <w:spacing w:line="360" w:lineRule="auto"/>
        <w:ind w:left="720"/>
        <w:jc w:val="both"/>
        <w:rPr>
          <w:rFonts w:ascii="David" w:hAnsi="David"/>
          <w:rtl/>
        </w:rPr>
      </w:pPr>
    </w:p>
    <w:p w14:paraId="1D7E2DD0" w14:textId="77777777" w:rsidR="00AE07AE" w:rsidRDefault="00E31F7B" w:rsidP="00AE07AE">
      <w:pPr>
        <w:spacing w:line="360" w:lineRule="auto"/>
        <w:ind w:left="720"/>
        <w:jc w:val="both"/>
        <w:rPr>
          <w:rFonts w:ascii="David" w:hAnsi="David"/>
          <w:rtl/>
        </w:rPr>
      </w:pPr>
      <w:hyperlink r:id="rId41" w:history="1">
        <w:r w:rsidRPr="00E31F7B">
          <w:rPr>
            <w:rStyle w:val="Hyperlink"/>
            <w:rFonts w:ascii="David" w:hAnsi="David"/>
            <w:rtl/>
          </w:rPr>
          <w:t>עפ"ג 49714-12-13</w:t>
        </w:r>
      </w:hyperlink>
      <w:r w:rsidR="00AE07AE" w:rsidRPr="00DB775D">
        <w:rPr>
          <w:rFonts w:ascii="David" w:hAnsi="David"/>
          <w:rtl/>
        </w:rPr>
        <w:t xml:space="preserve"> </w:t>
      </w:r>
      <w:r w:rsidR="00AE07AE" w:rsidRPr="00DB775D">
        <w:rPr>
          <w:rFonts w:ascii="David" w:hAnsi="David"/>
          <w:b/>
          <w:bCs/>
          <w:rtl/>
        </w:rPr>
        <w:t>קדשני נ' מדינת ישראל</w:t>
      </w:r>
      <w:r w:rsidR="00AE07AE">
        <w:rPr>
          <w:rFonts w:ascii="David" w:hAnsi="David" w:hint="cs"/>
          <w:rtl/>
        </w:rPr>
        <w:t xml:space="preserve"> (1.5.14)</w:t>
      </w:r>
      <w:r w:rsidR="00AE07AE" w:rsidRPr="00DB775D">
        <w:rPr>
          <w:rFonts w:ascii="David" w:hAnsi="David"/>
          <w:rtl/>
        </w:rPr>
        <w:t xml:space="preserve">, </w:t>
      </w:r>
      <w:r w:rsidR="00AE07AE">
        <w:rPr>
          <w:rFonts w:ascii="David" w:hAnsi="David" w:hint="cs"/>
          <w:rtl/>
        </w:rPr>
        <w:t xml:space="preserve">בו </w:t>
      </w:r>
      <w:r w:rsidR="00AE07AE" w:rsidRPr="00DB775D">
        <w:rPr>
          <w:rFonts w:ascii="David" w:hAnsi="David"/>
          <w:rtl/>
        </w:rPr>
        <w:t xml:space="preserve">נדחה ערעור נאשם אשר הורשע בגידול קנבוס במשקל העולה על 20 ק"ג. הנאשם נידון ל-10 חודשי מאסר בפועל, חרף תסקיר חיובי </w:t>
      </w:r>
      <w:r w:rsidR="00AE07AE">
        <w:rPr>
          <w:rFonts w:ascii="David" w:hAnsi="David" w:hint="cs"/>
          <w:rtl/>
        </w:rPr>
        <w:t>והליך טיפולי חיובי ש</w:t>
      </w:r>
      <w:r w:rsidR="00AE07AE" w:rsidRPr="00DB775D">
        <w:rPr>
          <w:rFonts w:ascii="David" w:hAnsi="David"/>
          <w:rtl/>
        </w:rPr>
        <w:t>עבר.</w:t>
      </w:r>
    </w:p>
    <w:p w14:paraId="0CB044C8" w14:textId="77777777" w:rsidR="00AE07AE" w:rsidRDefault="00AE07AE" w:rsidP="00AE07AE">
      <w:pPr>
        <w:spacing w:line="360" w:lineRule="auto"/>
        <w:ind w:left="720"/>
        <w:jc w:val="both"/>
        <w:rPr>
          <w:rFonts w:ascii="David" w:hAnsi="David"/>
          <w:rtl/>
        </w:rPr>
      </w:pPr>
    </w:p>
    <w:p w14:paraId="614B5351" w14:textId="77777777" w:rsidR="00AE07AE" w:rsidRDefault="00E31F7B" w:rsidP="00AE07AE">
      <w:pPr>
        <w:spacing w:line="360" w:lineRule="auto"/>
        <w:ind w:left="720"/>
        <w:jc w:val="both"/>
        <w:rPr>
          <w:rFonts w:ascii="David" w:hAnsi="David"/>
          <w:rtl/>
        </w:rPr>
      </w:pPr>
      <w:hyperlink r:id="rId42" w:history="1">
        <w:r w:rsidRPr="00E31F7B">
          <w:rPr>
            <w:rStyle w:val="Hyperlink"/>
            <w:rFonts w:ascii="David" w:hAnsi="David"/>
            <w:rtl/>
          </w:rPr>
          <w:t>ע"פ 20712-03-13</w:t>
        </w:r>
      </w:hyperlink>
      <w:r w:rsidR="00AE07AE" w:rsidRPr="00DB775D">
        <w:rPr>
          <w:rFonts w:ascii="David" w:hAnsi="David"/>
          <w:rtl/>
        </w:rPr>
        <w:t xml:space="preserve">, </w:t>
      </w:r>
      <w:r w:rsidR="00AE07AE" w:rsidRPr="00DB775D">
        <w:rPr>
          <w:rFonts w:ascii="David" w:hAnsi="David"/>
          <w:b/>
          <w:bCs/>
          <w:rtl/>
        </w:rPr>
        <w:t>לירן בן רחמים נ' מדינת ישראל</w:t>
      </w:r>
      <w:r w:rsidR="00AE07AE">
        <w:rPr>
          <w:rFonts w:ascii="David" w:hAnsi="David" w:hint="cs"/>
          <w:rtl/>
        </w:rPr>
        <w:t xml:space="preserve"> (16.5.13),</w:t>
      </w:r>
      <w:r w:rsidR="00AE07AE" w:rsidRPr="00DB775D">
        <w:rPr>
          <w:rFonts w:ascii="David" w:hAnsi="David"/>
          <w:rtl/>
        </w:rPr>
        <w:t xml:space="preserve"> </w:t>
      </w:r>
      <w:r w:rsidR="00AE07AE">
        <w:rPr>
          <w:rFonts w:ascii="David" w:hAnsi="David" w:hint="cs"/>
          <w:rtl/>
        </w:rPr>
        <w:t xml:space="preserve">בו </w:t>
      </w:r>
      <w:r w:rsidR="00AE07AE" w:rsidRPr="00DB775D">
        <w:rPr>
          <w:rFonts w:ascii="David" w:hAnsi="David"/>
          <w:rtl/>
        </w:rPr>
        <w:t xml:space="preserve">נדחה ערעור נאשם אשר הורשע בגידול קנבוס במשקל של 20.581 ק"ג, ובעבירות נלוות, </w:t>
      </w:r>
      <w:r w:rsidR="00AE07AE">
        <w:rPr>
          <w:rFonts w:ascii="David" w:hAnsi="David"/>
          <w:rtl/>
        </w:rPr>
        <w:t xml:space="preserve">ונידון ל-11 חודשי מאסר בפועל. </w:t>
      </w:r>
      <w:r w:rsidR="00AE07AE">
        <w:rPr>
          <w:rFonts w:ascii="David" w:hAnsi="David" w:hint="cs"/>
          <w:rtl/>
        </w:rPr>
        <w:t>הנאשם במקרה זה היה צעיר ונעדר עבר פלילי.</w:t>
      </w:r>
    </w:p>
    <w:p w14:paraId="21C84024" w14:textId="77777777" w:rsidR="00AE07AE" w:rsidRPr="00DB775D" w:rsidRDefault="00AE07AE" w:rsidP="00AE07AE">
      <w:pPr>
        <w:spacing w:line="360" w:lineRule="auto"/>
        <w:ind w:left="720"/>
        <w:jc w:val="both"/>
        <w:rPr>
          <w:rFonts w:ascii="David" w:hAnsi="David"/>
          <w:rtl/>
        </w:rPr>
      </w:pPr>
    </w:p>
    <w:p w14:paraId="1A516645" w14:textId="77777777" w:rsidR="00AE07AE" w:rsidRPr="001A3B89" w:rsidRDefault="00E31F7B" w:rsidP="00AE07AE">
      <w:pPr>
        <w:spacing w:line="360" w:lineRule="auto"/>
        <w:ind w:left="720"/>
        <w:jc w:val="both"/>
        <w:rPr>
          <w:rFonts w:ascii="David" w:hAnsi="David"/>
          <w:rtl/>
        </w:rPr>
      </w:pPr>
      <w:hyperlink r:id="rId43" w:history="1">
        <w:r w:rsidRPr="00E31F7B">
          <w:rPr>
            <w:rStyle w:val="Hyperlink"/>
            <w:rFonts w:ascii="David" w:hAnsi="David"/>
            <w:rtl/>
          </w:rPr>
          <w:t>ת"פ (מח' נצ') 47406-05-12</w:t>
        </w:r>
      </w:hyperlink>
      <w:r w:rsidR="00AE07AE" w:rsidRPr="001A3B89">
        <w:rPr>
          <w:rFonts w:ascii="David" w:hAnsi="David"/>
          <w:rtl/>
        </w:rPr>
        <w:t xml:space="preserve"> </w:t>
      </w:r>
      <w:r w:rsidR="00AE07AE" w:rsidRPr="001A3B89">
        <w:rPr>
          <w:rFonts w:ascii="David" w:hAnsi="David" w:hint="eastAsia"/>
          <w:b/>
          <w:bCs/>
          <w:rtl/>
        </w:rPr>
        <w:t>מדינת</w:t>
      </w:r>
      <w:r w:rsidR="00AE07AE" w:rsidRPr="001A3B89">
        <w:rPr>
          <w:rFonts w:ascii="David" w:hAnsi="David"/>
          <w:b/>
          <w:bCs/>
          <w:rtl/>
        </w:rPr>
        <w:t xml:space="preserve"> </w:t>
      </w:r>
      <w:r w:rsidR="00AE07AE" w:rsidRPr="001A3B89">
        <w:rPr>
          <w:rFonts w:ascii="David" w:hAnsi="David" w:hint="eastAsia"/>
          <w:b/>
          <w:bCs/>
          <w:rtl/>
        </w:rPr>
        <w:t>ישראל</w:t>
      </w:r>
      <w:r w:rsidR="00AE07AE" w:rsidRPr="001A3B89">
        <w:rPr>
          <w:rFonts w:ascii="David" w:hAnsi="David"/>
          <w:b/>
          <w:bCs/>
          <w:rtl/>
        </w:rPr>
        <w:t xml:space="preserve"> </w:t>
      </w:r>
      <w:r w:rsidR="00AE07AE" w:rsidRPr="001A3B89">
        <w:rPr>
          <w:rFonts w:ascii="David" w:hAnsi="David" w:hint="eastAsia"/>
          <w:b/>
          <w:bCs/>
          <w:rtl/>
        </w:rPr>
        <w:t>נ</w:t>
      </w:r>
      <w:r w:rsidR="00AE07AE" w:rsidRPr="001A3B89">
        <w:rPr>
          <w:rFonts w:ascii="David" w:hAnsi="David"/>
          <w:b/>
          <w:bCs/>
          <w:rtl/>
        </w:rPr>
        <w:t xml:space="preserve">' </w:t>
      </w:r>
      <w:r w:rsidR="00AE07AE" w:rsidRPr="001A3B89">
        <w:rPr>
          <w:rFonts w:ascii="David" w:hAnsi="David" w:hint="eastAsia"/>
          <w:b/>
          <w:bCs/>
          <w:rtl/>
        </w:rPr>
        <w:t>קלופ</w:t>
      </w:r>
      <w:r w:rsidR="00AE07AE" w:rsidRPr="001A3B89">
        <w:rPr>
          <w:rFonts w:ascii="David" w:hAnsi="David"/>
          <w:rtl/>
        </w:rPr>
        <w:t xml:space="preserve"> (29.11.12)</w:t>
      </w:r>
      <w:r w:rsidR="00AE07AE">
        <w:rPr>
          <w:rFonts w:ascii="David" w:hAnsi="David" w:hint="cs"/>
          <w:rtl/>
        </w:rPr>
        <w:t>, בו</w:t>
      </w:r>
      <w:r w:rsidR="00AE07AE" w:rsidRPr="001A3B89">
        <w:rPr>
          <w:rFonts w:ascii="David" w:hAnsi="David"/>
          <w:rtl/>
        </w:rPr>
        <w:t xml:space="preserve"> </w:t>
      </w:r>
      <w:r w:rsidR="00AE07AE" w:rsidRPr="001A3B89">
        <w:rPr>
          <w:rFonts w:ascii="David" w:hAnsi="David" w:hint="eastAsia"/>
          <w:rtl/>
        </w:rPr>
        <w:t>נגזרו</w:t>
      </w:r>
      <w:r w:rsidR="00AE07AE" w:rsidRPr="001A3B89">
        <w:rPr>
          <w:rFonts w:ascii="David" w:hAnsi="David"/>
          <w:rtl/>
        </w:rPr>
        <w:t xml:space="preserve"> </w:t>
      </w:r>
      <w:r w:rsidR="00AE07AE" w:rsidRPr="001A3B89">
        <w:rPr>
          <w:rFonts w:ascii="David" w:hAnsi="David" w:hint="eastAsia"/>
          <w:rtl/>
        </w:rPr>
        <w:t>על</w:t>
      </w:r>
      <w:r w:rsidR="00AE07AE" w:rsidRPr="001A3B89">
        <w:rPr>
          <w:rFonts w:ascii="David" w:hAnsi="David"/>
          <w:rtl/>
        </w:rPr>
        <w:t xml:space="preserve"> </w:t>
      </w:r>
      <w:r w:rsidR="00AE07AE" w:rsidRPr="001A3B89">
        <w:rPr>
          <w:rFonts w:ascii="David" w:hAnsi="David" w:hint="eastAsia"/>
          <w:rtl/>
        </w:rPr>
        <w:t>נאשם</w:t>
      </w:r>
      <w:r w:rsidR="00AE07AE" w:rsidRPr="001A3B89">
        <w:rPr>
          <w:rFonts w:ascii="David" w:hAnsi="David"/>
          <w:rtl/>
        </w:rPr>
        <w:t xml:space="preserve"> 30 </w:t>
      </w:r>
      <w:r w:rsidR="00AE07AE" w:rsidRPr="001A3B89">
        <w:rPr>
          <w:rFonts w:ascii="David" w:hAnsi="David" w:hint="eastAsia"/>
          <w:rtl/>
        </w:rPr>
        <w:t>חודשי</w:t>
      </w:r>
      <w:r w:rsidR="00AE07AE" w:rsidRPr="001A3B89">
        <w:rPr>
          <w:rFonts w:ascii="David" w:hAnsi="David"/>
          <w:rtl/>
        </w:rPr>
        <w:t xml:space="preserve"> </w:t>
      </w:r>
      <w:r w:rsidR="00AE07AE" w:rsidRPr="001A3B89">
        <w:rPr>
          <w:rFonts w:ascii="David" w:hAnsi="David" w:hint="eastAsia"/>
          <w:rtl/>
        </w:rPr>
        <w:t>מאסר</w:t>
      </w:r>
      <w:r w:rsidR="00AE07AE" w:rsidRPr="001A3B89">
        <w:rPr>
          <w:rFonts w:ascii="David" w:hAnsi="David"/>
          <w:rtl/>
        </w:rPr>
        <w:t xml:space="preserve"> </w:t>
      </w:r>
      <w:r w:rsidR="00AE07AE" w:rsidRPr="001A3B89">
        <w:rPr>
          <w:rFonts w:ascii="David" w:hAnsi="David" w:hint="eastAsia"/>
          <w:rtl/>
        </w:rPr>
        <w:t>בפועל</w:t>
      </w:r>
      <w:r w:rsidR="00AE07AE" w:rsidRPr="001A3B89">
        <w:rPr>
          <w:rFonts w:ascii="David" w:hAnsi="David"/>
          <w:rtl/>
        </w:rPr>
        <w:t xml:space="preserve"> </w:t>
      </w:r>
      <w:r w:rsidR="00AE07AE" w:rsidRPr="001A3B89">
        <w:rPr>
          <w:rFonts w:ascii="David" w:hAnsi="David" w:hint="eastAsia"/>
          <w:rtl/>
        </w:rPr>
        <w:t>בגין</w:t>
      </w:r>
      <w:r w:rsidR="00AE07AE" w:rsidRPr="001A3B89">
        <w:rPr>
          <w:rFonts w:ascii="David" w:hAnsi="David"/>
          <w:rtl/>
        </w:rPr>
        <w:t xml:space="preserve"> </w:t>
      </w:r>
      <w:r w:rsidR="00AE07AE" w:rsidRPr="001A3B89">
        <w:rPr>
          <w:rFonts w:ascii="David" w:hAnsi="David" w:hint="eastAsia"/>
          <w:rtl/>
        </w:rPr>
        <w:t>גידול</w:t>
      </w:r>
      <w:r w:rsidR="00AE07AE" w:rsidRPr="001A3B89">
        <w:rPr>
          <w:rFonts w:ascii="David" w:hAnsi="David"/>
          <w:rtl/>
        </w:rPr>
        <w:t xml:space="preserve"> </w:t>
      </w:r>
      <w:r w:rsidR="00AE07AE" w:rsidRPr="001A3B89">
        <w:rPr>
          <w:rFonts w:ascii="David" w:hAnsi="David" w:hint="eastAsia"/>
          <w:rtl/>
        </w:rPr>
        <w:t>סמים</w:t>
      </w:r>
      <w:r w:rsidR="00AE07AE" w:rsidRPr="001A3B89">
        <w:rPr>
          <w:rFonts w:ascii="David" w:hAnsi="David"/>
          <w:rtl/>
        </w:rPr>
        <w:t xml:space="preserve"> </w:t>
      </w:r>
      <w:r w:rsidR="00AE07AE" w:rsidRPr="001A3B89">
        <w:rPr>
          <w:rFonts w:ascii="David" w:hAnsi="David" w:hint="eastAsia"/>
          <w:rtl/>
        </w:rPr>
        <w:t>מסוג</w:t>
      </w:r>
      <w:r w:rsidR="00AE07AE" w:rsidRPr="001A3B89">
        <w:rPr>
          <w:rFonts w:ascii="David" w:hAnsi="David"/>
          <w:rtl/>
        </w:rPr>
        <w:t xml:space="preserve"> </w:t>
      </w:r>
      <w:r w:rsidR="00AE07AE" w:rsidRPr="001A3B89">
        <w:rPr>
          <w:rFonts w:ascii="David" w:hAnsi="David" w:hint="eastAsia"/>
          <w:rtl/>
        </w:rPr>
        <w:t>קנביס</w:t>
      </w:r>
      <w:r w:rsidR="00AE07AE" w:rsidRPr="001A3B89">
        <w:rPr>
          <w:rFonts w:ascii="David" w:hAnsi="David"/>
          <w:rtl/>
        </w:rPr>
        <w:t xml:space="preserve"> </w:t>
      </w:r>
      <w:r w:rsidR="00AE07AE" w:rsidRPr="001A3B89">
        <w:rPr>
          <w:rFonts w:ascii="David" w:hAnsi="David" w:hint="eastAsia"/>
          <w:rtl/>
        </w:rPr>
        <w:t>במשקל</w:t>
      </w:r>
      <w:r w:rsidR="00AE07AE" w:rsidRPr="001A3B89">
        <w:rPr>
          <w:rFonts w:ascii="David" w:hAnsi="David"/>
          <w:rtl/>
        </w:rPr>
        <w:t xml:space="preserve"> </w:t>
      </w:r>
      <w:r w:rsidR="00AE07AE" w:rsidRPr="001A3B89">
        <w:rPr>
          <w:rFonts w:ascii="David" w:hAnsi="David" w:hint="eastAsia"/>
          <w:rtl/>
        </w:rPr>
        <w:t>כולל</w:t>
      </w:r>
      <w:r w:rsidR="00AE07AE" w:rsidRPr="001A3B89">
        <w:rPr>
          <w:rFonts w:ascii="David" w:hAnsi="David"/>
          <w:rtl/>
        </w:rPr>
        <w:t xml:space="preserve"> </w:t>
      </w:r>
      <w:r w:rsidR="00AE07AE" w:rsidRPr="001A3B89">
        <w:rPr>
          <w:rFonts w:ascii="David" w:hAnsi="David" w:hint="eastAsia"/>
          <w:rtl/>
        </w:rPr>
        <w:t>של</w:t>
      </w:r>
      <w:r w:rsidR="00AE07AE" w:rsidRPr="001A3B89">
        <w:rPr>
          <w:rFonts w:ascii="David" w:hAnsi="David"/>
          <w:rtl/>
        </w:rPr>
        <w:t xml:space="preserve"> 24 </w:t>
      </w:r>
      <w:r w:rsidR="00AE07AE" w:rsidRPr="001A3B89">
        <w:rPr>
          <w:rFonts w:ascii="David" w:hAnsi="David" w:hint="eastAsia"/>
          <w:rtl/>
        </w:rPr>
        <w:t>ק</w:t>
      </w:r>
      <w:r w:rsidR="00AE07AE" w:rsidRPr="001A3B89">
        <w:rPr>
          <w:rFonts w:ascii="David" w:hAnsi="David"/>
          <w:rtl/>
        </w:rPr>
        <w:t>"</w:t>
      </w:r>
      <w:r w:rsidR="00AE07AE" w:rsidRPr="001A3B89">
        <w:rPr>
          <w:rFonts w:ascii="David" w:hAnsi="David" w:hint="eastAsia"/>
          <w:rtl/>
        </w:rPr>
        <w:t>ג</w:t>
      </w:r>
      <w:r w:rsidR="00AE07AE" w:rsidRPr="001A3B89">
        <w:rPr>
          <w:rFonts w:ascii="David" w:hAnsi="David"/>
          <w:rtl/>
        </w:rPr>
        <w:t xml:space="preserve"> </w:t>
      </w:r>
      <w:r w:rsidR="00AE07AE" w:rsidRPr="001A3B89">
        <w:rPr>
          <w:rFonts w:ascii="David" w:hAnsi="David" w:hint="eastAsia"/>
          <w:rtl/>
        </w:rPr>
        <w:t>והחזקה</w:t>
      </w:r>
      <w:r w:rsidR="00AE07AE" w:rsidRPr="001A3B89">
        <w:rPr>
          <w:rFonts w:ascii="David" w:hAnsi="David"/>
          <w:rtl/>
        </w:rPr>
        <w:t xml:space="preserve"> </w:t>
      </w:r>
      <w:r w:rsidR="00AE07AE" w:rsidRPr="001A3B89">
        <w:rPr>
          <w:rFonts w:ascii="David" w:hAnsi="David" w:hint="eastAsia"/>
          <w:rtl/>
        </w:rPr>
        <w:t>של</w:t>
      </w:r>
      <w:r w:rsidR="00AE07AE" w:rsidRPr="001A3B89">
        <w:rPr>
          <w:rFonts w:ascii="David" w:hAnsi="David"/>
          <w:rtl/>
        </w:rPr>
        <w:t xml:space="preserve"> 40 </w:t>
      </w:r>
      <w:r w:rsidR="00AE07AE" w:rsidRPr="001A3B89">
        <w:rPr>
          <w:rFonts w:ascii="David" w:hAnsi="David" w:hint="eastAsia"/>
          <w:rtl/>
        </w:rPr>
        <w:t>גרם</w:t>
      </w:r>
      <w:r w:rsidR="00AE07AE" w:rsidRPr="001A3B89">
        <w:rPr>
          <w:rFonts w:ascii="David" w:hAnsi="David"/>
          <w:rtl/>
        </w:rPr>
        <w:t xml:space="preserve"> </w:t>
      </w:r>
      <w:r w:rsidR="00AE07AE" w:rsidRPr="001A3B89">
        <w:rPr>
          <w:rFonts w:ascii="David" w:hAnsi="David" w:hint="eastAsia"/>
          <w:rtl/>
        </w:rPr>
        <w:t>סם</w:t>
      </w:r>
      <w:r w:rsidR="00AE07AE" w:rsidRPr="001A3B89">
        <w:rPr>
          <w:rFonts w:ascii="David" w:hAnsi="David"/>
          <w:rtl/>
        </w:rPr>
        <w:t xml:space="preserve"> </w:t>
      </w:r>
      <w:r w:rsidR="00AE07AE" w:rsidRPr="001A3B89">
        <w:rPr>
          <w:rFonts w:ascii="David" w:hAnsi="David" w:hint="eastAsia"/>
          <w:rtl/>
        </w:rPr>
        <w:t>מסוג</w:t>
      </w:r>
      <w:r w:rsidR="00AE07AE" w:rsidRPr="001A3B89">
        <w:rPr>
          <w:rFonts w:ascii="David" w:hAnsi="David"/>
          <w:rtl/>
        </w:rPr>
        <w:t xml:space="preserve"> </w:t>
      </w:r>
      <w:r w:rsidR="00AE07AE" w:rsidRPr="001A3B89">
        <w:rPr>
          <w:rFonts w:ascii="David" w:hAnsi="David" w:hint="eastAsia"/>
          <w:rtl/>
        </w:rPr>
        <w:t>זה</w:t>
      </w:r>
      <w:r w:rsidR="00AE07AE" w:rsidRPr="001A3B89">
        <w:rPr>
          <w:rFonts w:ascii="David" w:hAnsi="David"/>
          <w:rtl/>
        </w:rPr>
        <w:t xml:space="preserve">. </w:t>
      </w:r>
      <w:r w:rsidR="00AE07AE" w:rsidRPr="001A3B89">
        <w:rPr>
          <w:rFonts w:ascii="David" w:hAnsi="David" w:hint="eastAsia"/>
          <w:rtl/>
        </w:rPr>
        <w:t>הנאשם</w:t>
      </w:r>
      <w:r w:rsidR="00AE07AE" w:rsidRPr="001A3B89">
        <w:rPr>
          <w:rFonts w:ascii="David" w:hAnsi="David"/>
          <w:rtl/>
        </w:rPr>
        <w:t xml:space="preserve"> </w:t>
      </w:r>
      <w:r w:rsidR="00AE07AE">
        <w:rPr>
          <w:rFonts w:ascii="David" w:hAnsi="David" w:hint="cs"/>
          <w:rtl/>
        </w:rPr>
        <w:t xml:space="preserve">היה </w:t>
      </w:r>
      <w:r w:rsidR="00AE07AE" w:rsidRPr="001A3B89">
        <w:rPr>
          <w:rFonts w:ascii="David" w:hAnsi="David" w:hint="eastAsia"/>
          <w:rtl/>
        </w:rPr>
        <w:t>נעדר</w:t>
      </w:r>
      <w:r w:rsidR="00AE07AE" w:rsidRPr="001A3B89">
        <w:rPr>
          <w:rFonts w:ascii="David" w:hAnsi="David"/>
          <w:rtl/>
        </w:rPr>
        <w:t xml:space="preserve"> </w:t>
      </w:r>
      <w:r w:rsidR="00AE07AE" w:rsidRPr="001A3B89">
        <w:rPr>
          <w:rFonts w:ascii="David" w:hAnsi="David" w:hint="eastAsia"/>
          <w:rtl/>
        </w:rPr>
        <w:t>עבר</w:t>
      </w:r>
      <w:r w:rsidR="00AE07AE" w:rsidRPr="001A3B89">
        <w:rPr>
          <w:rFonts w:ascii="David" w:hAnsi="David"/>
          <w:rtl/>
        </w:rPr>
        <w:t xml:space="preserve"> </w:t>
      </w:r>
      <w:r w:rsidR="00AE07AE" w:rsidRPr="001A3B89">
        <w:rPr>
          <w:rFonts w:ascii="David" w:hAnsi="David" w:hint="eastAsia"/>
          <w:rtl/>
        </w:rPr>
        <w:t>פלילי</w:t>
      </w:r>
      <w:r w:rsidR="00AE07AE" w:rsidRPr="001A3B89">
        <w:rPr>
          <w:rFonts w:ascii="David" w:hAnsi="David"/>
          <w:rtl/>
        </w:rPr>
        <w:t xml:space="preserve"> </w:t>
      </w:r>
      <w:r w:rsidR="00AE07AE" w:rsidRPr="001A3B89">
        <w:rPr>
          <w:rFonts w:ascii="David" w:hAnsi="David" w:hint="eastAsia"/>
          <w:rtl/>
        </w:rPr>
        <w:t>וביצע</w:t>
      </w:r>
      <w:r w:rsidR="00AE07AE" w:rsidRPr="001A3B89">
        <w:rPr>
          <w:rFonts w:ascii="David" w:hAnsi="David"/>
          <w:rtl/>
        </w:rPr>
        <w:t xml:space="preserve"> </w:t>
      </w:r>
      <w:r w:rsidR="00AE07AE" w:rsidRPr="001A3B89">
        <w:rPr>
          <w:rFonts w:ascii="David" w:hAnsi="David" w:hint="eastAsia"/>
          <w:rtl/>
        </w:rPr>
        <w:t>את</w:t>
      </w:r>
      <w:r w:rsidR="00AE07AE" w:rsidRPr="001A3B89">
        <w:rPr>
          <w:rFonts w:ascii="David" w:hAnsi="David"/>
          <w:rtl/>
        </w:rPr>
        <w:t xml:space="preserve"> </w:t>
      </w:r>
      <w:r w:rsidR="00AE07AE" w:rsidRPr="001A3B89">
        <w:rPr>
          <w:rFonts w:ascii="David" w:hAnsi="David" w:hint="eastAsia"/>
          <w:rtl/>
        </w:rPr>
        <w:t>המעשים</w:t>
      </w:r>
      <w:r w:rsidR="00AE07AE" w:rsidRPr="001A3B89">
        <w:rPr>
          <w:rFonts w:ascii="David" w:hAnsi="David"/>
          <w:rtl/>
        </w:rPr>
        <w:t xml:space="preserve"> </w:t>
      </w:r>
      <w:r w:rsidR="00AE07AE" w:rsidRPr="001A3B89">
        <w:rPr>
          <w:rFonts w:ascii="David" w:hAnsi="David" w:hint="eastAsia"/>
          <w:rtl/>
        </w:rPr>
        <w:t>על</w:t>
      </w:r>
      <w:r w:rsidR="00AE07AE" w:rsidRPr="001A3B89">
        <w:rPr>
          <w:rFonts w:ascii="David" w:hAnsi="David"/>
          <w:rtl/>
        </w:rPr>
        <w:t xml:space="preserve"> </w:t>
      </w:r>
      <w:r w:rsidR="00AE07AE" w:rsidRPr="001A3B89">
        <w:rPr>
          <w:rFonts w:ascii="David" w:hAnsi="David" w:hint="eastAsia"/>
          <w:rtl/>
        </w:rPr>
        <w:t>רקע</w:t>
      </w:r>
      <w:r w:rsidR="00AE07AE" w:rsidRPr="001A3B89">
        <w:rPr>
          <w:rFonts w:ascii="David" w:hAnsi="David"/>
          <w:rtl/>
        </w:rPr>
        <w:t xml:space="preserve"> </w:t>
      </w:r>
      <w:r w:rsidR="00AE07AE" w:rsidRPr="001A3B89">
        <w:rPr>
          <w:rFonts w:ascii="David" w:hAnsi="David" w:hint="eastAsia"/>
          <w:rtl/>
        </w:rPr>
        <w:t>שימוש</w:t>
      </w:r>
      <w:r w:rsidR="00AE07AE" w:rsidRPr="001A3B89">
        <w:rPr>
          <w:rFonts w:ascii="David" w:hAnsi="David"/>
          <w:rtl/>
        </w:rPr>
        <w:t xml:space="preserve"> </w:t>
      </w:r>
      <w:r w:rsidR="00AE07AE" w:rsidRPr="001A3B89">
        <w:rPr>
          <w:rFonts w:ascii="David" w:hAnsi="David" w:hint="eastAsia"/>
          <w:rtl/>
        </w:rPr>
        <w:t>אינטנסיבי</w:t>
      </w:r>
      <w:r w:rsidR="00AE07AE" w:rsidRPr="001A3B89">
        <w:rPr>
          <w:rFonts w:ascii="David" w:hAnsi="David"/>
          <w:rtl/>
        </w:rPr>
        <w:t xml:space="preserve"> </w:t>
      </w:r>
      <w:r w:rsidR="00AE07AE" w:rsidRPr="001A3B89">
        <w:rPr>
          <w:rFonts w:ascii="David" w:hAnsi="David" w:hint="eastAsia"/>
          <w:rtl/>
        </w:rPr>
        <w:t>בסמים</w:t>
      </w:r>
      <w:r w:rsidR="00AE07AE" w:rsidRPr="001A3B89">
        <w:rPr>
          <w:rFonts w:ascii="David" w:hAnsi="David"/>
          <w:rtl/>
        </w:rPr>
        <w:t xml:space="preserve">. </w:t>
      </w:r>
    </w:p>
    <w:p w14:paraId="3FCD1997" w14:textId="77777777" w:rsidR="00AE07AE" w:rsidRPr="001A3B89" w:rsidRDefault="00AE07AE" w:rsidP="00AE07AE">
      <w:pPr>
        <w:spacing w:line="360" w:lineRule="auto"/>
        <w:ind w:left="720"/>
        <w:jc w:val="both"/>
        <w:rPr>
          <w:rFonts w:ascii="David" w:hAnsi="David"/>
          <w:rtl/>
        </w:rPr>
      </w:pPr>
    </w:p>
    <w:p w14:paraId="3A5B9C5C" w14:textId="77777777" w:rsidR="00AE07AE" w:rsidRDefault="00E31F7B" w:rsidP="00AE07AE">
      <w:pPr>
        <w:spacing w:line="360" w:lineRule="auto"/>
        <w:ind w:left="720"/>
        <w:jc w:val="both"/>
        <w:rPr>
          <w:rFonts w:ascii="David" w:hAnsi="David"/>
          <w:rtl/>
        </w:rPr>
      </w:pPr>
      <w:hyperlink r:id="rId44" w:history="1">
        <w:r w:rsidRPr="00E31F7B">
          <w:rPr>
            <w:rStyle w:val="Hyperlink"/>
            <w:rFonts w:ascii="David" w:hAnsi="David"/>
            <w:rtl/>
          </w:rPr>
          <w:t>עפ"ג 46738-09-14</w:t>
        </w:r>
      </w:hyperlink>
      <w:r w:rsidR="00AE07AE" w:rsidRPr="002D48E4">
        <w:rPr>
          <w:rFonts w:ascii="David" w:hAnsi="David"/>
          <w:rtl/>
        </w:rPr>
        <w:t xml:space="preserve"> </w:t>
      </w:r>
      <w:r w:rsidR="00AE07AE" w:rsidRPr="002D48E4">
        <w:rPr>
          <w:rFonts w:ascii="David" w:hAnsi="David" w:hint="eastAsia"/>
          <w:b/>
          <w:bCs/>
          <w:rtl/>
        </w:rPr>
        <w:t>מדינת</w:t>
      </w:r>
      <w:r w:rsidR="00AE07AE" w:rsidRPr="002D48E4">
        <w:rPr>
          <w:rFonts w:ascii="David" w:hAnsi="David"/>
          <w:b/>
          <w:bCs/>
          <w:rtl/>
        </w:rPr>
        <w:t xml:space="preserve"> </w:t>
      </w:r>
      <w:r w:rsidR="00AE07AE" w:rsidRPr="002D48E4">
        <w:rPr>
          <w:rFonts w:ascii="David" w:hAnsi="David" w:hint="eastAsia"/>
          <w:b/>
          <w:bCs/>
          <w:rtl/>
        </w:rPr>
        <w:t>ישראל</w:t>
      </w:r>
      <w:r w:rsidR="00AE07AE" w:rsidRPr="002D48E4">
        <w:rPr>
          <w:rFonts w:ascii="David" w:hAnsi="David"/>
          <w:b/>
          <w:bCs/>
          <w:rtl/>
        </w:rPr>
        <w:t xml:space="preserve"> </w:t>
      </w:r>
      <w:r w:rsidR="00AE07AE" w:rsidRPr="002D48E4">
        <w:rPr>
          <w:rFonts w:ascii="David" w:hAnsi="David" w:hint="eastAsia"/>
          <w:b/>
          <w:bCs/>
          <w:rtl/>
        </w:rPr>
        <w:t>נ</w:t>
      </w:r>
      <w:r w:rsidR="00AE07AE" w:rsidRPr="002D48E4">
        <w:rPr>
          <w:rFonts w:ascii="David" w:hAnsi="David"/>
          <w:b/>
          <w:bCs/>
          <w:rtl/>
        </w:rPr>
        <w:t xml:space="preserve">' </w:t>
      </w:r>
      <w:r w:rsidR="00AE07AE" w:rsidRPr="002D48E4">
        <w:rPr>
          <w:rFonts w:ascii="David" w:hAnsi="David" w:hint="eastAsia"/>
          <w:b/>
          <w:bCs/>
          <w:rtl/>
        </w:rPr>
        <w:t>צקבאשווילי</w:t>
      </w:r>
      <w:r w:rsidR="00AE07AE" w:rsidRPr="002D48E4">
        <w:rPr>
          <w:rFonts w:ascii="David" w:hAnsi="David"/>
          <w:rtl/>
        </w:rPr>
        <w:t xml:space="preserve"> (31.12.14), </w:t>
      </w:r>
      <w:r w:rsidR="00AE07AE" w:rsidRPr="002D48E4">
        <w:rPr>
          <w:rFonts w:ascii="David" w:hAnsi="David" w:hint="eastAsia"/>
          <w:rtl/>
        </w:rPr>
        <w:t>בו</w:t>
      </w:r>
      <w:r w:rsidR="00AE07AE" w:rsidRPr="002D48E4">
        <w:rPr>
          <w:rFonts w:ascii="David" w:hAnsi="David"/>
          <w:rtl/>
        </w:rPr>
        <w:t xml:space="preserve"> </w:t>
      </w:r>
      <w:r w:rsidR="00AE07AE" w:rsidRPr="002D48E4">
        <w:rPr>
          <w:rFonts w:ascii="David" w:hAnsi="David" w:hint="eastAsia"/>
          <w:rtl/>
        </w:rPr>
        <w:t>הוחמר</w:t>
      </w:r>
      <w:r w:rsidR="00AE07AE" w:rsidRPr="002D48E4">
        <w:rPr>
          <w:rFonts w:ascii="David" w:hAnsi="David"/>
          <w:rtl/>
        </w:rPr>
        <w:t xml:space="preserve"> </w:t>
      </w:r>
      <w:r w:rsidR="00AE07AE" w:rsidRPr="002D48E4">
        <w:rPr>
          <w:rFonts w:ascii="David" w:hAnsi="David" w:hint="eastAsia"/>
          <w:rtl/>
        </w:rPr>
        <w:t>עונשם</w:t>
      </w:r>
      <w:r w:rsidR="00AE07AE" w:rsidRPr="002D48E4">
        <w:rPr>
          <w:rFonts w:ascii="David" w:hAnsi="David"/>
          <w:rtl/>
        </w:rPr>
        <w:t xml:space="preserve"> </w:t>
      </w:r>
      <w:r w:rsidR="00AE07AE" w:rsidRPr="002D48E4">
        <w:rPr>
          <w:rFonts w:ascii="David" w:hAnsi="David" w:hint="eastAsia"/>
          <w:rtl/>
        </w:rPr>
        <w:t>של</w:t>
      </w:r>
      <w:r w:rsidR="00AE07AE" w:rsidRPr="002D48E4">
        <w:rPr>
          <w:rFonts w:ascii="David" w:hAnsi="David"/>
          <w:rtl/>
        </w:rPr>
        <w:t xml:space="preserve"> </w:t>
      </w:r>
      <w:r w:rsidR="00AE07AE" w:rsidRPr="002D48E4">
        <w:rPr>
          <w:rFonts w:ascii="David" w:hAnsi="David" w:hint="eastAsia"/>
          <w:rtl/>
        </w:rPr>
        <w:t>הנאשמים</w:t>
      </w:r>
      <w:r w:rsidR="00AE07AE" w:rsidRPr="002D48E4">
        <w:rPr>
          <w:rFonts w:ascii="David" w:hAnsi="David"/>
          <w:rtl/>
        </w:rPr>
        <w:t xml:space="preserve"> </w:t>
      </w:r>
      <w:r w:rsidR="00AE07AE" w:rsidRPr="002D48E4">
        <w:rPr>
          <w:rFonts w:ascii="David" w:hAnsi="David" w:hint="eastAsia"/>
          <w:rtl/>
        </w:rPr>
        <w:t>והועמד</w:t>
      </w:r>
      <w:r w:rsidR="00AE07AE" w:rsidRPr="002D48E4">
        <w:rPr>
          <w:rFonts w:ascii="David" w:hAnsi="David"/>
          <w:rtl/>
        </w:rPr>
        <w:t xml:space="preserve"> </w:t>
      </w:r>
      <w:r w:rsidR="00AE07AE" w:rsidRPr="002D48E4">
        <w:rPr>
          <w:rFonts w:ascii="David" w:hAnsi="David" w:hint="eastAsia"/>
          <w:rtl/>
        </w:rPr>
        <w:t>על</w:t>
      </w:r>
      <w:r w:rsidR="00AE07AE" w:rsidRPr="002D48E4">
        <w:rPr>
          <w:rFonts w:ascii="David" w:hAnsi="David"/>
          <w:rtl/>
        </w:rPr>
        <w:t xml:space="preserve"> 24 </w:t>
      </w:r>
      <w:r w:rsidR="00AE07AE" w:rsidRPr="002D48E4">
        <w:rPr>
          <w:rFonts w:ascii="David" w:hAnsi="David" w:hint="eastAsia"/>
          <w:rtl/>
        </w:rPr>
        <w:t>חודשי</w:t>
      </w:r>
      <w:r w:rsidR="00AE07AE" w:rsidRPr="002D48E4">
        <w:rPr>
          <w:rFonts w:ascii="David" w:hAnsi="David"/>
          <w:rtl/>
        </w:rPr>
        <w:t xml:space="preserve"> </w:t>
      </w:r>
      <w:r w:rsidR="00AE07AE" w:rsidRPr="002D48E4">
        <w:rPr>
          <w:rFonts w:ascii="David" w:hAnsi="David" w:hint="eastAsia"/>
          <w:rtl/>
        </w:rPr>
        <w:t>מאסר</w:t>
      </w:r>
      <w:r w:rsidR="00AE07AE" w:rsidRPr="002D48E4">
        <w:rPr>
          <w:rFonts w:ascii="David" w:hAnsi="David"/>
          <w:rtl/>
        </w:rPr>
        <w:t xml:space="preserve">, </w:t>
      </w:r>
      <w:r w:rsidR="00AE07AE" w:rsidRPr="002D48E4">
        <w:rPr>
          <w:rFonts w:ascii="David" w:hAnsi="David" w:hint="eastAsia"/>
          <w:rtl/>
        </w:rPr>
        <w:t>בשל</w:t>
      </w:r>
      <w:r w:rsidR="00AE07AE" w:rsidRPr="002D48E4">
        <w:rPr>
          <w:rFonts w:ascii="David" w:hAnsi="David"/>
          <w:rtl/>
        </w:rPr>
        <w:t xml:space="preserve"> </w:t>
      </w:r>
      <w:r w:rsidR="00AE07AE" w:rsidRPr="002D48E4">
        <w:rPr>
          <w:rFonts w:ascii="David" w:hAnsi="David" w:hint="eastAsia"/>
          <w:rtl/>
        </w:rPr>
        <w:t>כך</w:t>
      </w:r>
      <w:r w:rsidR="00AE07AE" w:rsidRPr="002D48E4">
        <w:rPr>
          <w:rFonts w:ascii="David" w:hAnsi="David"/>
          <w:rtl/>
        </w:rPr>
        <w:t xml:space="preserve"> </w:t>
      </w:r>
      <w:r w:rsidR="00AE07AE" w:rsidRPr="002D48E4">
        <w:rPr>
          <w:rFonts w:ascii="David" w:hAnsi="David" w:hint="eastAsia"/>
          <w:rtl/>
        </w:rPr>
        <w:t>שהחזיקו</w:t>
      </w:r>
      <w:r w:rsidR="00AE07AE" w:rsidRPr="002D48E4">
        <w:rPr>
          <w:rFonts w:ascii="David" w:hAnsi="David"/>
          <w:rtl/>
        </w:rPr>
        <w:t xml:space="preserve">  </w:t>
      </w:r>
      <w:r w:rsidR="00AE07AE" w:rsidRPr="002D48E4">
        <w:rPr>
          <w:rFonts w:ascii="David" w:hAnsi="David" w:hint="eastAsia"/>
          <w:rtl/>
        </w:rPr>
        <w:t>במעבדה</w:t>
      </w:r>
      <w:r w:rsidR="00AE07AE" w:rsidRPr="002D48E4">
        <w:rPr>
          <w:rFonts w:ascii="David" w:hAnsi="David"/>
          <w:rtl/>
        </w:rPr>
        <w:t xml:space="preserve"> </w:t>
      </w:r>
      <w:r w:rsidR="00AE07AE" w:rsidRPr="002D48E4">
        <w:rPr>
          <w:rFonts w:ascii="David" w:hAnsi="David" w:hint="eastAsia"/>
          <w:rtl/>
        </w:rPr>
        <w:t>בה</w:t>
      </w:r>
      <w:r w:rsidR="00AE07AE" w:rsidRPr="002D48E4">
        <w:rPr>
          <w:rFonts w:ascii="David" w:hAnsi="David"/>
          <w:rtl/>
        </w:rPr>
        <w:t xml:space="preserve"> </w:t>
      </w:r>
      <w:r w:rsidR="00AE07AE" w:rsidRPr="002D48E4">
        <w:rPr>
          <w:rFonts w:ascii="David" w:hAnsi="David" w:hint="eastAsia"/>
          <w:rtl/>
        </w:rPr>
        <w:t>נמצאו</w:t>
      </w:r>
      <w:r w:rsidR="00AE07AE" w:rsidRPr="002D48E4">
        <w:rPr>
          <w:rFonts w:ascii="David" w:hAnsi="David"/>
          <w:rtl/>
        </w:rPr>
        <w:t xml:space="preserve"> </w:t>
      </w:r>
      <w:smartTag w:uri="urn:schemas-microsoft-com:office:smarttags" w:element="metricconverter">
        <w:smartTagPr>
          <w:attr w:name="ProductID" w:val="17.86 ק&quot;ג"/>
        </w:smartTagPr>
        <w:r w:rsidR="00AE07AE" w:rsidRPr="002D48E4">
          <w:rPr>
            <w:rFonts w:ascii="David" w:hAnsi="David"/>
            <w:rtl/>
          </w:rPr>
          <w:t xml:space="preserve">17.86 </w:t>
        </w:r>
        <w:r w:rsidR="00AE07AE" w:rsidRPr="002D48E4">
          <w:rPr>
            <w:rFonts w:ascii="David" w:hAnsi="David" w:hint="eastAsia"/>
            <w:rtl/>
          </w:rPr>
          <w:t>ק</w:t>
        </w:r>
        <w:r w:rsidR="00AE07AE" w:rsidRPr="002D48E4">
          <w:rPr>
            <w:rFonts w:ascii="David" w:hAnsi="David"/>
            <w:rtl/>
          </w:rPr>
          <w:t>"</w:t>
        </w:r>
        <w:r w:rsidR="00AE07AE" w:rsidRPr="002D48E4">
          <w:rPr>
            <w:rFonts w:ascii="David" w:hAnsi="David" w:hint="eastAsia"/>
            <w:rtl/>
          </w:rPr>
          <w:t>ג</w:t>
        </w:r>
      </w:smartTag>
      <w:r w:rsidR="00AE07AE" w:rsidRPr="002D48E4">
        <w:rPr>
          <w:rFonts w:ascii="David" w:hAnsi="David"/>
          <w:rtl/>
        </w:rPr>
        <w:t xml:space="preserve"> </w:t>
      </w:r>
      <w:r w:rsidR="00AE07AE" w:rsidRPr="002D48E4">
        <w:rPr>
          <w:rFonts w:ascii="David" w:hAnsi="David" w:hint="eastAsia"/>
          <w:rtl/>
        </w:rPr>
        <w:t>סם</w:t>
      </w:r>
      <w:r w:rsidR="00AE07AE" w:rsidRPr="002D48E4">
        <w:rPr>
          <w:rFonts w:ascii="David" w:hAnsi="David"/>
          <w:rtl/>
        </w:rPr>
        <w:t xml:space="preserve"> </w:t>
      </w:r>
      <w:r w:rsidR="00AE07AE" w:rsidRPr="002D48E4">
        <w:rPr>
          <w:rFonts w:ascii="David" w:hAnsi="David" w:hint="eastAsia"/>
          <w:rtl/>
        </w:rPr>
        <w:t>מסוג</w:t>
      </w:r>
      <w:r w:rsidR="00AE07AE" w:rsidRPr="002D48E4">
        <w:rPr>
          <w:rFonts w:ascii="David" w:hAnsi="David"/>
          <w:rtl/>
        </w:rPr>
        <w:t xml:space="preserve"> </w:t>
      </w:r>
      <w:r w:rsidR="00AE07AE" w:rsidRPr="002D48E4">
        <w:rPr>
          <w:rFonts w:ascii="David" w:hAnsi="David" w:hint="eastAsia"/>
          <w:rtl/>
        </w:rPr>
        <w:t>קנבוס</w:t>
      </w:r>
      <w:r w:rsidR="00AE07AE">
        <w:rPr>
          <w:rFonts w:ascii="David" w:hAnsi="David" w:hint="cs"/>
          <w:rtl/>
        </w:rPr>
        <w:t>.</w:t>
      </w:r>
      <w:r w:rsidR="00AE07AE" w:rsidRPr="002D48E4">
        <w:rPr>
          <w:rFonts w:ascii="David" w:hAnsi="David"/>
          <w:rtl/>
        </w:rPr>
        <w:t xml:space="preserve"> </w:t>
      </w:r>
      <w:r w:rsidR="00AE07AE" w:rsidRPr="002D48E4">
        <w:rPr>
          <w:rFonts w:ascii="David" w:hAnsi="David" w:hint="eastAsia"/>
          <w:rtl/>
        </w:rPr>
        <w:t>ביחס</w:t>
      </w:r>
      <w:r w:rsidR="00AE07AE" w:rsidRPr="002D48E4">
        <w:rPr>
          <w:rFonts w:ascii="David" w:hAnsi="David"/>
          <w:rtl/>
        </w:rPr>
        <w:t xml:space="preserve"> </w:t>
      </w:r>
      <w:r w:rsidR="00AE07AE" w:rsidRPr="002D48E4">
        <w:rPr>
          <w:rFonts w:ascii="David" w:hAnsi="David" w:hint="eastAsia"/>
          <w:rtl/>
        </w:rPr>
        <w:t>למתחם</w:t>
      </w:r>
      <w:r w:rsidR="00AE07AE" w:rsidRPr="002D48E4">
        <w:rPr>
          <w:rFonts w:ascii="David" w:hAnsi="David"/>
          <w:rtl/>
        </w:rPr>
        <w:t xml:space="preserve"> </w:t>
      </w:r>
      <w:r w:rsidR="00AE07AE" w:rsidRPr="002D48E4">
        <w:rPr>
          <w:rFonts w:ascii="David" w:hAnsi="David" w:hint="eastAsia"/>
          <w:rtl/>
        </w:rPr>
        <w:t>הענישה</w:t>
      </w:r>
      <w:r w:rsidR="00AE07AE" w:rsidRPr="002D48E4">
        <w:rPr>
          <w:rFonts w:ascii="David" w:hAnsi="David"/>
          <w:rtl/>
        </w:rPr>
        <w:t xml:space="preserve"> </w:t>
      </w:r>
      <w:r w:rsidR="00AE07AE" w:rsidRPr="002D48E4">
        <w:rPr>
          <w:rFonts w:ascii="David" w:hAnsi="David" w:hint="eastAsia"/>
          <w:rtl/>
        </w:rPr>
        <w:t>קבע</w:t>
      </w:r>
      <w:r w:rsidR="00AE07AE" w:rsidRPr="002D48E4">
        <w:rPr>
          <w:rFonts w:ascii="David" w:hAnsi="David"/>
          <w:rtl/>
        </w:rPr>
        <w:t xml:space="preserve"> </w:t>
      </w:r>
      <w:r w:rsidR="00AE07AE" w:rsidRPr="002D48E4">
        <w:rPr>
          <w:rFonts w:ascii="David" w:hAnsi="David" w:hint="eastAsia"/>
          <w:rtl/>
        </w:rPr>
        <w:t>בית</w:t>
      </w:r>
      <w:r w:rsidR="00AE07AE" w:rsidRPr="002D48E4">
        <w:rPr>
          <w:rFonts w:ascii="David" w:hAnsi="David"/>
          <w:rtl/>
        </w:rPr>
        <w:t xml:space="preserve"> </w:t>
      </w:r>
      <w:r w:rsidR="00AE07AE" w:rsidRPr="002D48E4">
        <w:rPr>
          <w:rFonts w:ascii="David" w:hAnsi="David" w:hint="eastAsia"/>
          <w:rtl/>
        </w:rPr>
        <w:t>המשפט</w:t>
      </w:r>
      <w:r w:rsidR="00AE07AE" w:rsidRPr="002D48E4">
        <w:rPr>
          <w:rFonts w:ascii="David" w:hAnsi="David"/>
          <w:rtl/>
        </w:rPr>
        <w:t xml:space="preserve"> </w:t>
      </w:r>
      <w:r w:rsidR="00AE07AE" w:rsidRPr="002D48E4">
        <w:rPr>
          <w:rFonts w:ascii="David" w:hAnsi="David" w:hint="eastAsia"/>
          <w:rtl/>
        </w:rPr>
        <w:t>המחוזי</w:t>
      </w:r>
      <w:r w:rsidR="00AE07AE" w:rsidRPr="002D48E4">
        <w:rPr>
          <w:rFonts w:ascii="David" w:hAnsi="David"/>
          <w:rtl/>
        </w:rPr>
        <w:t xml:space="preserve"> </w:t>
      </w:r>
      <w:r w:rsidR="00AE07AE" w:rsidRPr="002D48E4">
        <w:rPr>
          <w:rFonts w:ascii="David" w:hAnsi="David" w:hint="eastAsia"/>
          <w:rtl/>
        </w:rPr>
        <w:t>כי</w:t>
      </w:r>
      <w:r w:rsidR="00AE07AE" w:rsidRPr="002D48E4">
        <w:rPr>
          <w:rFonts w:ascii="David" w:hAnsi="David"/>
          <w:rtl/>
        </w:rPr>
        <w:t xml:space="preserve"> </w:t>
      </w:r>
      <w:r w:rsidR="00AE07AE" w:rsidRPr="002D48E4">
        <w:rPr>
          <w:rFonts w:ascii="David" w:hAnsi="David" w:hint="eastAsia"/>
          <w:rtl/>
        </w:rPr>
        <w:t>הוא</w:t>
      </w:r>
      <w:r w:rsidR="00AE07AE" w:rsidRPr="002D48E4">
        <w:rPr>
          <w:rFonts w:ascii="David" w:hAnsi="David"/>
          <w:rtl/>
        </w:rPr>
        <w:t xml:space="preserve"> </w:t>
      </w:r>
      <w:r w:rsidR="00AE07AE" w:rsidRPr="002D48E4">
        <w:rPr>
          <w:rFonts w:ascii="David" w:hAnsi="David" w:hint="eastAsia"/>
          <w:rtl/>
        </w:rPr>
        <w:t>נע</w:t>
      </w:r>
      <w:r w:rsidR="00AE07AE" w:rsidRPr="002D48E4">
        <w:rPr>
          <w:rFonts w:ascii="David" w:hAnsi="David"/>
          <w:rtl/>
        </w:rPr>
        <w:t xml:space="preserve"> </w:t>
      </w:r>
      <w:r w:rsidR="00AE07AE" w:rsidRPr="002D48E4">
        <w:rPr>
          <w:rFonts w:ascii="David" w:hAnsi="David" w:hint="eastAsia"/>
          <w:rtl/>
        </w:rPr>
        <w:t>בין</w:t>
      </w:r>
      <w:r w:rsidR="00AE07AE" w:rsidRPr="002D48E4">
        <w:rPr>
          <w:rFonts w:ascii="David" w:hAnsi="David"/>
          <w:rtl/>
        </w:rPr>
        <w:t xml:space="preserve"> 18-36 </w:t>
      </w:r>
      <w:r w:rsidR="00AE07AE" w:rsidRPr="002D48E4">
        <w:rPr>
          <w:rFonts w:ascii="David" w:hAnsi="David" w:hint="eastAsia"/>
          <w:rtl/>
        </w:rPr>
        <w:t>חודשי</w:t>
      </w:r>
      <w:r w:rsidR="00AE07AE" w:rsidRPr="002D48E4">
        <w:rPr>
          <w:rFonts w:ascii="David" w:hAnsi="David"/>
          <w:rtl/>
        </w:rPr>
        <w:t xml:space="preserve"> </w:t>
      </w:r>
      <w:r w:rsidR="00AE07AE" w:rsidRPr="002D48E4">
        <w:rPr>
          <w:rFonts w:ascii="David" w:hAnsi="David" w:hint="eastAsia"/>
          <w:rtl/>
        </w:rPr>
        <w:t>מאסר</w:t>
      </w:r>
      <w:r w:rsidR="00AE07AE" w:rsidRPr="002D48E4">
        <w:rPr>
          <w:rFonts w:ascii="David" w:hAnsi="David"/>
          <w:rtl/>
        </w:rPr>
        <w:t xml:space="preserve">. </w:t>
      </w:r>
    </w:p>
    <w:p w14:paraId="678A3B7A" w14:textId="77777777" w:rsidR="00AE07AE" w:rsidRDefault="00AE07AE" w:rsidP="00AE07AE">
      <w:pPr>
        <w:spacing w:line="360" w:lineRule="auto"/>
        <w:ind w:left="720"/>
        <w:jc w:val="both"/>
        <w:rPr>
          <w:rFonts w:ascii="David" w:hAnsi="David"/>
          <w:rtl/>
        </w:rPr>
      </w:pPr>
    </w:p>
    <w:p w14:paraId="3D18B127" w14:textId="77777777" w:rsidR="00AE07AE" w:rsidRPr="00EF1BD0" w:rsidRDefault="00E31F7B" w:rsidP="00AE07AE">
      <w:pPr>
        <w:spacing w:line="360" w:lineRule="auto"/>
        <w:ind w:left="720"/>
        <w:jc w:val="both"/>
        <w:rPr>
          <w:rFonts w:ascii="David" w:hAnsi="David"/>
          <w:rtl/>
        </w:rPr>
      </w:pPr>
      <w:hyperlink r:id="rId45" w:history="1">
        <w:r w:rsidRPr="00E31F7B">
          <w:rPr>
            <w:rStyle w:val="Hyperlink"/>
            <w:rFonts w:ascii="David" w:hAnsi="David" w:hint="eastAsia"/>
            <w:rtl/>
          </w:rPr>
          <w:t>עפ</w:t>
        </w:r>
        <w:r w:rsidRPr="00E31F7B">
          <w:rPr>
            <w:rStyle w:val="Hyperlink"/>
            <w:rFonts w:ascii="David" w:hAnsi="David"/>
            <w:rtl/>
          </w:rPr>
          <w:t>"ג (חי') 62171-05-17</w:t>
        </w:r>
      </w:hyperlink>
      <w:r w:rsidR="00AE07AE">
        <w:rPr>
          <w:rFonts w:ascii="David" w:hAnsi="David" w:hint="cs"/>
          <w:rtl/>
        </w:rPr>
        <w:t xml:space="preserve"> </w:t>
      </w:r>
      <w:r w:rsidR="00AE07AE" w:rsidRPr="00EF1BD0">
        <w:rPr>
          <w:rFonts w:ascii="David" w:hAnsi="David" w:hint="cs"/>
          <w:b/>
          <w:bCs/>
          <w:rtl/>
        </w:rPr>
        <w:t>אסי יוסף חן נ' מדינת ישראל</w:t>
      </w:r>
      <w:r w:rsidR="00AE07AE">
        <w:rPr>
          <w:rFonts w:ascii="David" w:hAnsi="David" w:hint="cs"/>
          <w:rtl/>
        </w:rPr>
        <w:t xml:space="preserve"> (10.7.17),</w:t>
      </w:r>
      <w:r w:rsidR="00AE07AE">
        <w:rPr>
          <w:rFonts w:ascii="David" w:hAnsi="David" w:cs="Miriam" w:hint="cs"/>
          <w:rtl/>
        </w:rPr>
        <w:t xml:space="preserve"> </w:t>
      </w:r>
      <w:r w:rsidR="00AE07AE" w:rsidRPr="00EF1BD0">
        <w:rPr>
          <w:rFonts w:ascii="David" w:hAnsi="David" w:hint="cs"/>
          <w:rtl/>
        </w:rPr>
        <w:t>בו נדחה ערעור נאשם שהורשע בגידול 18 שתילים במשקל של 3.85 ק"ג ונידון ל-12 חודשי מאסר.</w:t>
      </w:r>
      <w:r w:rsidR="00AE07AE">
        <w:rPr>
          <w:rFonts w:ascii="David" w:hAnsi="David" w:cs="Miriam" w:hint="cs"/>
          <w:rtl/>
        </w:rPr>
        <w:t xml:space="preserve"> </w:t>
      </w:r>
      <w:r w:rsidR="00AE07AE" w:rsidRPr="00EF1BD0">
        <w:rPr>
          <w:rFonts w:ascii="David" w:hAnsi="David" w:hint="cs"/>
          <w:rtl/>
        </w:rPr>
        <w:t xml:space="preserve">במקרה זה המלצת שירות המבחן הייתה שיקומית </w:t>
      </w:r>
      <w:r w:rsidR="00AE07AE">
        <w:rPr>
          <w:rFonts w:ascii="David" w:hAnsi="David" w:hint="cs"/>
          <w:rtl/>
        </w:rPr>
        <w:t xml:space="preserve">אך </w:t>
      </w:r>
      <w:r w:rsidR="00AE07AE" w:rsidRPr="00EF1BD0">
        <w:rPr>
          <w:rFonts w:ascii="David" w:hAnsi="David" w:hint="cs"/>
          <w:rtl/>
        </w:rPr>
        <w:t>בית המשפט העדיף את עיקרון ההלימה.</w:t>
      </w:r>
      <w:r w:rsidR="00AE07AE">
        <w:rPr>
          <w:rFonts w:ascii="David" w:hAnsi="David" w:cs="Miriam" w:hint="cs"/>
          <w:rtl/>
        </w:rPr>
        <w:t xml:space="preserve"> </w:t>
      </w:r>
      <w:r w:rsidR="00AE07AE" w:rsidRPr="00EF1BD0">
        <w:rPr>
          <w:rFonts w:ascii="David" w:hAnsi="David" w:hint="cs"/>
          <w:rtl/>
        </w:rPr>
        <w:t>אציין כי בית המשפט המחוזי ראה כהולם במקרה זה מתחם ענישה הנע בין 8 חודשי מאסר ועד 20 חודשי מאסר.</w:t>
      </w:r>
    </w:p>
    <w:p w14:paraId="77510C57" w14:textId="77777777" w:rsidR="00AE07AE" w:rsidRPr="001A3B89" w:rsidRDefault="00AE07AE" w:rsidP="00AE07AE">
      <w:pPr>
        <w:spacing w:line="360" w:lineRule="auto"/>
        <w:jc w:val="both"/>
        <w:rPr>
          <w:rtl/>
        </w:rPr>
      </w:pPr>
    </w:p>
    <w:p w14:paraId="7B536A60" w14:textId="77777777" w:rsidR="00AE07AE" w:rsidRPr="006D1215" w:rsidRDefault="00156E72" w:rsidP="00AE07AE">
      <w:pPr>
        <w:spacing w:line="360" w:lineRule="auto"/>
        <w:ind w:left="720"/>
        <w:contextualSpacing/>
        <w:jc w:val="both"/>
        <w:rPr>
          <w:rFonts w:ascii="Arial" w:hAnsi="Arial"/>
          <w:rtl/>
        </w:rPr>
      </w:pPr>
      <w:hyperlink r:id="rId46" w:history="1">
        <w:r w:rsidRPr="00156E72">
          <w:rPr>
            <w:rFonts w:ascii="David" w:hAnsi="David"/>
            <w:color w:val="0000FF"/>
            <w:u w:val="single"/>
            <w:rtl/>
          </w:rPr>
          <w:t xml:space="preserve">ת"פ 31325-06-13 </w:t>
        </w:r>
      </w:hyperlink>
      <w:r w:rsidR="00AE07AE" w:rsidRPr="00E31F7B">
        <w:rPr>
          <w:rFonts w:ascii="David" w:hAnsi="David"/>
          <w:color w:val="000000"/>
          <w:rtl/>
        </w:rPr>
        <w:t xml:space="preserve"> </w:t>
      </w:r>
      <w:r w:rsidR="00AE07AE" w:rsidRPr="001A3B89">
        <w:rPr>
          <w:rFonts w:ascii="David" w:hAnsi="David"/>
          <w:rtl/>
        </w:rPr>
        <w:t xml:space="preserve"> </w:t>
      </w:r>
      <w:r w:rsidR="00AE07AE" w:rsidRPr="001A3B89">
        <w:rPr>
          <w:rFonts w:ascii="David" w:hAnsi="David" w:hint="eastAsia"/>
          <w:b/>
          <w:bCs/>
          <w:rtl/>
        </w:rPr>
        <w:t>מדינת</w:t>
      </w:r>
      <w:r w:rsidR="00AE07AE" w:rsidRPr="001A3B89">
        <w:rPr>
          <w:rFonts w:ascii="David" w:hAnsi="David"/>
          <w:b/>
          <w:bCs/>
          <w:rtl/>
        </w:rPr>
        <w:t xml:space="preserve"> </w:t>
      </w:r>
      <w:r w:rsidR="00AE07AE" w:rsidRPr="001A3B89">
        <w:rPr>
          <w:rFonts w:ascii="David" w:hAnsi="David" w:hint="eastAsia"/>
          <w:b/>
          <w:bCs/>
          <w:rtl/>
        </w:rPr>
        <w:t>ישראל</w:t>
      </w:r>
      <w:r w:rsidR="00AE07AE" w:rsidRPr="001A3B89">
        <w:rPr>
          <w:rFonts w:ascii="David" w:hAnsi="David"/>
          <w:b/>
          <w:bCs/>
          <w:rtl/>
        </w:rPr>
        <w:t xml:space="preserve"> </w:t>
      </w:r>
      <w:r w:rsidR="00AE07AE" w:rsidRPr="001A3B89">
        <w:rPr>
          <w:rFonts w:ascii="David" w:hAnsi="David" w:hint="eastAsia"/>
          <w:b/>
          <w:bCs/>
          <w:rtl/>
        </w:rPr>
        <w:t>נ</w:t>
      </w:r>
      <w:r w:rsidR="00AE07AE" w:rsidRPr="001A3B89">
        <w:rPr>
          <w:rFonts w:ascii="David" w:hAnsi="David"/>
          <w:b/>
          <w:bCs/>
          <w:rtl/>
        </w:rPr>
        <w:t xml:space="preserve">' </w:t>
      </w:r>
      <w:r w:rsidR="00AE07AE" w:rsidRPr="001A3B89">
        <w:rPr>
          <w:rFonts w:ascii="David" w:hAnsi="David" w:hint="eastAsia"/>
          <w:b/>
          <w:bCs/>
          <w:rtl/>
        </w:rPr>
        <w:t>בוחבוט</w:t>
      </w:r>
      <w:r w:rsidR="00AE07AE" w:rsidRPr="001A3B89">
        <w:rPr>
          <w:rFonts w:ascii="David" w:hAnsi="David"/>
          <w:rtl/>
        </w:rPr>
        <w:t xml:space="preserve"> (2.12.13)</w:t>
      </w:r>
      <w:r w:rsidR="00AE07AE">
        <w:rPr>
          <w:rFonts w:ascii="David" w:hAnsi="David" w:hint="cs"/>
          <w:rtl/>
        </w:rPr>
        <w:t>, בו</w:t>
      </w:r>
      <w:r w:rsidR="00AE07AE" w:rsidRPr="001A3B89">
        <w:rPr>
          <w:rFonts w:ascii="David" w:hAnsi="David"/>
          <w:rtl/>
        </w:rPr>
        <w:t xml:space="preserve"> </w:t>
      </w:r>
      <w:r w:rsidR="00AE07AE" w:rsidRPr="001A3B89">
        <w:rPr>
          <w:rFonts w:ascii="Arial" w:hAnsi="Arial"/>
          <w:rtl/>
        </w:rPr>
        <w:t xml:space="preserve">הורשע נאשם בגידול סם מסוכן מסוג קנבוס במשקל של </w:t>
      </w:r>
      <w:smartTag w:uri="urn:schemas-microsoft-com:office:smarttags" w:element="metricconverter">
        <w:smartTagPr>
          <w:attr w:name="ProductID" w:val="15.02 ק&quot;ג"/>
        </w:smartTagPr>
        <w:r w:rsidR="00AE07AE" w:rsidRPr="001A3B89">
          <w:rPr>
            <w:rFonts w:ascii="Arial" w:hAnsi="Arial"/>
            <w:rtl/>
          </w:rPr>
          <w:t xml:space="preserve">15.02 </w:t>
        </w:r>
        <w:r w:rsidR="00AE07AE" w:rsidRPr="006D1215">
          <w:rPr>
            <w:rFonts w:ascii="Arial" w:hAnsi="Arial"/>
            <w:rtl/>
          </w:rPr>
          <w:t>ק"ג</w:t>
        </w:r>
      </w:smartTag>
      <w:r w:rsidR="00AE07AE" w:rsidRPr="006D1215">
        <w:rPr>
          <w:rFonts w:ascii="Arial" w:hAnsi="Arial"/>
          <w:rtl/>
        </w:rPr>
        <w:t xml:space="preserve"> וגניבת חשמל. חרף עברו הפלילי הקל, ונסיבות אישיות לא קלות, הוטלו עליו 10 חודשי מאסר לריצוי בפועל. </w:t>
      </w:r>
    </w:p>
    <w:p w14:paraId="4A24DFFB" w14:textId="77777777" w:rsidR="00AE07AE" w:rsidRPr="006D1215" w:rsidRDefault="00AE07AE" w:rsidP="00AE07AE">
      <w:pPr>
        <w:spacing w:line="360" w:lineRule="auto"/>
        <w:ind w:left="720"/>
        <w:jc w:val="both"/>
        <w:rPr>
          <w:rFonts w:ascii="Arial (W1)" w:hAnsi="Arial (W1)"/>
          <w:rtl/>
        </w:rPr>
      </w:pPr>
    </w:p>
    <w:p w14:paraId="03B18AD0" w14:textId="77777777" w:rsidR="00AE07AE" w:rsidRPr="001A3B89" w:rsidRDefault="00AE07AE" w:rsidP="00AE07AE">
      <w:pPr>
        <w:pStyle w:val="ListParagraph"/>
        <w:numPr>
          <w:ilvl w:val="0"/>
          <w:numId w:val="2"/>
        </w:numPr>
        <w:spacing w:line="360" w:lineRule="auto"/>
        <w:jc w:val="both"/>
        <w:rPr>
          <w:rFonts w:ascii="David" w:hAnsi="David"/>
          <w:rtl/>
        </w:rPr>
      </w:pPr>
      <w:r w:rsidRPr="001A3B89">
        <w:rPr>
          <w:rFonts w:cs="David"/>
          <w:rtl/>
        </w:rPr>
        <w:t xml:space="preserve">לאור כל זאת, אני בדעה כי מתחם הענישה ההולם את העבירות מושא ענייננו, </w:t>
      </w:r>
      <w:r>
        <w:rPr>
          <w:rFonts w:cs="David" w:hint="cs"/>
          <w:rtl/>
        </w:rPr>
        <w:t xml:space="preserve">נע בין 10 חודשי מאסר בפועל ל- 30 </w:t>
      </w:r>
      <w:r w:rsidRPr="001A3B89">
        <w:rPr>
          <w:rFonts w:cs="David"/>
          <w:rtl/>
        </w:rPr>
        <w:t xml:space="preserve">חודשי מאסר בפועל. </w:t>
      </w:r>
    </w:p>
    <w:p w14:paraId="4D26ECE2" w14:textId="77777777" w:rsidR="00AE07AE" w:rsidRDefault="00AE07AE" w:rsidP="00AE07AE">
      <w:pPr>
        <w:rPr>
          <w:b/>
          <w:bCs/>
          <w:rtl/>
        </w:rPr>
      </w:pPr>
    </w:p>
    <w:p w14:paraId="695A7117" w14:textId="77777777" w:rsidR="00AE07AE" w:rsidRDefault="00AE07AE" w:rsidP="00AE07AE">
      <w:pPr>
        <w:spacing w:line="360" w:lineRule="auto"/>
        <w:ind w:firstLine="360"/>
        <w:jc w:val="both"/>
        <w:rPr>
          <w:b/>
          <w:bCs/>
          <w:u w:val="single"/>
          <w:rtl/>
        </w:rPr>
      </w:pPr>
      <w:r w:rsidRPr="007C3C94">
        <w:rPr>
          <w:rFonts w:hint="cs"/>
          <w:b/>
          <w:bCs/>
          <w:u w:val="single"/>
          <w:rtl/>
        </w:rPr>
        <w:t>קביעת עונשו של הנאשם</w:t>
      </w:r>
    </w:p>
    <w:p w14:paraId="4DB17B23" w14:textId="77777777" w:rsidR="00AE07AE" w:rsidRDefault="00AE07AE" w:rsidP="00AE07AE">
      <w:pPr>
        <w:spacing w:line="360" w:lineRule="auto"/>
        <w:ind w:left="360"/>
        <w:jc w:val="both"/>
        <w:rPr>
          <w:b/>
          <w:bCs/>
          <w:u w:val="single"/>
          <w:rtl/>
        </w:rPr>
      </w:pPr>
    </w:p>
    <w:p w14:paraId="2CCDCA41" w14:textId="77777777" w:rsidR="00AE07AE" w:rsidRDefault="00AE07AE" w:rsidP="00AE07AE">
      <w:pPr>
        <w:numPr>
          <w:ilvl w:val="0"/>
          <w:numId w:val="2"/>
        </w:numPr>
        <w:spacing w:line="360" w:lineRule="auto"/>
        <w:contextualSpacing/>
        <w:jc w:val="both"/>
      </w:pPr>
      <w:r>
        <w:rPr>
          <w:rFonts w:hint="cs"/>
          <w:rtl/>
        </w:rPr>
        <w:t xml:space="preserve">קביעת עונשו של הנאשם מציבה משני צדי המתרס שיקולים נוגדים. מצד אחד, הנאשם הוא אדם צעיר יחסית שעברו אינו מכביד. שירות המבחן התרשם מאדם חיובי ביסודו וביקש לאור כך לשלבו בהליך טיפולי. מן העבר השני, העבירה אותה עבר הנאשם חמורה ומתחם הענישה ההולם בעניינה מדבר בעד עצמו. אין לשכוח עוד שמדובר בעבירה שהפכה בשנים האחרונות נפוצה מאוד ומספר כתבי האישום המוגשים בנושא יעיד. בעניין זה ציין בית המשפט המחוזי כי: </w:t>
      </w:r>
    </w:p>
    <w:p w14:paraId="6DD4DF99" w14:textId="77777777" w:rsidR="00AE07AE" w:rsidRDefault="00AE07AE" w:rsidP="00AE07AE">
      <w:pPr>
        <w:spacing w:line="360" w:lineRule="auto"/>
        <w:ind w:left="720"/>
        <w:contextualSpacing/>
        <w:jc w:val="both"/>
        <w:rPr>
          <w:rtl/>
        </w:rPr>
      </w:pPr>
    </w:p>
    <w:p w14:paraId="1A92F56F" w14:textId="77777777" w:rsidR="00AE07AE" w:rsidRDefault="00AE07AE" w:rsidP="00AE07AE">
      <w:pPr>
        <w:pStyle w:val="ListParagraph"/>
        <w:tabs>
          <w:tab w:val="left" w:pos="7654"/>
        </w:tabs>
        <w:spacing w:line="360" w:lineRule="auto"/>
        <w:ind w:left="1417" w:right="851"/>
        <w:jc w:val="both"/>
        <w:rPr>
          <w:rFonts w:cs="David"/>
          <w:rtl/>
        </w:rPr>
      </w:pPr>
      <w:r w:rsidRPr="00AD3389">
        <w:rPr>
          <w:rFonts w:cs="Miriam"/>
          <w:rtl/>
        </w:rPr>
        <w:t>"נראה כי התופעה של מעבדות סמים הפכה להיות "להיט". העבירה הפכה להיות נפוצה ומצדנו נוסיף, גם נפיצה שהרי גלום בה פוטנציאל סיכון רב ביותר. גידול הסמים כנראה הוא קל ופשוט יחסית ושמא עובדה זו מעודדת אנשים רבים לעסוק בגידול הסם.</w:t>
      </w:r>
      <w:r>
        <w:rPr>
          <w:rFonts w:cs="David" w:hint="cs"/>
          <w:rtl/>
        </w:rPr>
        <w:t xml:space="preserve"> </w:t>
      </w:r>
    </w:p>
    <w:p w14:paraId="12DE58C0" w14:textId="77777777" w:rsidR="00AE07AE" w:rsidRPr="006F5C14" w:rsidRDefault="00AE07AE" w:rsidP="00AE07AE">
      <w:pPr>
        <w:pStyle w:val="ListParagraph"/>
        <w:tabs>
          <w:tab w:val="left" w:pos="7654"/>
        </w:tabs>
        <w:spacing w:line="360" w:lineRule="auto"/>
        <w:ind w:left="1417" w:right="851"/>
        <w:jc w:val="both"/>
        <w:rPr>
          <w:rFonts w:cs="David"/>
        </w:rPr>
      </w:pPr>
      <w:r>
        <w:rPr>
          <w:rFonts w:cs="David" w:hint="cs"/>
          <w:rtl/>
        </w:rPr>
        <w:t>(</w:t>
      </w:r>
      <w:hyperlink r:id="rId47" w:history="1">
        <w:r w:rsidR="00E31F7B" w:rsidRPr="00E31F7B">
          <w:rPr>
            <w:rStyle w:val="Hyperlink"/>
            <w:rFonts w:cs="David"/>
            <w:rtl/>
          </w:rPr>
          <w:t>עפ"ג 24376-07-14</w:t>
        </w:r>
      </w:hyperlink>
      <w:r w:rsidRPr="005717C4">
        <w:rPr>
          <w:rFonts w:cs="David"/>
          <w:rtl/>
        </w:rPr>
        <w:t xml:space="preserve"> </w:t>
      </w:r>
      <w:r w:rsidRPr="00974015">
        <w:rPr>
          <w:rFonts w:cs="David"/>
          <w:b/>
          <w:bCs/>
          <w:rtl/>
        </w:rPr>
        <w:t>אדי עמר נ' מדינת ישראל</w:t>
      </w:r>
      <w:r w:rsidRPr="005717C4">
        <w:rPr>
          <w:rFonts w:cs="David"/>
          <w:rtl/>
        </w:rPr>
        <w:t xml:space="preserve"> (18.2.15)</w:t>
      </w:r>
    </w:p>
    <w:p w14:paraId="76FF84C7" w14:textId="77777777" w:rsidR="00AE07AE" w:rsidRPr="00A34BE4" w:rsidRDefault="00AE07AE" w:rsidP="00AE07AE">
      <w:pPr>
        <w:rPr>
          <w:b/>
          <w:bCs/>
          <w:rtl/>
        </w:rPr>
      </w:pPr>
    </w:p>
    <w:p w14:paraId="4395CDFD" w14:textId="77777777" w:rsidR="00AE07AE" w:rsidRDefault="00AE07AE" w:rsidP="00AE07AE">
      <w:pPr>
        <w:numPr>
          <w:ilvl w:val="0"/>
          <w:numId w:val="2"/>
        </w:numPr>
        <w:spacing w:line="360" w:lineRule="auto"/>
        <w:contextualSpacing/>
        <w:jc w:val="both"/>
      </w:pPr>
      <w:r>
        <w:rPr>
          <w:rFonts w:hint="cs"/>
          <w:rtl/>
        </w:rPr>
        <w:t xml:space="preserve">ביחס לעבירות שהופכות נפוצות נקבע כי </w:t>
      </w:r>
      <w:r w:rsidRPr="004F3365">
        <w:rPr>
          <w:rFonts w:cs="Miriam"/>
          <w:rtl/>
        </w:rPr>
        <w:t>"אין זה בלתי סביר כי מקום בו מזהה בית המשפט עליה משמעותית בפעילות עבריינית מסוג מסוים הוא ינקוט במענה עונשי הולם במסגרת הגשמת אחת מתכליותיה המרכזיות של מלאכת גזירת הדין – הרתעת היחיד והרתעת הרבים"</w:t>
      </w:r>
      <w:r w:rsidRPr="00DE4C8B">
        <w:rPr>
          <w:rtl/>
        </w:rPr>
        <w:t xml:space="preserve"> (</w:t>
      </w:r>
      <w:hyperlink r:id="rId48" w:history="1">
        <w:r w:rsidR="00E31F7B" w:rsidRPr="00E31F7B">
          <w:rPr>
            <w:rStyle w:val="Hyperlink"/>
            <w:rtl/>
          </w:rPr>
          <w:t>ע"פ 3160/12</w:t>
        </w:r>
      </w:hyperlink>
      <w:r w:rsidRPr="00DE4C8B">
        <w:rPr>
          <w:rtl/>
        </w:rPr>
        <w:t xml:space="preserve"> </w:t>
      </w:r>
      <w:r w:rsidRPr="004F3365">
        <w:rPr>
          <w:b/>
          <w:bCs/>
          <w:rtl/>
        </w:rPr>
        <w:t>דומוס כריסטיאן נ' מדינת ישראל</w:t>
      </w:r>
      <w:r w:rsidRPr="00DE4C8B">
        <w:rPr>
          <w:rtl/>
        </w:rPr>
        <w:t xml:space="preserve"> (21.4.13)).</w:t>
      </w:r>
      <w:r>
        <w:rPr>
          <w:rFonts w:hint="cs"/>
          <w:rtl/>
        </w:rPr>
        <w:t xml:space="preserve"> </w:t>
      </w:r>
      <w:r w:rsidRPr="00DE4C8B">
        <w:rPr>
          <w:rtl/>
        </w:rPr>
        <w:t xml:space="preserve"> </w:t>
      </w:r>
    </w:p>
    <w:p w14:paraId="650C3AF3" w14:textId="77777777" w:rsidR="00AE07AE" w:rsidRDefault="00AE07AE" w:rsidP="00AE07AE">
      <w:pPr>
        <w:spacing w:line="360" w:lineRule="auto"/>
        <w:ind w:left="720"/>
        <w:contextualSpacing/>
        <w:jc w:val="both"/>
        <w:rPr>
          <w:rtl/>
        </w:rPr>
      </w:pPr>
    </w:p>
    <w:p w14:paraId="213E6687" w14:textId="77777777" w:rsidR="00AE07AE" w:rsidRPr="008C3C49" w:rsidRDefault="00AE07AE" w:rsidP="00AE07AE">
      <w:pPr>
        <w:numPr>
          <w:ilvl w:val="0"/>
          <w:numId w:val="2"/>
        </w:numPr>
        <w:spacing w:line="360" w:lineRule="auto"/>
        <w:contextualSpacing/>
        <w:jc w:val="both"/>
        <w:rPr>
          <w:rtl/>
        </w:rPr>
      </w:pPr>
      <w:r>
        <w:rPr>
          <w:rFonts w:hint="cs"/>
          <w:rtl/>
        </w:rPr>
        <w:t xml:space="preserve">לכך יש להוסיף כי מדובר בעבירה כלכלית (לפחות בחלקה) שיש בצדה סיכויי לרווח ממשי ומהיר. </w:t>
      </w:r>
      <w:r w:rsidRPr="008C3C49">
        <w:rPr>
          <w:rtl/>
        </w:rPr>
        <w:t xml:space="preserve">בעניין זה נקבע כי </w:t>
      </w:r>
      <w:r w:rsidRPr="008C3C49">
        <w:rPr>
          <w:rFonts w:cs="Miriam"/>
          <w:rtl/>
        </w:rPr>
        <w:t>"</w:t>
      </w:r>
      <w:r w:rsidRPr="008C3C49">
        <w:rPr>
          <w:rFonts w:ascii="Arial TUR" w:hAnsi="Arial TUR" w:cs="Miriam"/>
          <w:spacing w:val="10"/>
          <w:rtl/>
        </w:rPr>
        <w:t>עבירות כלכליות נעברות לרוב על ידי נאשמים רציונאליים המחשבים – במחשבה תחילה, שלא בלהט הרגע ושלא תחת השפעת סמים ואלכוהול – שכר עבירה כנגד הפסדה ... שיקולים אלו יילקחו מן הסתם בחשבון על ידי מי ששוקלים לבצע עבירות דומות.... בבואנו לבחון את שאלת יעילותה והצלחתה של ההרתעה, יש להבחין בין עבירות אינסטרומנטליות ורציונליות – ובכלל זה עבירות כלכליות – לבין עבירות אימפולסיביות הנעברות בלהט הרגע</w:t>
      </w:r>
      <w:r w:rsidRPr="008C3C49">
        <w:rPr>
          <w:rFonts w:cs="Miriam"/>
          <w:rtl/>
        </w:rPr>
        <w:t>...</w:t>
      </w:r>
      <w:r w:rsidRPr="008C3C49">
        <w:rPr>
          <w:rFonts w:ascii="Arial TUR" w:hAnsi="Arial TUR" w:cs="Miriam"/>
          <w:spacing w:val="10"/>
          <w:rtl/>
        </w:rPr>
        <w:t>.</w:t>
      </w:r>
      <w:r w:rsidRPr="008C3C49">
        <w:rPr>
          <w:rFonts w:cs="Miriam"/>
          <w:rtl/>
        </w:rPr>
        <w:t xml:space="preserve">" </w:t>
      </w:r>
      <w:r w:rsidRPr="008C3C49">
        <w:rPr>
          <w:rtl/>
        </w:rPr>
        <w:t>(</w:t>
      </w:r>
      <w:hyperlink r:id="rId49" w:history="1">
        <w:r w:rsidR="00E31F7B" w:rsidRPr="00E31F7B">
          <w:rPr>
            <w:rStyle w:val="Hyperlink"/>
            <w:rtl/>
          </w:rPr>
          <w:t>ע"פ 1656/16</w:t>
        </w:r>
      </w:hyperlink>
      <w:r w:rsidRPr="008C3C49">
        <w:rPr>
          <w:rtl/>
        </w:rPr>
        <w:t xml:space="preserve"> </w:t>
      </w:r>
      <w:r w:rsidRPr="008C3C49">
        <w:rPr>
          <w:b/>
          <w:bCs/>
          <w:rtl/>
        </w:rPr>
        <w:t xml:space="preserve">ישעיהו דוידוביץ ואח' נ' מדינת ישראל </w:t>
      </w:r>
      <w:r w:rsidRPr="008C3C49">
        <w:rPr>
          <w:rtl/>
        </w:rPr>
        <w:t xml:space="preserve">(20.3.17)). </w:t>
      </w:r>
      <w:r>
        <w:rPr>
          <w:rFonts w:hint="cs"/>
          <w:rtl/>
        </w:rPr>
        <w:t xml:space="preserve">דעתי היא שעבירה מסוג זה </w:t>
      </w:r>
      <w:r w:rsidRPr="008C3C49">
        <w:rPr>
          <w:rtl/>
        </w:rPr>
        <w:t xml:space="preserve">היא עבירה בה העבריין שוקל שיקולי כדאיות – הפסד ורווח. אין לשגות ולזהות עבירה זו עם דחף אימפולסיבי הנובע מהצורך בסמים. </w:t>
      </w:r>
      <w:r>
        <w:rPr>
          <w:rFonts w:hint="cs"/>
          <w:rtl/>
        </w:rPr>
        <w:t>כאמור</w:t>
      </w:r>
      <w:r w:rsidRPr="008C3C49">
        <w:rPr>
          <w:rtl/>
        </w:rPr>
        <w:t xml:space="preserve">, מדובר בעבירה מתוכננת היטב, שאינה "חד פעמית" אלא מבוצעת לאורך זמן רב, תוך השקעה יום יומית של ממון ועמל. הפיתוי לרווח קל ומהיר שניתן להפיק מגידול של סם בתוך דירה מוסתרת מעין, בצד הקושי שבחשיפת עבירות אלו, מחייב </w:t>
      </w:r>
      <w:r>
        <w:rPr>
          <w:rFonts w:hint="cs"/>
          <w:rtl/>
        </w:rPr>
        <w:t xml:space="preserve">בחינה קפדנית של העונש ההולם, גם כאשר מדובר באנשים שאינם בעלי דפוסי התנהגות עברייניים טיפוסיים. </w:t>
      </w:r>
    </w:p>
    <w:p w14:paraId="71F0123F" w14:textId="77777777" w:rsidR="00AE07AE" w:rsidRDefault="00AE07AE" w:rsidP="00AE07AE">
      <w:pPr>
        <w:spacing w:line="360" w:lineRule="auto"/>
        <w:ind w:left="720"/>
        <w:contextualSpacing/>
        <w:jc w:val="both"/>
        <w:rPr>
          <w:rtl/>
        </w:rPr>
      </w:pPr>
    </w:p>
    <w:p w14:paraId="21F8E67C" w14:textId="77777777" w:rsidR="00AE07AE" w:rsidRDefault="00AE07AE" w:rsidP="00AE07AE">
      <w:pPr>
        <w:numPr>
          <w:ilvl w:val="0"/>
          <w:numId w:val="2"/>
        </w:numPr>
        <w:spacing w:line="360" w:lineRule="auto"/>
        <w:contextualSpacing/>
        <w:jc w:val="both"/>
      </w:pPr>
      <w:r>
        <w:rPr>
          <w:rFonts w:hint="cs"/>
          <w:rtl/>
        </w:rPr>
        <w:t xml:space="preserve">ועדיין ענייננו בענישה אינדיווידואלית המתרכזת בנאשם הספציפי ובנתוניו והשאלה היא אם ראוי בנסיבות המקרה הספציפי לחרוג ממתחם הענישה בשל סיכויי שיקומו של הנאשם. אומר כבר עתה כי אינני סבור שזהו המקרה המתאים לכך. אנמק עמדתי. </w:t>
      </w:r>
    </w:p>
    <w:p w14:paraId="64AEF697" w14:textId="77777777" w:rsidR="00AE07AE" w:rsidRDefault="00AE07AE" w:rsidP="00AE07AE">
      <w:pPr>
        <w:spacing w:line="360" w:lineRule="auto"/>
        <w:ind w:left="720"/>
        <w:contextualSpacing/>
        <w:jc w:val="both"/>
      </w:pPr>
    </w:p>
    <w:p w14:paraId="2736ED00" w14:textId="77777777" w:rsidR="00AE07AE" w:rsidRDefault="00AE07AE" w:rsidP="00AE07AE">
      <w:pPr>
        <w:numPr>
          <w:ilvl w:val="0"/>
          <w:numId w:val="2"/>
        </w:numPr>
        <w:spacing w:line="360" w:lineRule="auto"/>
        <w:contextualSpacing/>
        <w:jc w:val="both"/>
      </w:pPr>
      <w:r>
        <w:rPr>
          <w:rFonts w:hint="cs"/>
          <w:rtl/>
        </w:rPr>
        <w:t xml:space="preserve">אין חולק בדבר החשיבות שבשיקום נאשם. אין מדובר רק באינטרס של הנאשם אלא באינטרס החברה כולה. אדם ששוקם הוא אדם התורם לחברה וממילא שאינו פוגע בה. מכאן, החשיבות והמאמץ שיש להשקיע לצורך שיקום עבריינים והחזרתם למוטב. ואולם </w:t>
      </w:r>
      <w:r w:rsidRPr="00513918">
        <w:rPr>
          <w:rFonts w:cs="Miriam"/>
          <w:rtl/>
        </w:rPr>
        <w:t>"</w:t>
      </w:r>
      <w:r w:rsidRPr="00513918">
        <w:rPr>
          <w:rFonts w:ascii="Garamond" w:hAnsi="Garamond" w:cs="Miriam" w:hint="eastAsia"/>
          <w:spacing w:val="10"/>
          <w:rtl/>
        </w:rPr>
        <w:t>יש</w:t>
      </w:r>
      <w:r w:rsidRPr="00513918">
        <w:rPr>
          <w:rFonts w:ascii="Garamond" w:hAnsi="Garamond" w:cs="Miriam"/>
          <w:spacing w:val="10"/>
          <w:rtl/>
        </w:rPr>
        <w:t xml:space="preserve"> </w:t>
      </w:r>
      <w:r w:rsidRPr="00513918">
        <w:rPr>
          <w:rFonts w:ascii="Garamond" w:hAnsi="Garamond" w:cs="Miriam" w:hint="eastAsia"/>
          <w:spacing w:val="10"/>
          <w:rtl/>
        </w:rPr>
        <w:t>לחזור</w:t>
      </w:r>
      <w:r w:rsidRPr="00513918">
        <w:rPr>
          <w:rFonts w:ascii="Garamond" w:hAnsi="Garamond" w:cs="Miriam"/>
          <w:spacing w:val="10"/>
          <w:rtl/>
        </w:rPr>
        <w:t xml:space="preserve"> </w:t>
      </w:r>
      <w:r w:rsidRPr="00513918">
        <w:rPr>
          <w:rFonts w:ascii="Garamond" w:hAnsi="Garamond" w:cs="Miriam" w:hint="eastAsia"/>
          <w:spacing w:val="10"/>
          <w:rtl/>
        </w:rPr>
        <w:t>ולהבהיר</w:t>
      </w:r>
      <w:r w:rsidRPr="00513918">
        <w:rPr>
          <w:rFonts w:ascii="Garamond" w:hAnsi="Garamond" w:cs="Miriam"/>
          <w:spacing w:val="10"/>
          <w:rtl/>
        </w:rPr>
        <w:t xml:space="preserve">, </w:t>
      </w:r>
      <w:r w:rsidRPr="00513918">
        <w:rPr>
          <w:rFonts w:ascii="Garamond" w:hAnsi="Garamond" w:cs="Miriam" w:hint="eastAsia"/>
          <w:spacing w:val="10"/>
          <w:rtl/>
        </w:rPr>
        <w:t>כי</w:t>
      </w:r>
      <w:r w:rsidRPr="00513918">
        <w:rPr>
          <w:rFonts w:ascii="Garamond" w:hAnsi="Garamond" w:cs="Miriam"/>
          <w:spacing w:val="10"/>
          <w:rtl/>
        </w:rPr>
        <w:t xml:space="preserve"> </w:t>
      </w:r>
      <w:r w:rsidRPr="00513918">
        <w:rPr>
          <w:rFonts w:ascii="Garamond" w:hAnsi="Garamond" w:cs="Miriam" w:hint="eastAsia"/>
          <w:spacing w:val="10"/>
          <w:rtl/>
        </w:rPr>
        <w:t>הגם</w:t>
      </w:r>
      <w:r w:rsidRPr="00513918">
        <w:rPr>
          <w:rFonts w:ascii="Garamond" w:hAnsi="Garamond" w:cs="Miriam"/>
          <w:spacing w:val="10"/>
          <w:rtl/>
        </w:rPr>
        <w:t xml:space="preserve"> </w:t>
      </w:r>
      <w:r w:rsidRPr="00513918">
        <w:rPr>
          <w:rFonts w:ascii="Garamond" w:hAnsi="Garamond" w:cs="Miriam" w:hint="eastAsia"/>
          <w:spacing w:val="10"/>
          <w:rtl/>
        </w:rPr>
        <w:t>שישנה</w:t>
      </w:r>
      <w:r w:rsidRPr="00513918">
        <w:rPr>
          <w:rFonts w:ascii="Garamond" w:hAnsi="Garamond" w:cs="Miriam"/>
          <w:spacing w:val="10"/>
          <w:rtl/>
        </w:rPr>
        <w:t xml:space="preserve"> </w:t>
      </w:r>
      <w:r w:rsidRPr="00513918">
        <w:rPr>
          <w:rFonts w:ascii="Garamond" w:hAnsi="Garamond" w:cs="Miriam" w:hint="eastAsia"/>
          <w:spacing w:val="10"/>
          <w:rtl/>
        </w:rPr>
        <w:t>חשיבות</w:t>
      </w:r>
      <w:r w:rsidRPr="00513918">
        <w:rPr>
          <w:rFonts w:ascii="Garamond" w:hAnsi="Garamond" w:cs="Miriam"/>
          <w:spacing w:val="10"/>
          <w:rtl/>
        </w:rPr>
        <w:t xml:space="preserve"> </w:t>
      </w:r>
      <w:r w:rsidRPr="00513918">
        <w:rPr>
          <w:rFonts w:ascii="Garamond" w:hAnsi="Garamond" w:cs="Miriam" w:hint="eastAsia"/>
          <w:spacing w:val="10"/>
          <w:rtl/>
        </w:rPr>
        <w:t>לשיקולי</w:t>
      </w:r>
      <w:r w:rsidRPr="00513918">
        <w:rPr>
          <w:rFonts w:ascii="Garamond" w:hAnsi="Garamond" w:cs="Miriam"/>
          <w:spacing w:val="10"/>
          <w:rtl/>
        </w:rPr>
        <w:t xml:space="preserve"> </w:t>
      </w:r>
      <w:r w:rsidRPr="00513918">
        <w:rPr>
          <w:rFonts w:ascii="Garamond" w:hAnsi="Garamond" w:cs="Miriam" w:hint="eastAsia"/>
          <w:spacing w:val="10"/>
          <w:rtl/>
        </w:rPr>
        <w:t>השיקום</w:t>
      </w:r>
      <w:r w:rsidRPr="00513918">
        <w:rPr>
          <w:rFonts w:ascii="Garamond" w:hAnsi="Garamond" w:cs="Miriam"/>
          <w:spacing w:val="10"/>
          <w:rtl/>
        </w:rPr>
        <w:t xml:space="preserve">, </w:t>
      </w:r>
      <w:r w:rsidRPr="00513918">
        <w:rPr>
          <w:rFonts w:ascii="Garamond" w:hAnsi="Garamond" w:cs="Miriam" w:hint="eastAsia"/>
          <w:spacing w:val="10"/>
          <w:rtl/>
        </w:rPr>
        <w:t>הם</w:t>
      </w:r>
      <w:r w:rsidRPr="00513918">
        <w:rPr>
          <w:rFonts w:ascii="Garamond" w:hAnsi="Garamond" w:cs="Miriam"/>
          <w:spacing w:val="10"/>
          <w:rtl/>
        </w:rPr>
        <w:t xml:space="preserve"> </w:t>
      </w:r>
      <w:r w:rsidRPr="00513918">
        <w:rPr>
          <w:rFonts w:ascii="Garamond" w:hAnsi="Garamond" w:cs="Miriam" w:hint="eastAsia"/>
          <w:spacing w:val="10"/>
          <w:rtl/>
        </w:rPr>
        <w:t>אינם</w:t>
      </w:r>
      <w:r w:rsidRPr="00513918">
        <w:rPr>
          <w:rFonts w:ascii="Garamond" w:hAnsi="Garamond" w:cs="Miriam"/>
          <w:spacing w:val="10"/>
          <w:rtl/>
        </w:rPr>
        <w:t xml:space="preserve"> </w:t>
      </w:r>
      <w:r w:rsidRPr="00513918">
        <w:rPr>
          <w:rFonts w:ascii="Garamond" w:hAnsi="Garamond" w:cs="Miriam" w:hint="eastAsia"/>
          <w:spacing w:val="10"/>
          <w:rtl/>
        </w:rPr>
        <w:t>חזות</w:t>
      </w:r>
      <w:r w:rsidRPr="00513918">
        <w:rPr>
          <w:rFonts w:ascii="Garamond" w:hAnsi="Garamond" w:cs="Miriam"/>
          <w:spacing w:val="10"/>
          <w:rtl/>
        </w:rPr>
        <w:t xml:space="preserve"> </w:t>
      </w:r>
      <w:r w:rsidRPr="00513918">
        <w:rPr>
          <w:rFonts w:ascii="Garamond" w:hAnsi="Garamond" w:cs="Miriam" w:hint="eastAsia"/>
          <w:spacing w:val="10"/>
          <w:rtl/>
        </w:rPr>
        <w:t>הכול</w:t>
      </w:r>
      <w:r w:rsidRPr="00513918">
        <w:rPr>
          <w:rFonts w:ascii="Garamond" w:hAnsi="Garamond" w:cs="Miriam"/>
          <w:spacing w:val="10"/>
          <w:rtl/>
        </w:rPr>
        <w:t xml:space="preserve">, </w:t>
      </w:r>
      <w:r w:rsidRPr="00513918">
        <w:rPr>
          <w:rFonts w:ascii="Garamond" w:hAnsi="Garamond" w:cs="Miriam" w:hint="eastAsia"/>
          <w:spacing w:val="10"/>
          <w:rtl/>
        </w:rPr>
        <w:t>ובצדם</w:t>
      </w:r>
      <w:r w:rsidRPr="00513918">
        <w:rPr>
          <w:rFonts w:ascii="Garamond" w:hAnsi="Garamond" w:cs="Miriam"/>
          <w:spacing w:val="10"/>
          <w:rtl/>
        </w:rPr>
        <w:t xml:space="preserve"> </w:t>
      </w:r>
      <w:r w:rsidRPr="00513918">
        <w:rPr>
          <w:rFonts w:ascii="Garamond" w:hAnsi="Garamond" w:cs="Miriam" w:hint="eastAsia"/>
          <w:spacing w:val="10"/>
          <w:rtl/>
        </w:rPr>
        <w:t>ניצבים</w:t>
      </w:r>
      <w:r w:rsidRPr="00513918">
        <w:rPr>
          <w:rFonts w:ascii="Garamond" w:hAnsi="Garamond" w:cs="Miriam"/>
          <w:spacing w:val="10"/>
          <w:rtl/>
        </w:rPr>
        <w:t xml:space="preserve"> </w:t>
      </w:r>
      <w:r w:rsidRPr="00513918">
        <w:rPr>
          <w:rFonts w:ascii="Garamond" w:hAnsi="Garamond" w:cs="Miriam" w:hint="eastAsia"/>
          <w:spacing w:val="10"/>
          <w:rtl/>
        </w:rPr>
        <w:t>שיקולי</w:t>
      </w:r>
      <w:r w:rsidRPr="00513918">
        <w:rPr>
          <w:rFonts w:ascii="Garamond" w:hAnsi="Garamond" w:cs="Miriam"/>
          <w:spacing w:val="10"/>
          <w:rtl/>
        </w:rPr>
        <w:t xml:space="preserve"> </w:t>
      </w:r>
      <w:r w:rsidRPr="00513918">
        <w:rPr>
          <w:rFonts w:ascii="Garamond" w:hAnsi="Garamond" w:cs="Miriam" w:hint="eastAsia"/>
          <w:spacing w:val="10"/>
          <w:rtl/>
        </w:rPr>
        <w:t>הגמול</w:t>
      </w:r>
      <w:r w:rsidRPr="00513918">
        <w:rPr>
          <w:rFonts w:ascii="Garamond" w:hAnsi="Garamond" w:cs="Miriam"/>
          <w:spacing w:val="10"/>
          <w:rtl/>
        </w:rPr>
        <w:t xml:space="preserve"> </w:t>
      </w:r>
      <w:r w:rsidRPr="00513918">
        <w:rPr>
          <w:rFonts w:ascii="Garamond" w:hAnsi="Garamond" w:cs="Miriam" w:hint="eastAsia"/>
          <w:spacing w:val="10"/>
          <w:rtl/>
        </w:rPr>
        <w:t>וההרתעה</w:t>
      </w:r>
      <w:r w:rsidRPr="00513918">
        <w:rPr>
          <w:rFonts w:cs="Miriam"/>
          <w:rtl/>
        </w:rPr>
        <w:t>"(</w:t>
      </w:r>
      <w:hyperlink r:id="rId50" w:history="1">
        <w:r w:rsidR="00E31F7B" w:rsidRPr="00E31F7B">
          <w:rPr>
            <w:rStyle w:val="Hyperlink"/>
            <w:rtl/>
          </w:rPr>
          <w:t>ע"פ 5376/15</w:t>
        </w:r>
      </w:hyperlink>
      <w:r w:rsidRPr="00836C85">
        <w:rPr>
          <w:rtl/>
        </w:rPr>
        <w:t xml:space="preserve"> </w:t>
      </w:r>
      <w:r w:rsidRPr="00513918">
        <w:rPr>
          <w:b/>
          <w:bCs/>
          <w:rtl/>
        </w:rPr>
        <w:t>ניסים ביטון נ' מדינת ישראל</w:t>
      </w:r>
      <w:r w:rsidRPr="00836C85">
        <w:rPr>
          <w:rtl/>
        </w:rPr>
        <w:t xml:space="preserve"> (11.2.16)</w:t>
      </w:r>
      <w:r>
        <w:rPr>
          <w:rFonts w:hint="cs"/>
          <w:rtl/>
        </w:rPr>
        <w:t>)</w:t>
      </w:r>
      <w:r w:rsidRPr="00836C85">
        <w:rPr>
          <w:rtl/>
        </w:rPr>
        <w:t xml:space="preserve">. לאור כך, אף אם קיימים בעניינו של נאשם פלוני סיכויי שיקום ממשיים, אין חובה להעדיף את שיקולי השיקום, בוודאי שלא לחרוג בשל כך ממתחם הענישה, שהרי  </w:t>
      </w:r>
      <w:r w:rsidRPr="00513918">
        <w:rPr>
          <w:rFonts w:cs="Miriam"/>
          <w:rtl/>
        </w:rPr>
        <w:t>"</w:t>
      </w:r>
      <w:r w:rsidRPr="00513918">
        <w:rPr>
          <w:rFonts w:ascii="Garamond" w:hAnsi="Garamond" w:cs="Miriam" w:hint="eastAsia"/>
          <w:spacing w:val="10"/>
          <w:rtl/>
        </w:rPr>
        <w:t>בהחלט</w:t>
      </w:r>
      <w:r w:rsidRPr="00513918">
        <w:rPr>
          <w:rFonts w:ascii="Garamond" w:hAnsi="Garamond" w:cs="Miriam"/>
          <w:spacing w:val="10"/>
          <w:rtl/>
        </w:rPr>
        <w:t xml:space="preserve"> </w:t>
      </w:r>
      <w:r w:rsidRPr="00513918">
        <w:rPr>
          <w:rFonts w:ascii="Garamond" w:hAnsi="Garamond" w:cs="Miriam" w:hint="eastAsia"/>
          <w:spacing w:val="10"/>
          <w:rtl/>
        </w:rPr>
        <w:t>ייתכנו</w:t>
      </w:r>
      <w:r w:rsidRPr="00513918">
        <w:rPr>
          <w:rFonts w:ascii="Garamond" w:hAnsi="Garamond" w:cs="Miriam"/>
          <w:spacing w:val="10"/>
          <w:rtl/>
        </w:rPr>
        <w:t xml:space="preserve"> </w:t>
      </w:r>
      <w:r w:rsidRPr="00513918">
        <w:rPr>
          <w:rFonts w:ascii="Garamond" w:hAnsi="Garamond" w:cs="Miriam" w:hint="eastAsia"/>
          <w:spacing w:val="10"/>
          <w:rtl/>
        </w:rPr>
        <w:t>מקרים</w:t>
      </w:r>
      <w:r w:rsidRPr="00513918">
        <w:rPr>
          <w:rFonts w:ascii="Garamond" w:hAnsi="Garamond" w:cs="Miriam"/>
          <w:spacing w:val="10"/>
          <w:rtl/>
        </w:rPr>
        <w:t xml:space="preserve">, </w:t>
      </w:r>
      <w:r w:rsidRPr="00513918">
        <w:rPr>
          <w:rFonts w:ascii="Garamond" w:hAnsi="Garamond" w:cs="Miriam" w:hint="eastAsia"/>
          <w:spacing w:val="10"/>
          <w:rtl/>
        </w:rPr>
        <w:t>בהם</w:t>
      </w:r>
      <w:r w:rsidRPr="00513918">
        <w:rPr>
          <w:rFonts w:ascii="Garamond" w:hAnsi="Garamond" w:cs="Miriam"/>
          <w:spacing w:val="10"/>
          <w:rtl/>
        </w:rPr>
        <w:t xml:space="preserve"> </w:t>
      </w:r>
      <w:r w:rsidRPr="00513918">
        <w:rPr>
          <w:rFonts w:ascii="Garamond" w:hAnsi="Garamond" w:cs="Miriam" w:hint="eastAsia"/>
          <w:spacing w:val="10"/>
          <w:rtl/>
        </w:rPr>
        <w:t>יתר</w:t>
      </w:r>
      <w:r w:rsidRPr="00513918">
        <w:rPr>
          <w:rFonts w:ascii="Garamond" w:hAnsi="Garamond" w:cs="Miriam"/>
          <w:spacing w:val="10"/>
          <w:rtl/>
        </w:rPr>
        <w:t xml:space="preserve"> </w:t>
      </w:r>
      <w:r w:rsidRPr="00513918">
        <w:rPr>
          <w:rFonts w:ascii="Garamond" w:hAnsi="Garamond" w:cs="Miriam" w:hint="eastAsia"/>
          <w:spacing w:val="10"/>
          <w:rtl/>
        </w:rPr>
        <w:t>השיקולים</w:t>
      </w:r>
      <w:r w:rsidRPr="00513918">
        <w:rPr>
          <w:rFonts w:ascii="Garamond" w:hAnsi="Garamond" w:cs="Miriam"/>
          <w:spacing w:val="10"/>
          <w:rtl/>
        </w:rPr>
        <w:t xml:space="preserve"> </w:t>
      </w:r>
      <w:r w:rsidRPr="00513918">
        <w:rPr>
          <w:rFonts w:ascii="Garamond" w:hAnsi="Garamond" w:cs="Miriam" w:hint="eastAsia"/>
          <w:spacing w:val="10"/>
          <w:rtl/>
        </w:rPr>
        <w:t>הרלוונטיים</w:t>
      </w:r>
      <w:r w:rsidRPr="00513918">
        <w:rPr>
          <w:rFonts w:ascii="Garamond" w:hAnsi="Garamond" w:cs="Miriam"/>
          <w:spacing w:val="10"/>
          <w:rtl/>
        </w:rPr>
        <w:t xml:space="preserve"> </w:t>
      </w:r>
      <w:r w:rsidRPr="00513918">
        <w:rPr>
          <w:rFonts w:ascii="Garamond" w:hAnsi="Garamond" w:cs="Miriam" w:hint="eastAsia"/>
          <w:spacing w:val="10"/>
          <w:rtl/>
        </w:rPr>
        <w:t>לעונש</w:t>
      </w:r>
      <w:r w:rsidRPr="00513918">
        <w:rPr>
          <w:rFonts w:ascii="Garamond" w:hAnsi="Garamond" w:cs="Miriam"/>
          <w:spacing w:val="10"/>
          <w:rtl/>
        </w:rPr>
        <w:t xml:space="preserve">, </w:t>
      </w:r>
      <w:r w:rsidRPr="00513918">
        <w:rPr>
          <w:rFonts w:ascii="Garamond" w:hAnsi="Garamond" w:cs="Miriam" w:hint="eastAsia"/>
          <w:spacing w:val="10"/>
          <w:rtl/>
        </w:rPr>
        <w:t>דוגמת</w:t>
      </w:r>
      <w:r w:rsidRPr="00513918">
        <w:rPr>
          <w:rFonts w:ascii="Garamond" w:hAnsi="Garamond" w:cs="Miriam"/>
          <w:spacing w:val="10"/>
          <w:rtl/>
        </w:rPr>
        <w:t xml:space="preserve"> </w:t>
      </w:r>
      <w:r w:rsidRPr="00513918">
        <w:rPr>
          <w:rFonts w:ascii="Garamond" w:hAnsi="Garamond" w:cs="Miriam" w:hint="eastAsia"/>
          <w:spacing w:val="10"/>
          <w:rtl/>
        </w:rPr>
        <w:t>חומרת</w:t>
      </w:r>
      <w:r w:rsidRPr="00513918">
        <w:rPr>
          <w:rFonts w:ascii="Garamond" w:hAnsi="Garamond" w:cs="Miriam"/>
          <w:spacing w:val="10"/>
          <w:rtl/>
        </w:rPr>
        <w:t xml:space="preserve"> </w:t>
      </w:r>
      <w:r w:rsidRPr="00513918">
        <w:rPr>
          <w:rFonts w:ascii="Garamond" w:hAnsi="Garamond" w:cs="Miriam" w:hint="eastAsia"/>
          <w:spacing w:val="10"/>
          <w:rtl/>
        </w:rPr>
        <w:t>המעשים</w:t>
      </w:r>
      <w:r w:rsidRPr="00513918">
        <w:rPr>
          <w:rFonts w:ascii="Garamond" w:hAnsi="Garamond" w:cs="Miriam"/>
          <w:spacing w:val="10"/>
          <w:rtl/>
        </w:rPr>
        <w:t xml:space="preserve"> </w:t>
      </w:r>
      <w:r w:rsidRPr="00513918">
        <w:rPr>
          <w:rFonts w:ascii="Garamond" w:hAnsi="Garamond" w:cs="Miriam" w:hint="eastAsia"/>
          <w:spacing w:val="10"/>
          <w:rtl/>
        </w:rPr>
        <w:t>או</w:t>
      </w:r>
      <w:r w:rsidRPr="00513918">
        <w:rPr>
          <w:rFonts w:ascii="Garamond" w:hAnsi="Garamond" w:cs="Miriam"/>
          <w:spacing w:val="10"/>
          <w:rtl/>
        </w:rPr>
        <w:t xml:space="preserve"> </w:t>
      </w:r>
      <w:r w:rsidRPr="00513918">
        <w:rPr>
          <w:rFonts w:ascii="Garamond" w:hAnsi="Garamond" w:cs="Miriam" w:hint="eastAsia"/>
          <w:spacing w:val="10"/>
          <w:rtl/>
        </w:rPr>
        <w:t>נסיבות</w:t>
      </w:r>
      <w:r w:rsidRPr="00513918">
        <w:rPr>
          <w:rFonts w:ascii="Garamond" w:hAnsi="Garamond" w:cs="Miriam"/>
          <w:spacing w:val="10"/>
          <w:rtl/>
        </w:rPr>
        <w:t xml:space="preserve"> </w:t>
      </w:r>
      <w:r w:rsidRPr="00513918">
        <w:rPr>
          <w:rFonts w:ascii="Garamond" w:hAnsi="Garamond" w:cs="Miriam" w:hint="eastAsia"/>
          <w:spacing w:val="10"/>
          <w:rtl/>
        </w:rPr>
        <w:t>ביצועם</w:t>
      </w:r>
      <w:r w:rsidRPr="00513918">
        <w:rPr>
          <w:rFonts w:ascii="Garamond" w:hAnsi="Garamond" w:cs="Miriam"/>
          <w:spacing w:val="10"/>
          <w:rtl/>
        </w:rPr>
        <w:t xml:space="preserve">, </w:t>
      </w:r>
      <w:r w:rsidRPr="00513918">
        <w:rPr>
          <w:rFonts w:ascii="Garamond" w:hAnsi="Garamond" w:cs="Miriam" w:hint="eastAsia"/>
          <w:spacing w:val="10"/>
          <w:rtl/>
        </w:rPr>
        <w:t>לא</w:t>
      </w:r>
      <w:r w:rsidRPr="00513918">
        <w:rPr>
          <w:rFonts w:ascii="Garamond" w:hAnsi="Garamond" w:cs="Miriam"/>
          <w:spacing w:val="10"/>
          <w:rtl/>
        </w:rPr>
        <w:t xml:space="preserve"> </w:t>
      </w:r>
      <w:r w:rsidRPr="00513918">
        <w:rPr>
          <w:rFonts w:ascii="Garamond" w:hAnsi="Garamond" w:cs="Miriam" w:hint="eastAsia"/>
          <w:spacing w:val="10"/>
          <w:rtl/>
        </w:rPr>
        <w:t>יצדיקו</w:t>
      </w:r>
      <w:r w:rsidRPr="00513918">
        <w:rPr>
          <w:rFonts w:ascii="Garamond" w:hAnsi="Garamond" w:cs="Miriam"/>
          <w:spacing w:val="10"/>
          <w:rtl/>
        </w:rPr>
        <w:t xml:space="preserve"> </w:t>
      </w:r>
      <w:r w:rsidRPr="00513918">
        <w:rPr>
          <w:rFonts w:ascii="Garamond" w:hAnsi="Garamond" w:cs="Miriam" w:hint="eastAsia"/>
          <w:spacing w:val="10"/>
          <w:rtl/>
        </w:rPr>
        <w:t>חריגה</w:t>
      </w:r>
      <w:r w:rsidRPr="00513918">
        <w:rPr>
          <w:rFonts w:ascii="Garamond" w:hAnsi="Garamond" w:cs="Miriam"/>
          <w:spacing w:val="10"/>
          <w:rtl/>
        </w:rPr>
        <w:t xml:space="preserve"> </w:t>
      </w:r>
      <w:r w:rsidRPr="00513918">
        <w:rPr>
          <w:rFonts w:ascii="Garamond" w:hAnsi="Garamond" w:cs="Miriam" w:hint="eastAsia"/>
          <w:spacing w:val="10"/>
          <w:rtl/>
        </w:rPr>
        <w:t>ממתחם</w:t>
      </w:r>
      <w:r w:rsidRPr="00513918">
        <w:rPr>
          <w:rFonts w:ascii="Garamond" w:hAnsi="Garamond" w:cs="Miriam"/>
          <w:spacing w:val="10"/>
          <w:rtl/>
        </w:rPr>
        <w:t xml:space="preserve"> </w:t>
      </w:r>
      <w:r w:rsidRPr="00513918">
        <w:rPr>
          <w:rFonts w:ascii="Garamond" w:hAnsi="Garamond" w:cs="Miriam" w:hint="eastAsia"/>
          <w:spacing w:val="10"/>
          <w:rtl/>
        </w:rPr>
        <w:t>העונש</w:t>
      </w:r>
      <w:r w:rsidRPr="00513918">
        <w:rPr>
          <w:rFonts w:ascii="Garamond" w:hAnsi="Garamond" w:cs="Miriam"/>
          <w:spacing w:val="10"/>
          <w:rtl/>
        </w:rPr>
        <w:t xml:space="preserve"> </w:t>
      </w:r>
      <w:r w:rsidRPr="00513918">
        <w:rPr>
          <w:rFonts w:ascii="Garamond" w:hAnsi="Garamond" w:cs="Miriam" w:hint="eastAsia"/>
          <w:spacing w:val="10"/>
          <w:rtl/>
        </w:rPr>
        <w:t>ההולם</w:t>
      </w:r>
      <w:r w:rsidRPr="00513918">
        <w:rPr>
          <w:rFonts w:ascii="Garamond" w:hAnsi="Garamond" w:cs="Miriam"/>
          <w:spacing w:val="10"/>
          <w:rtl/>
        </w:rPr>
        <w:t xml:space="preserve">, </w:t>
      </w:r>
      <w:r w:rsidRPr="00513918">
        <w:rPr>
          <w:rFonts w:ascii="Garamond" w:hAnsi="Garamond" w:cs="Miriam" w:hint="eastAsia"/>
          <w:spacing w:val="10"/>
          <w:rtl/>
        </w:rPr>
        <w:t>חרף</w:t>
      </w:r>
      <w:r w:rsidRPr="00513918">
        <w:rPr>
          <w:rFonts w:ascii="Garamond" w:hAnsi="Garamond" w:cs="Miriam"/>
          <w:spacing w:val="10"/>
          <w:rtl/>
        </w:rPr>
        <w:t xml:space="preserve"> </w:t>
      </w:r>
      <w:r w:rsidRPr="00513918">
        <w:rPr>
          <w:rFonts w:ascii="Garamond" w:hAnsi="Garamond" w:cs="Miriam" w:hint="eastAsia"/>
          <w:spacing w:val="10"/>
          <w:rtl/>
        </w:rPr>
        <w:t>קיומם</w:t>
      </w:r>
      <w:r w:rsidRPr="00513918">
        <w:rPr>
          <w:rFonts w:ascii="Garamond" w:hAnsi="Garamond" w:cs="Miriam"/>
          <w:spacing w:val="10"/>
          <w:rtl/>
        </w:rPr>
        <w:t xml:space="preserve"> </w:t>
      </w:r>
      <w:r w:rsidRPr="00513918">
        <w:rPr>
          <w:rFonts w:ascii="Garamond" w:hAnsi="Garamond" w:cs="Miriam" w:hint="eastAsia"/>
          <w:spacing w:val="10"/>
          <w:rtl/>
        </w:rPr>
        <w:t>של</w:t>
      </w:r>
      <w:r w:rsidRPr="00513918">
        <w:rPr>
          <w:rFonts w:ascii="Garamond" w:hAnsi="Garamond" w:cs="Miriam"/>
          <w:spacing w:val="10"/>
          <w:rtl/>
        </w:rPr>
        <w:t xml:space="preserve"> </w:t>
      </w:r>
      <w:r w:rsidRPr="00513918">
        <w:rPr>
          <w:rFonts w:ascii="Garamond" w:hAnsi="Garamond" w:cs="Miriam" w:hint="eastAsia"/>
          <w:spacing w:val="10"/>
          <w:rtl/>
        </w:rPr>
        <w:t>סיכויי</w:t>
      </w:r>
      <w:r w:rsidRPr="00513918">
        <w:rPr>
          <w:rFonts w:ascii="Garamond" w:hAnsi="Garamond" w:cs="Miriam"/>
          <w:spacing w:val="10"/>
          <w:rtl/>
        </w:rPr>
        <w:t xml:space="preserve"> </w:t>
      </w:r>
      <w:r w:rsidRPr="00513918">
        <w:rPr>
          <w:rFonts w:ascii="Garamond" w:hAnsi="Garamond" w:cs="Miriam" w:hint="eastAsia"/>
          <w:spacing w:val="10"/>
          <w:rtl/>
        </w:rPr>
        <w:t>שיקום</w:t>
      </w:r>
      <w:r w:rsidRPr="00513918">
        <w:rPr>
          <w:rFonts w:ascii="Garamond" w:hAnsi="Garamond" w:cs="Miriam"/>
          <w:spacing w:val="10"/>
          <w:rtl/>
        </w:rPr>
        <w:t xml:space="preserve"> </w:t>
      </w:r>
      <w:r w:rsidRPr="00513918">
        <w:rPr>
          <w:rFonts w:ascii="Garamond" w:hAnsi="Garamond" w:cs="Miriam" w:hint="eastAsia"/>
          <w:spacing w:val="10"/>
          <w:rtl/>
        </w:rPr>
        <w:t>גבוהים</w:t>
      </w:r>
      <w:r w:rsidRPr="00513918">
        <w:rPr>
          <w:rFonts w:ascii="Garamond" w:hAnsi="Garamond" w:cs="Miriam"/>
          <w:spacing w:val="10"/>
          <w:rtl/>
        </w:rPr>
        <w:t xml:space="preserve">, </w:t>
      </w:r>
      <w:r w:rsidRPr="00513918">
        <w:rPr>
          <w:rFonts w:ascii="Garamond" w:hAnsi="Garamond" w:cs="Miriam" w:hint="eastAsia"/>
          <w:spacing w:val="10"/>
          <w:rtl/>
        </w:rPr>
        <w:t>והדבר</w:t>
      </w:r>
      <w:r w:rsidRPr="00513918">
        <w:rPr>
          <w:rFonts w:ascii="Garamond" w:hAnsi="Garamond" w:cs="Miriam"/>
          <w:spacing w:val="10"/>
          <w:rtl/>
        </w:rPr>
        <w:t xml:space="preserve"> </w:t>
      </w:r>
      <w:r w:rsidRPr="00513918">
        <w:rPr>
          <w:rFonts w:ascii="Garamond" w:hAnsi="Garamond" w:cs="Miriam" w:hint="eastAsia"/>
          <w:spacing w:val="10"/>
          <w:rtl/>
        </w:rPr>
        <w:t>נתון</w:t>
      </w:r>
      <w:r w:rsidRPr="00513918">
        <w:rPr>
          <w:rFonts w:ascii="Garamond" w:hAnsi="Garamond" w:cs="Miriam"/>
          <w:spacing w:val="10"/>
          <w:rtl/>
        </w:rPr>
        <w:t xml:space="preserve"> </w:t>
      </w:r>
      <w:r w:rsidRPr="00513918">
        <w:rPr>
          <w:rFonts w:ascii="Garamond" w:hAnsi="Garamond" w:cs="Miriam" w:hint="eastAsia"/>
          <w:spacing w:val="10"/>
          <w:rtl/>
        </w:rPr>
        <w:t>לשיקול</w:t>
      </w:r>
      <w:r w:rsidRPr="00513918">
        <w:rPr>
          <w:rFonts w:ascii="Garamond" w:hAnsi="Garamond" w:cs="Miriam"/>
          <w:spacing w:val="10"/>
          <w:rtl/>
        </w:rPr>
        <w:t xml:space="preserve"> </w:t>
      </w:r>
      <w:r w:rsidRPr="00513918">
        <w:rPr>
          <w:rFonts w:ascii="Garamond" w:hAnsi="Garamond" w:cs="Miriam" w:hint="eastAsia"/>
          <w:spacing w:val="10"/>
          <w:rtl/>
        </w:rPr>
        <w:t>דעתו</w:t>
      </w:r>
      <w:r w:rsidRPr="00513918">
        <w:rPr>
          <w:rFonts w:ascii="Garamond" w:hAnsi="Garamond" w:cs="Miriam"/>
          <w:spacing w:val="10"/>
          <w:rtl/>
        </w:rPr>
        <w:t xml:space="preserve"> </w:t>
      </w:r>
      <w:r w:rsidRPr="00513918">
        <w:rPr>
          <w:rFonts w:ascii="Garamond" w:hAnsi="Garamond" w:cs="Miriam" w:hint="eastAsia"/>
          <w:spacing w:val="10"/>
          <w:rtl/>
        </w:rPr>
        <w:t>של</w:t>
      </w:r>
      <w:r w:rsidRPr="00513918">
        <w:rPr>
          <w:rFonts w:ascii="Garamond" w:hAnsi="Garamond" w:cs="Miriam"/>
          <w:spacing w:val="10"/>
          <w:rtl/>
        </w:rPr>
        <w:t xml:space="preserve"> </w:t>
      </w:r>
      <w:r w:rsidRPr="00513918">
        <w:rPr>
          <w:rFonts w:ascii="Garamond" w:hAnsi="Garamond" w:cs="Miriam" w:hint="eastAsia"/>
          <w:spacing w:val="10"/>
          <w:rtl/>
        </w:rPr>
        <w:t>בית</w:t>
      </w:r>
      <w:r w:rsidRPr="00513918">
        <w:rPr>
          <w:rFonts w:ascii="Garamond" w:hAnsi="Garamond" w:cs="Miriam"/>
          <w:spacing w:val="10"/>
          <w:rtl/>
        </w:rPr>
        <w:t xml:space="preserve"> </w:t>
      </w:r>
      <w:r w:rsidRPr="00513918">
        <w:rPr>
          <w:rFonts w:ascii="Garamond" w:hAnsi="Garamond" w:cs="Miriam" w:hint="eastAsia"/>
          <w:spacing w:val="10"/>
          <w:rtl/>
        </w:rPr>
        <w:t>המשפט</w:t>
      </w:r>
      <w:r w:rsidRPr="00513918">
        <w:rPr>
          <w:rFonts w:ascii="Garamond" w:hAnsi="Garamond" w:cs="Miriam"/>
          <w:spacing w:val="10"/>
          <w:rtl/>
        </w:rPr>
        <w:t xml:space="preserve">, </w:t>
      </w:r>
      <w:r w:rsidRPr="00513918">
        <w:rPr>
          <w:rFonts w:ascii="Garamond" w:hAnsi="Garamond" w:cs="Miriam" w:hint="eastAsia"/>
          <w:spacing w:val="10"/>
          <w:rtl/>
        </w:rPr>
        <w:t>שכן</w:t>
      </w:r>
      <w:r w:rsidRPr="00513918">
        <w:rPr>
          <w:rFonts w:ascii="Garamond" w:hAnsi="Garamond" w:cs="Miriam"/>
          <w:spacing w:val="10"/>
          <w:rtl/>
        </w:rPr>
        <w:t xml:space="preserve"> </w:t>
      </w:r>
      <w:r w:rsidRPr="00513918">
        <w:rPr>
          <w:rFonts w:ascii="Garamond" w:hAnsi="Garamond" w:cs="Miriam" w:hint="eastAsia"/>
          <w:spacing w:val="10"/>
          <w:rtl/>
        </w:rPr>
        <w:t>המחוקק</w:t>
      </w:r>
      <w:r w:rsidRPr="00513918">
        <w:rPr>
          <w:rFonts w:ascii="Garamond" w:hAnsi="Garamond" w:cs="Miriam"/>
          <w:spacing w:val="10"/>
          <w:rtl/>
        </w:rPr>
        <w:t xml:space="preserve"> </w:t>
      </w:r>
      <w:r w:rsidRPr="00513918">
        <w:rPr>
          <w:rFonts w:ascii="Garamond" w:hAnsi="Garamond" w:cs="Miriam" w:hint="eastAsia"/>
          <w:spacing w:val="10"/>
          <w:rtl/>
        </w:rPr>
        <w:t>נקט</w:t>
      </w:r>
      <w:r w:rsidRPr="00513918">
        <w:rPr>
          <w:rFonts w:ascii="Garamond" w:hAnsi="Garamond" w:cs="Miriam"/>
          <w:spacing w:val="10"/>
          <w:rtl/>
        </w:rPr>
        <w:t xml:space="preserve"> </w:t>
      </w:r>
      <w:r w:rsidRPr="00513918">
        <w:rPr>
          <w:rFonts w:ascii="Garamond" w:hAnsi="Garamond" w:cs="Miriam" w:hint="eastAsia"/>
          <w:spacing w:val="10"/>
          <w:rtl/>
        </w:rPr>
        <w:t>בלשון</w:t>
      </w:r>
      <w:r w:rsidRPr="00513918">
        <w:rPr>
          <w:rFonts w:ascii="Garamond" w:hAnsi="Garamond" w:cs="Miriam"/>
          <w:spacing w:val="10"/>
          <w:rtl/>
        </w:rPr>
        <w:t xml:space="preserve"> "</w:t>
      </w:r>
      <w:r w:rsidRPr="00513918">
        <w:rPr>
          <w:rFonts w:cs="Miriam"/>
          <w:rtl/>
        </w:rPr>
        <w:t>רשאי</w:t>
      </w:r>
      <w:r w:rsidRPr="00513918">
        <w:rPr>
          <w:rFonts w:ascii="Garamond" w:hAnsi="Garamond" w:cs="Miriam"/>
          <w:spacing w:val="10"/>
          <w:rtl/>
        </w:rPr>
        <w:t xml:space="preserve">" </w:t>
      </w:r>
      <w:r w:rsidRPr="00513918">
        <w:rPr>
          <w:rFonts w:ascii="Garamond" w:hAnsi="Garamond" w:cs="Miriam" w:hint="eastAsia"/>
          <w:spacing w:val="10"/>
          <w:rtl/>
        </w:rPr>
        <w:t>ולא</w:t>
      </w:r>
      <w:r w:rsidRPr="00513918">
        <w:rPr>
          <w:rFonts w:ascii="Garamond" w:hAnsi="Garamond" w:cs="Miriam"/>
          <w:spacing w:val="10"/>
          <w:rtl/>
        </w:rPr>
        <w:t xml:space="preserve"> "</w:t>
      </w:r>
      <w:r w:rsidRPr="00513918">
        <w:rPr>
          <w:rFonts w:cs="Miriam"/>
          <w:rtl/>
        </w:rPr>
        <w:t>חייב</w:t>
      </w:r>
      <w:r w:rsidRPr="00513918">
        <w:rPr>
          <w:rFonts w:ascii="Garamond" w:hAnsi="Garamond" w:cs="Miriam"/>
          <w:spacing w:val="10"/>
          <w:rtl/>
        </w:rPr>
        <w:t>"."</w:t>
      </w:r>
      <w:r w:rsidRPr="00513918">
        <w:rPr>
          <w:rFonts w:ascii="Garamond" w:hAnsi="Garamond" w:cs="FrankRuehl"/>
          <w:spacing w:val="10"/>
          <w:szCs w:val="28"/>
          <w:rtl/>
        </w:rPr>
        <w:t xml:space="preserve"> </w:t>
      </w:r>
      <w:r w:rsidRPr="00513918">
        <w:rPr>
          <w:rFonts w:ascii="Garamond" w:hAnsi="Garamond"/>
          <w:spacing w:val="10"/>
          <w:rtl/>
        </w:rPr>
        <w:t>(</w:t>
      </w:r>
      <w:hyperlink r:id="rId51" w:history="1">
        <w:r w:rsidR="00E31F7B" w:rsidRPr="00E31F7B">
          <w:rPr>
            <w:rStyle w:val="Hyperlink"/>
            <w:rFonts w:ascii="Garamond" w:hAnsi="Garamond" w:hint="eastAsia"/>
            <w:spacing w:val="10"/>
            <w:rtl/>
          </w:rPr>
          <w:t>רע</w:t>
        </w:r>
        <w:r w:rsidR="00E31F7B" w:rsidRPr="00E31F7B">
          <w:rPr>
            <w:rStyle w:val="Hyperlink"/>
            <w:rFonts w:ascii="Garamond" w:hAnsi="Garamond"/>
            <w:spacing w:val="10"/>
            <w:rtl/>
          </w:rPr>
          <w:t>"</w:t>
        </w:r>
        <w:r w:rsidR="00E31F7B" w:rsidRPr="00E31F7B">
          <w:rPr>
            <w:rStyle w:val="Hyperlink"/>
            <w:rFonts w:ascii="Garamond" w:hAnsi="Garamond" w:hint="eastAsia"/>
            <w:spacing w:val="10"/>
            <w:rtl/>
          </w:rPr>
          <w:t>פ</w:t>
        </w:r>
        <w:r w:rsidR="00E31F7B" w:rsidRPr="00E31F7B">
          <w:rPr>
            <w:rStyle w:val="Hyperlink"/>
            <w:rFonts w:ascii="Garamond" w:hAnsi="Garamond"/>
            <w:spacing w:val="10"/>
            <w:rtl/>
          </w:rPr>
          <w:t xml:space="preserve"> 398/14</w:t>
        </w:r>
      </w:hyperlink>
      <w:r w:rsidRPr="00513918">
        <w:rPr>
          <w:rFonts w:ascii="Garamond" w:hAnsi="Garamond"/>
          <w:spacing w:val="10"/>
          <w:rtl/>
        </w:rPr>
        <w:t xml:space="preserve"> </w:t>
      </w:r>
      <w:r w:rsidRPr="00513918">
        <w:rPr>
          <w:rFonts w:ascii="Garamond" w:hAnsi="Garamond" w:hint="eastAsia"/>
          <w:b/>
          <w:bCs/>
          <w:spacing w:val="10"/>
          <w:rtl/>
        </w:rPr>
        <w:t>טל</w:t>
      </w:r>
      <w:r w:rsidRPr="00513918">
        <w:rPr>
          <w:rFonts w:ascii="Garamond" w:hAnsi="Garamond"/>
          <w:b/>
          <w:bCs/>
          <w:spacing w:val="10"/>
          <w:rtl/>
        </w:rPr>
        <w:t xml:space="preserve"> </w:t>
      </w:r>
      <w:r w:rsidRPr="00513918">
        <w:rPr>
          <w:rFonts w:ascii="Garamond" w:hAnsi="Garamond" w:hint="eastAsia"/>
          <w:b/>
          <w:bCs/>
          <w:spacing w:val="10"/>
          <w:rtl/>
        </w:rPr>
        <w:t>ערג</w:t>
      </w:r>
      <w:r w:rsidRPr="00513918">
        <w:rPr>
          <w:rFonts w:ascii="Garamond" w:hAnsi="Garamond"/>
          <w:b/>
          <w:bCs/>
          <w:spacing w:val="10"/>
          <w:rtl/>
        </w:rPr>
        <w:t xml:space="preserve">' </w:t>
      </w:r>
      <w:r w:rsidRPr="00513918">
        <w:rPr>
          <w:rFonts w:ascii="Garamond" w:hAnsi="Garamond" w:hint="eastAsia"/>
          <w:b/>
          <w:bCs/>
          <w:spacing w:val="10"/>
          <w:rtl/>
        </w:rPr>
        <w:t>נ</w:t>
      </w:r>
      <w:r w:rsidRPr="00513918">
        <w:rPr>
          <w:rFonts w:ascii="Garamond" w:hAnsi="Garamond"/>
          <w:b/>
          <w:bCs/>
          <w:spacing w:val="10"/>
          <w:rtl/>
        </w:rPr>
        <w:t xml:space="preserve">' </w:t>
      </w:r>
      <w:r w:rsidRPr="00513918">
        <w:rPr>
          <w:rFonts w:ascii="Garamond" w:hAnsi="Garamond" w:hint="eastAsia"/>
          <w:b/>
          <w:bCs/>
          <w:spacing w:val="10"/>
          <w:rtl/>
        </w:rPr>
        <w:t>מדינת</w:t>
      </w:r>
      <w:r w:rsidRPr="00513918">
        <w:rPr>
          <w:rFonts w:ascii="Garamond" w:hAnsi="Garamond"/>
          <w:b/>
          <w:bCs/>
          <w:spacing w:val="10"/>
          <w:rtl/>
        </w:rPr>
        <w:t xml:space="preserve"> </w:t>
      </w:r>
      <w:r w:rsidRPr="00513918">
        <w:rPr>
          <w:rFonts w:ascii="Garamond" w:hAnsi="Garamond" w:hint="eastAsia"/>
          <w:b/>
          <w:bCs/>
          <w:spacing w:val="10"/>
          <w:rtl/>
        </w:rPr>
        <w:t>ישראל</w:t>
      </w:r>
      <w:r w:rsidRPr="00513918">
        <w:rPr>
          <w:rFonts w:ascii="Garamond" w:hAnsi="Garamond"/>
          <w:spacing w:val="10"/>
          <w:rtl/>
        </w:rPr>
        <w:t xml:space="preserve"> (16.3.14)) </w:t>
      </w:r>
      <w:r w:rsidRPr="00513918">
        <w:rPr>
          <w:rFonts w:ascii="Garamond" w:hAnsi="Garamond" w:hint="eastAsia"/>
          <w:spacing w:val="10"/>
          <w:rtl/>
        </w:rPr>
        <w:t>וראו</w:t>
      </w:r>
      <w:r w:rsidRPr="00513918">
        <w:rPr>
          <w:rFonts w:ascii="Garamond" w:hAnsi="Garamond"/>
          <w:spacing w:val="10"/>
          <w:rtl/>
        </w:rPr>
        <w:t xml:space="preserve"> </w:t>
      </w:r>
      <w:r w:rsidRPr="00513918">
        <w:rPr>
          <w:rFonts w:ascii="Garamond" w:hAnsi="Garamond" w:hint="eastAsia"/>
          <w:spacing w:val="10"/>
          <w:rtl/>
        </w:rPr>
        <w:t>גם</w:t>
      </w:r>
      <w:r w:rsidRPr="00513918">
        <w:rPr>
          <w:rFonts w:ascii="Garamond" w:hAnsi="Garamond"/>
          <w:spacing w:val="10"/>
          <w:rtl/>
        </w:rPr>
        <w:t xml:space="preserve"> </w:t>
      </w:r>
      <w:hyperlink r:id="rId52" w:history="1">
        <w:r w:rsidR="00E31F7B" w:rsidRPr="00E31F7B">
          <w:rPr>
            <w:rStyle w:val="Hyperlink"/>
            <w:rtl/>
          </w:rPr>
          <w:t>רע"פ 1787/15</w:t>
        </w:r>
      </w:hyperlink>
      <w:r w:rsidRPr="00836C85">
        <w:rPr>
          <w:rtl/>
        </w:rPr>
        <w:t xml:space="preserve"> </w:t>
      </w:r>
      <w:r w:rsidRPr="00513918">
        <w:rPr>
          <w:b/>
          <w:bCs/>
          <w:rtl/>
        </w:rPr>
        <w:t>עמר נ' מדינת ישראל</w:t>
      </w:r>
      <w:r w:rsidRPr="00836C85">
        <w:rPr>
          <w:rtl/>
        </w:rPr>
        <w:t xml:space="preserve">  (24.3.15)).</w:t>
      </w:r>
      <w:r>
        <w:rPr>
          <w:rFonts w:hint="cs"/>
          <w:rtl/>
        </w:rPr>
        <w:t xml:space="preserve"> </w:t>
      </w:r>
    </w:p>
    <w:p w14:paraId="012EF34B" w14:textId="77777777" w:rsidR="00AE07AE" w:rsidRPr="00546EF3" w:rsidRDefault="00AE07AE" w:rsidP="00AE07AE">
      <w:pPr>
        <w:spacing w:line="360" w:lineRule="auto"/>
        <w:ind w:left="720"/>
        <w:contextualSpacing/>
        <w:jc w:val="both"/>
      </w:pPr>
    </w:p>
    <w:p w14:paraId="01383301" w14:textId="77777777" w:rsidR="00AE07AE" w:rsidRDefault="00AE07AE" w:rsidP="00AE07AE">
      <w:pPr>
        <w:numPr>
          <w:ilvl w:val="0"/>
          <w:numId w:val="2"/>
        </w:numPr>
        <w:spacing w:line="360" w:lineRule="auto"/>
        <w:contextualSpacing/>
        <w:jc w:val="both"/>
      </w:pPr>
      <w:r>
        <w:rPr>
          <w:rFonts w:hint="cs"/>
          <w:rtl/>
        </w:rPr>
        <w:t>המסקנה לפיה אין להעדיף במקרה זה את שיקולי שיקומו של הנאשם מתחדדת לאור מהותה של העבירה ונסיבות ביצועה, אל מול עמדתו של הנאשם בפני שירות המבחן וההליך הטיפולי שעבר עד כה. כפי שציינתי לעיל, הנאשם ציין בפני שירות המבחן כי ביצע את העבירה לצורך שימוש עצמי בסם וטיפול בכאביו. עמדה זו עומדת בסתירה לדברים שנקבעו בהכרעת הדין וקשה לראות בה משום נטילת אחריות, בוודאי שלא מלאה. מדובר למעשה במזעור האחריות ובהסטת הזרקור למקום אחר לחלוטין.  לאור כך קשה לקבל את המלצת התסקיר כמשקפת אופק טיפולי נכון ורלוונטי, שהרי היא מבוססת על נתונים שאינם עולים בקנה אחד עם העבירות בהן הורשע הנאשם. ושוב אציין כי ניתן להצר על כך ששירות המבחן לא נתן דעתו לכך שעמדת הנאשם בפניו עמדה בניגוד לממצאים שנקבעו בהכרעת הדין. כפי שקבעתי לעיל, מדובר בעבירה כלכלית (לפחות בחלקה) שבבסיסה רצון להפיק רווח תוך התעלמות מההשפעות הרעות של תופעת הסמים על כלל הציבור. לאור כך, אין משמעות רבה לעובדה שהנאשם עבר הליך טיפולי הקשור בהתמכרות כלשהי, שהרי לא התמכרות זו היא שהביאה לביצוע העבירה. יפים לעניין זה הדברים שציין בית המשפט המחוזי לאחרונה ב</w:t>
      </w:r>
      <w:hyperlink r:id="rId53" w:history="1">
        <w:r w:rsidR="00E31F7B" w:rsidRPr="00E31F7B">
          <w:rPr>
            <w:rStyle w:val="Hyperlink"/>
            <w:rFonts w:ascii="David" w:hAnsi="David" w:hint="eastAsia"/>
            <w:rtl/>
          </w:rPr>
          <w:t>עפ</w:t>
        </w:r>
        <w:r w:rsidR="00E31F7B" w:rsidRPr="00E31F7B">
          <w:rPr>
            <w:rStyle w:val="Hyperlink"/>
            <w:rFonts w:ascii="David" w:hAnsi="David"/>
            <w:rtl/>
          </w:rPr>
          <w:t>"ג (חי') 62171-05-17</w:t>
        </w:r>
      </w:hyperlink>
      <w:r>
        <w:rPr>
          <w:rFonts w:ascii="David" w:hAnsi="David" w:hint="cs"/>
          <w:rtl/>
        </w:rPr>
        <w:t xml:space="preserve"> </w:t>
      </w:r>
      <w:r w:rsidRPr="00EF1BD0">
        <w:rPr>
          <w:rFonts w:ascii="David" w:hAnsi="David" w:hint="cs"/>
          <w:b/>
          <w:bCs/>
          <w:rtl/>
        </w:rPr>
        <w:t>אסי יוסף חן נ' מדינת ישראל</w:t>
      </w:r>
      <w:r>
        <w:rPr>
          <w:rFonts w:ascii="David" w:hAnsi="David" w:hint="cs"/>
          <w:rtl/>
        </w:rPr>
        <w:t xml:space="preserve"> (10.7.17)</w:t>
      </w:r>
      <w:r>
        <w:rPr>
          <w:rFonts w:hint="cs"/>
          <w:rtl/>
        </w:rPr>
        <w:t xml:space="preserve">: </w:t>
      </w:r>
    </w:p>
    <w:p w14:paraId="64096E07" w14:textId="77777777" w:rsidR="00AE07AE" w:rsidRPr="00FE13F4" w:rsidRDefault="00AE07AE" w:rsidP="00AE07AE">
      <w:pPr>
        <w:spacing w:line="360" w:lineRule="auto"/>
        <w:ind w:left="720"/>
        <w:contextualSpacing/>
        <w:jc w:val="both"/>
        <w:rPr>
          <w:rtl/>
        </w:rPr>
      </w:pPr>
    </w:p>
    <w:p w14:paraId="58CEDE84" w14:textId="77777777" w:rsidR="00AE07AE" w:rsidRPr="00513918" w:rsidRDefault="00AE07AE" w:rsidP="00AE07AE">
      <w:pPr>
        <w:tabs>
          <w:tab w:val="left" w:pos="521"/>
        </w:tabs>
        <w:spacing w:after="160" w:line="360" w:lineRule="auto"/>
        <w:ind w:left="1440" w:right="1134"/>
        <w:jc w:val="both"/>
        <w:rPr>
          <w:rFonts w:cs="Miriam"/>
          <w:rtl/>
        </w:rPr>
      </w:pPr>
      <w:r>
        <w:rPr>
          <w:rFonts w:cs="Miriam" w:hint="cs"/>
          <w:rtl/>
        </w:rPr>
        <w:t>"</w:t>
      </w:r>
      <w:r w:rsidRPr="00513918">
        <w:rPr>
          <w:rFonts w:cs="Miriam"/>
          <w:rtl/>
        </w:rPr>
        <w:t>במיוחד יש להדגיש את העובדה שהעבירות שבהן הורשע המערער אינן קשורות בהכרח להתמכרות אשר ממנה הוא נגמל (או קרוב להיגמל). אין המדובר במי שביצע את העבירות כחלק מההתנהלות שנגזרת מההתמכרות, שאז יש יותר משקל לטיעון לפיו השלמת תהליך הגמילה בהכרח תביא לכך שלא תתבצענה עבירות נוספות דומות בעתיד. כאשר העבירות אינן נגזרות מההתמכרות, יש משקל מוגבל לטיעון בדבר הצורך בהשלמת הליך הגמילה על מנת למנוע עבירות דומות בעתיד</w:t>
      </w:r>
      <w:r w:rsidRPr="00976B3B">
        <w:rPr>
          <w:rFonts w:cs="Miriam" w:hint="cs"/>
          <w:rtl/>
        </w:rPr>
        <w:t>...</w:t>
      </w:r>
      <w:r w:rsidRPr="00513918">
        <w:rPr>
          <w:rFonts w:cs="Miriam"/>
          <w:rtl/>
        </w:rPr>
        <w:t>.</w:t>
      </w:r>
      <w:r w:rsidRPr="00976B3B">
        <w:rPr>
          <w:rFonts w:cs="Miriam" w:hint="cs"/>
          <w:rtl/>
        </w:rPr>
        <w:t xml:space="preserve"> </w:t>
      </w:r>
      <w:r w:rsidRPr="00513918">
        <w:rPr>
          <w:rFonts w:cs="Miriam"/>
          <w:rtl/>
        </w:rPr>
        <w:t>מצב דברים זה, כאשר המניע לעבירות הינו כלכלי (לפחות ברובו, על פי דברי המערער עצמו), אין קשר הכרחי בין העבירות לבין ההתמכרות ולכן השיקול השיקומי לגבי הצורך להשלים את הליך הגמילה, אינו יכול לגבור על שאר השיקולים. הדברים נכונים הן באשר לאפשרות לסטות לקולא ממתחם הענישה והן באשר לאפשרות לגזור את הדין ברף הנמוך של מתחם הענישה</w:t>
      </w:r>
      <w:r w:rsidRPr="00976B3B">
        <w:rPr>
          <w:rFonts w:cs="Miriam" w:hint="cs"/>
          <w:rtl/>
        </w:rPr>
        <w:t>"</w:t>
      </w:r>
      <w:r>
        <w:rPr>
          <w:rFonts w:cs="Miriam" w:hint="cs"/>
          <w:rtl/>
        </w:rPr>
        <w:t>.</w:t>
      </w:r>
      <w:r w:rsidRPr="00976B3B">
        <w:rPr>
          <w:rFonts w:cs="Miriam" w:hint="cs"/>
          <w:rtl/>
        </w:rPr>
        <w:t xml:space="preserve"> </w:t>
      </w:r>
      <w:r w:rsidRPr="00513918">
        <w:rPr>
          <w:rFonts w:cs="Miriam"/>
          <w:rtl/>
        </w:rPr>
        <w:t xml:space="preserve"> </w:t>
      </w:r>
    </w:p>
    <w:p w14:paraId="133B42A0" w14:textId="77777777" w:rsidR="00AE07AE" w:rsidRDefault="00AE07AE" w:rsidP="00AE07AE">
      <w:pPr>
        <w:numPr>
          <w:ilvl w:val="0"/>
          <w:numId w:val="2"/>
        </w:numPr>
        <w:spacing w:line="360" w:lineRule="auto"/>
        <w:contextualSpacing/>
        <w:jc w:val="both"/>
      </w:pPr>
      <w:r>
        <w:rPr>
          <w:rFonts w:hint="cs"/>
          <w:rtl/>
        </w:rPr>
        <w:t xml:space="preserve">אינני מתעלם מכך שאפשר והנאשם נהג לצורך קנביס והטיפול שעבר בשירות המבחן סייע לו להשתחרר מתלות זו. ככל שכך הדבר, הרי טוב ויפה עשה הנאשם כאשר טיפל בבעיה ממנה סבל. ואולם, מכלול הנתונים במקרה זה אינו מצדיק סטייה ממתחם הענישה, וזאת מהנימוקים שפורטו לעיל. אציין עוד כי נראה שהנאשם לא היה גלוי עם שירות המבחן גם בכך שציין כי כתב האישום בגין עבירות שעבר בעת שירותו הצבאי הוגש נגדו בשנת 2014. מעיון במערכת נט המשפט עולה שכתב האישום הוגש בשנת 2000 אך הנאשם עזב את הארץ בעוד המשפט מתנהל ולכן הוא הותלה למשך כעשור. רק לאחר ששב הנאשם לחופשה בשנת 2014 הוא נתפס במשטרת הגבולות והובא לדין שאז נגזר דינו. הנאשם לא חשף נושא זה וראיתי אף בכך קושי מסוים, אם כי מובן שאין זה העיקר. </w:t>
      </w:r>
    </w:p>
    <w:p w14:paraId="6377B157" w14:textId="77777777" w:rsidR="00AE07AE" w:rsidRDefault="00AE07AE" w:rsidP="00AE07AE">
      <w:pPr>
        <w:spacing w:line="360" w:lineRule="auto"/>
        <w:ind w:left="720"/>
        <w:contextualSpacing/>
        <w:jc w:val="both"/>
      </w:pPr>
    </w:p>
    <w:p w14:paraId="01DB3FCF" w14:textId="77777777" w:rsidR="00AE07AE" w:rsidRDefault="00AE07AE" w:rsidP="00AE07AE">
      <w:pPr>
        <w:numPr>
          <w:ilvl w:val="0"/>
          <w:numId w:val="2"/>
        </w:numPr>
        <w:spacing w:line="360" w:lineRule="auto"/>
        <w:contextualSpacing/>
        <w:jc w:val="both"/>
      </w:pPr>
      <w:r>
        <w:rPr>
          <w:rFonts w:hint="cs"/>
          <w:rtl/>
        </w:rPr>
        <w:t xml:space="preserve">סיכומו של דבר, שאינני רואה להעדיף במקרה זה את אינטרס השיקום ולחרוג ממתחם הענישה. את העונש יש לגזור אפוא בגדרי המתחם. לצורך כך, אביא בחשבון לטובת הנאשם את עברו הפלילי הקל הכולל עבירה אחת בלבד משנת 1999 בעת שירותו הצבאי (וכאמור כתב האישום הוגש בשנת 2000 והדין נגזר בשנת 2014). אביא עוד בחשבון כי הנאשם הודה בעובדות כתב האישום וניהל את המשפט בנקודה אחת צרה בלבד. לאור כך הוא זכאי להקלה בדומה למי שהודה בעובדות כתב האישום. כן אביא בחשבון את התרשמותו החיובית של שירות המבחן מהנאשם ואת ההליך הטיפולי שעבר אף אם אין בכך להביא לסטייה ממתחם הענישה (ראו בהשוואה </w:t>
      </w:r>
      <w:hyperlink r:id="rId54" w:history="1">
        <w:r w:rsidR="00E31F7B" w:rsidRPr="00E31F7B">
          <w:rPr>
            <w:rStyle w:val="Hyperlink"/>
            <w:rtl/>
          </w:rPr>
          <w:t>ע"פ 5718/16</w:t>
        </w:r>
      </w:hyperlink>
      <w:r w:rsidRPr="00E77BA0">
        <w:rPr>
          <w:rtl/>
        </w:rPr>
        <w:t xml:space="preserve"> </w:t>
      </w:r>
      <w:r w:rsidRPr="0013078A">
        <w:rPr>
          <w:b/>
          <w:bCs/>
          <w:rtl/>
        </w:rPr>
        <w:t>מיכל זהבי נ' מדינת ישראל</w:t>
      </w:r>
      <w:r w:rsidRPr="00E77BA0">
        <w:rPr>
          <w:rtl/>
        </w:rPr>
        <w:t xml:space="preserve"> (21.11.16)</w:t>
      </w:r>
      <w:r>
        <w:rPr>
          <w:rFonts w:hint="cs"/>
          <w:rtl/>
        </w:rPr>
        <w:t xml:space="preserve">; </w:t>
      </w:r>
      <w:hyperlink r:id="rId55" w:history="1">
        <w:r w:rsidR="00E31F7B" w:rsidRPr="00E31F7B">
          <w:rPr>
            <w:rStyle w:val="Hyperlink"/>
            <w:rFonts w:ascii="David" w:hAnsi="David"/>
            <w:rtl/>
          </w:rPr>
          <w:t>ע"פ 2194/14</w:t>
        </w:r>
      </w:hyperlink>
      <w:r w:rsidRPr="00DB775D">
        <w:rPr>
          <w:rFonts w:ascii="David" w:hAnsi="David"/>
          <w:rtl/>
        </w:rPr>
        <w:t xml:space="preserve">, </w:t>
      </w:r>
      <w:r w:rsidRPr="00DB775D">
        <w:rPr>
          <w:rFonts w:ascii="David" w:hAnsi="David"/>
          <w:b/>
          <w:bCs/>
          <w:rtl/>
        </w:rPr>
        <w:t>בן שמעון נ' מדינת ישראל</w:t>
      </w:r>
      <w:r>
        <w:rPr>
          <w:rFonts w:ascii="David" w:hAnsi="David" w:hint="cs"/>
          <w:rtl/>
        </w:rPr>
        <w:t xml:space="preserve"> (10.9.14)</w:t>
      </w:r>
      <w:r w:rsidRPr="00E77BA0">
        <w:rPr>
          <w:rtl/>
        </w:rPr>
        <w:t xml:space="preserve">). </w:t>
      </w:r>
      <w:r>
        <w:rPr>
          <w:rFonts w:hint="cs"/>
          <w:rtl/>
        </w:rPr>
        <w:t xml:space="preserve">נתתי דעתי גם לפגיעה שתגרם לנאשם באם יוטל עליו עונש מאסר. אינני מקל בכך ראש והקשיים  שבמאסר, כמו גם השפעותיו השליליות, ברורים וידועים (להרחבה בנושא ראו </w:t>
      </w:r>
      <w:r>
        <w:rPr>
          <w:rFonts w:ascii="David" w:hAnsi="David" w:hint="cs"/>
          <w:b/>
          <w:bCs/>
          <w:rtl/>
        </w:rPr>
        <w:t>דו"ח הועדה הציבורית לבחינת מדיניות הענישה והטיפול בעבריינים</w:t>
      </w:r>
      <w:r>
        <w:rPr>
          <w:rFonts w:ascii="David" w:hAnsi="David" w:hint="cs"/>
          <w:rtl/>
        </w:rPr>
        <w:t xml:space="preserve"> (המכונה דו"ח דורנר)</w:t>
      </w:r>
      <w:r>
        <w:rPr>
          <w:rFonts w:hint="cs"/>
          <w:rtl/>
        </w:rPr>
        <w:t xml:space="preserve">; </w:t>
      </w:r>
      <w:hyperlink r:id="rId56" w:history="1">
        <w:r w:rsidR="00E31F7B" w:rsidRPr="00E31F7B">
          <w:rPr>
            <w:rStyle w:val="Hyperlink"/>
            <w:rFonts w:hint="eastAsia"/>
            <w:rtl/>
          </w:rPr>
          <w:t>עפ</w:t>
        </w:r>
        <w:r w:rsidR="00E31F7B" w:rsidRPr="00E31F7B">
          <w:rPr>
            <w:rStyle w:val="Hyperlink"/>
            <w:rtl/>
          </w:rPr>
          <w:t>"ג 55303-03-17</w:t>
        </w:r>
      </w:hyperlink>
      <w:r>
        <w:rPr>
          <w:rFonts w:hint="cs"/>
          <w:rtl/>
        </w:rPr>
        <w:t xml:space="preserve"> </w:t>
      </w:r>
      <w:r w:rsidRPr="000A08EA">
        <w:rPr>
          <w:rFonts w:hint="cs"/>
          <w:b/>
          <w:bCs/>
          <w:rtl/>
        </w:rPr>
        <w:t>מוסא דאכי נ' מדינת ישראל</w:t>
      </w:r>
      <w:r>
        <w:rPr>
          <w:rFonts w:hint="cs"/>
          <w:rtl/>
        </w:rPr>
        <w:t xml:space="preserve"> (17.5.17); פסק דינו של כב' השופט ד"ר שפירא). ואולם חומרת המעשים, אל מול יתר הנסיבות, מביאים למסקנה בדבר העדפת שיקולי ההלימה על פני השיקום (ראו בהשוואה </w:t>
      </w:r>
      <w:hyperlink r:id="rId57" w:history="1">
        <w:r w:rsidR="00E31F7B" w:rsidRPr="00E31F7B">
          <w:rPr>
            <w:rStyle w:val="Hyperlink"/>
            <w:rFonts w:hint="eastAsia"/>
            <w:rtl/>
          </w:rPr>
          <w:t>ע</w:t>
        </w:r>
        <w:r w:rsidR="00E31F7B" w:rsidRPr="00E31F7B">
          <w:rPr>
            <w:rStyle w:val="Hyperlink"/>
            <w:rtl/>
          </w:rPr>
          <w:t>"פ 9756/16</w:t>
        </w:r>
      </w:hyperlink>
      <w:r>
        <w:rPr>
          <w:rFonts w:hint="cs"/>
          <w:rtl/>
        </w:rPr>
        <w:t xml:space="preserve"> </w:t>
      </w:r>
      <w:r w:rsidRPr="00494B7F">
        <w:rPr>
          <w:rFonts w:hint="cs"/>
          <w:b/>
          <w:bCs/>
          <w:rtl/>
        </w:rPr>
        <w:t>גל חזן נ' מדינת ישראל</w:t>
      </w:r>
      <w:r>
        <w:rPr>
          <w:rFonts w:hint="cs"/>
          <w:rtl/>
        </w:rPr>
        <w:t xml:space="preserve"> (6.4.17)). תקוותי היא שהנאשם ישכיל להמשיך בדרך בה החל, גם לאחר שיסיים לשאת בעונשו. </w:t>
      </w:r>
    </w:p>
    <w:p w14:paraId="532B9C93" w14:textId="77777777" w:rsidR="00AE07AE" w:rsidRDefault="00AE07AE" w:rsidP="00AE07AE">
      <w:pPr>
        <w:spacing w:line="360" w:lineRule="auto"/>
        <w:ind w:left="720"/>
        <w:contextualSpacing/>
        <w:jc w:val="both"/>
        <w:rPr>
          <w:rtl/>
        </w:rPr>
      </w:pPr>
    </w:p>
    <w:p w14:paraId="4B228BF8" w14:textId="77777777" w:rsidR="00AE07AE" w:rsidRDefault="00AE07AE" w:rsidP="00AE07AE">
      <w:pPr>
        <w:spacing w:line="360" w:lineRule="auto"/>
        <w:ind w:left="720"/>
        <w:contextualSpacing/>
        <w:jc w:val="both"/>
        <w:rPr>
          <w:rtl/>
        </w:rPr>
      </w:pPr>
    </w:p>
    <w:p w14:paraId="07608E67" w14:textId="77777777" w:rsidR="00AE07AE" w:rsidRDefault="00AE07AE" w:rsidP="00AE07AE">
      <w:pPr>
        <w:spacing w:line="360" w:lineRule="auto"/>
        <w:ind w:left="720"/>
        <w:contextualSpacing/>
        <w:jc w:val="both"/>
        <w:rPr>
          <w:rtl/>
        </w:rPr>
      </w:pPr>
    </w:p>
    <w:p w14:paraId="1E43A8B6" w14:textId="77777777" w:rsidR="00AE07AE" w:rsidRDefault="00AE07AE" w:rsidP="00AE07AE">
      <w:pPr>
        <w:spacing w:line="360" w:lineRule="auto"/>
        <w:ind w:left="720"/>
        <w:contextualSpacing/>
        <w:jc w:val="both"/>
        <w:rPr>
          <w:rtl/>
        </w:rPr>
      </w:pPr>
    </w:p>
    <w:p w14:paraId="24AC16CD" w14:textId="77777777" w:rsidR="00AE07AE" w:rsidRDefault="00AE07AE" w:rsidP="00AE07AE">
      <w:pPr>
        <w:spacing w:line="360" w:lineRule="auto"/>
        <w:ind w:left="720"/>
        <w:contextualSpacing/>
        <w:jc w:val="both"/>
        <w:rPr>
          <w:rtl/>
        </w:rPr>
      </w:pPr>
    </w:p>
    <w:p w14:paraId="78F3714A" w14:textId="77777777" w:rsidR="00AE07AE" w:rsidRDefault="00AE07AE" w:rsidP="00AE07AE">
      <w:pPr>
        <w:spacing w:line="360" w:lineRule="auto"/>
        <w:ind w:left="720"/>
        <w:contextualSpacing/>
        <w:jc w:val="both"/>
      </w:pPr>
    </w:p>
    <w:p w14:paraId="2E4E1447" w14:textId="77777777" w:rsidR="00AE07AE" w:rsidRDefault="00AE07AE" w:rsidP="00AE07AE">
      <w:pPr>
        <w:numPr>
          <w:ilvl w:val="0"/>
          <w:numId w:val="2"/>
        </w:numPr>
        <w:spacing w:before="120" w:after="120" w:line="360" w:lineRule="auto"/>
        <w:contextualSpacing/>
        <w:jc w:val="both"/>
      </w:pPr>
      <w:r w:rsidRPr="00C95B30">
        <w:rPr>
          <w:rFonts w:hint="cs"/>
          <w:rtl/>
        </w:rPr>
        <w:t>סיכומו של דבר, לאחר שבחנתי את מכלול השיקולים, הן לקולה והן לחומרה,  אני מטיל על הנאשם את העונשים הבאים:</w:t>
      </w:r>
    </w:p>
    <w:p w14:paraId="046CACF5" w14:textId="77777777" w:rsidR="00AE07AE" w:rsidRDefault="00AE07AE" w:rsidP="00AE07AE">
      <w:pPr>
        <w:spacing w:before="120" w:after="120" w:line="360" w:lineRule="auto"/>
        <w:ind w:left="720"/>
        <w:contextualSpacing/>
        <w:jc w:val="both"/>
      </w:pPr>
    </w:p>
    <w:p w14:paraId="5833D937" w14:textId="77777777" w:rsidR="00AE07AE" w:rsidRPr="00570FED" w:rsidRDefault="00AE07AE" w:rsidP="00AE07AE">
      <w:pPr>
        <w:pStyle w:val="ListParagraph"/>
        <w:numPr>
          <w:ilvl w:val="0"/>
          <w:numId w:val="1"/>
        </w:numPr>
        <w:spacing w:before="120" w:after="120" w:line="360" w:lineRule="auto"/>
        <w:jc w:val="both"/>
        <w:rPr>
          <w:rFonts w:cs="David"/>
          <w:rtl/>
        </w:rPr>
      </w:pPr>
      <w:r w:rsidRPr="00570FED">
        <w:rPr>
          <w:rFonts w:cs="David"/>
          <w:rtl/>
        </w:rPr>
        <w:t xml:space="preserve">מאסר בפועל למשך </w:t>
      </w:r>
      <w:r>
        <w:rPr>
          <w:rFonts w:cs="David" w:hint="cs"/>
          <w:rtl/>
        </w:rPr>
        <w:t xml:space="preserve">12 </w:t>
      </w:r>
      <w:r w:rsidRPr="00570FED">
        <w:rPr>
          <w:rFonts w:cs="David"/>
          <w:rtl/>
        </w:rPr>
        <w:t>חודשים, בניכוי תקופת מעצרו</w:t>
      </w:r>
      <w:r>
        <w:rPr>
          <w:rFonts w:cs="David" w:hint="cs"/>
          <w:rtl/>
        </w:rPr>
        <w:t xml:space="preserve"> מיום 20.10.15-23.11.15.</w:t>
      </w:r>
    </w:p>
    <w:p w14:paraId="5821053F" w14:textId="77777777" w:rsidR="00AE07AE" w:rsidRPr="008C3C49" w:rsidRDefault="00AE07AE" w:rsidP="00AE07AE">
      <w:pPr>
        <w:pStyle w:val="ListParagraph"/>
        <w:numPr>
          <w:ilvl w:val="0"/>
          <w:numId w:val="1"/>
        </w:numPr>
        <w:spacing w:before="120" w:after="120" w:line="360" w:lineRule="auto"/>
        <w:jc w:val="both"/>
        <w:rPr>
          <w:rFonts w:cs="David"/>
          <w:rtl/>
        </w:rPr>
      </w:pPr>
      <w:r w:rsidRPr="008C3C49">
        <w:rPr>
          <w:rFonts w:cs="David"/>
          <w:rtl/>
        </w:rPr>
        <w:t>מאסר על תנאי למשך 6 חודשים והתנאי הוא שהנאשם לא יעבור במשך 3 שנים מיום שחרורו, כל עביר</w:t>
      </w:r>
      <w:r>
        <w:rPr>
          <w:rFonts w:cs="David" w:hint="cs"/>
          <w:rtl/>
        </w:rPr>
        <w:t>ה על פקודת ה</w:t>
      </w:r>
      <w:r w:rsidRPr="008C3C49">
        <w:rPr>
          <w:rFonts w:cs="David"/>
          <w:rtl/>
        </w:rPr>
        <w:t xml:space="preserve">סמים שהיא פשע. </w:t>
      </w:r>
    </w:p>
    <w:p w14:paraId="05D31BCE" w14:textId="77777777" w:rsidR="00AE07AE" w:rsidRDefault="00AE07AE" w:rsidP="00AE07AE">
      <w:pPr>
        <w:pStyle w:val="ListParagraph"/>
        <w:numPr>
          <w:ilvl w:val="0"/>
          <w:numId w:val="1"/>
        </w:numPr>
        <w:spacing w:before="120" w:after="120" w:line="360" w:lineRule="auto"/>
        <w:jc w:val="both"/>
        <w:rPr>
          <w:rFonts w:cs="David"/>
        </w:rPr>
      </w:pPr>
      <w:r w:rsidRPr="008C3C49">
        <w:rPr>
          <w:rFonts w:cs="David"/>
          <w:rtl/>
        </w:rPr>
        <w:t>קנס בסך 8,000 ש"ח או 25 ימי מאסר תמורתו. הקנס ישולם ב-8 תשלומים שווים ורצופים כאשר הראשון בהם, 60 יום לאחר שחרורו של הנאשם ממאסרו. אי עמידה באחד התשלומים במועד, תעמיד את יתרת הסכום לפירעון מידי.</w:t>
      </w:r>
    </w:p>
    <w:p w14:paraId="0EDE601E" w14:textId="77777777" w:rsidR="00AE07AE" w:rsidRPr="008C3C49" w:rsidRDefault="00AE07AE" w:rsidP="00AE07AE">
      <w:pPr>
        <w:pStyle w:val="ListParagraph"/>
        <w:numPr>
          <w:ilvl w:val="0"/>
          <w:numId w:val="1"/>
        </w:numPr>
        <w:spacing w:before="120" w:after="120" w:line="360" w:lineRule="auto"/>
        <w:jc w:val="both"/>
        <w:rPr>
          <w:rFonts w:cs="David"/>
          <w:rtl/>
        </w:rPr>
      </w:pPr>
      <w:r>
        <w:rPr>
          <w:rFonts w:cs="David" w:hint="cs"/>
          <w:rtl/>
        </w:rPr>
        <w:t xml:space="preserve">אני פוסל את הנאשם מלהחזיק או לקבל רישיון נהיגה וזאת לתקופה של 6 חודשים. מובהר לנאשם שעליו להפקיד את רישיון הנהיגה שלו על מנת שמניין הפסילה יחל בכפוף לאמור </w:t>
      </w:r>
      <w:hyperlink r:id="rId58" w:history="1">
        <w:r w:rsidR="00AB70FF" w:rsidRPr="00AB70FF">
          <w:rPr>
            <w:rFonts w:cs="David"/>
            <w:color w:val="0000FF"/>
            <w:u w:val="single"/>
            <w:rtl/>
          </w:rPr>
          <w:t>בסעיף 42</w:t>
        </w:r>
      </w:hyperlink>
      <w:r>
        <w:rPr>
          <w:rFonts w:cs="David" w:hint="cs"/>
          <w:rtl/>
        </w:rPr>
        <w:t xml:space="preserve"> ל</w:t>
      </w:r>
      <w:hyperlink r:id="rId59" w:history="1">
        <w:r w:rsidR="00E31F7B" w:rsidRPr="00E31F7B">
          <w:rPr>
            <w:rStyle w:val="Hyperlink"/>
            <w:rFonts w:cs="David" w:hint="eastAsia"/>
            <w:rtl/>
          </w:rPr>
          <w:t>פקודת</w:t>
        </w:r>
        <w:r w:rsidR="00E31F7B" w:rsidRPr="00E31F7B">
          <w:rPr>
            <w:rStyle w:val="Hyperlink"/>
            <w:rFonts w:cs="David"/>
            <w:rtl/>
          </w:rPr>
          <w:t xml:space="preserve"> התעבורה</w:t>
        </w:r>
      </w:hyperlink>
      <w:r>
        <w:rPr>
          <w:rFonts w:cs="David" w:hint="cs"/>
          <w:rtl/>
        </w:rPr>
        <w:t xml:space="preserve">. </w:t>
      </w:r>
    </w:p>
    <w:p w14:paraId="041A0DCF" w14:textId="77777777" w:rsidR="00AE07AE" w:rsidRDefault="00AE07AE" w:rsidP="00AE07AE">
      <w:pPr>
        <w:pStyle w:val="ListParagraph"/>
        <w:spacing w:before="120" w:after="120" w:line="360" w:lineRule="auto"/>
        <w:ind w:left="1440"/>
        <w:jc w:val="both"/>
        <w:rPr>
          <w:rFonts w:cs="David"/>
          <w:rtl/>
        </w:rPr>
      </w:pPr>
    </w:p>
    <w:p w14:paraId="7690666F" w14:textId="77777777" w:rsidR="00AE07AE" w:rsidRPr="008C3C49" w:rsidRDefault="00AE07AE" w:rsidP="00AE07AE">
      <w:pPr>
        <w:pStyle w:val="ListParagraph"/>
        <w:spacing w:before="120" w:after="120" w:line="360" w:lineRule="auto"/>
        <w:ind w:left="1440"/>
        <w:jc w:val="both"/>
        <w:rPr>
          <w:rFonts w:cs="David"/>
          <w:b/>
          <w:bCs/>
          <w:u w:val="single"/>
          <w:rtl/>
        </w:rPr>
      </w:pPr>
      <w:r>
        <w:rPr>
          <w:rFonts w:cs="David" w:hint="cs"/>
          <w:b/>
          <w:bCs/>
          <w:u w:val="single"/>
          <w:rtl/>
        </w:rPr>
        <w:t xml:space="preserve">את </w:t>
      </w:r>
      <w:r w:rsidRPr="008C3C49">
        <w:rPr>
          <w:rFonts w:cs="David"/>
          <w:b/>
          <w:bCs/>
          <w:u w:val="single"/>
          <w:rtl/>
        </w:rPr>
        <w:t xml:space="preserve">הסמים והכלים </w:t>
      </w:r>
      <w:r>
        <w:rPr>
          <w:rFonts w:cs="David" w:hint="cs"/>
          <w:b/>
          <w:bCs/>
          <w:u w:val="single"/>
          <w:rtl/>
        </w:rPr>
        <w:t xml:space="preserve"> יש </w:t>
      </w:r>
      <w:r w:rsidRPr="008C3C49">
        <w:rPr>
          <w:rFonts w:cs="David"/>
          <w:b/>
          <w:bCs/>
          <w:u w:val="single"/>
          <w:rtl/>
        </w:rPr>
        <w:t>להשמיד בחלוף תקופת הערעור.</w:t>
      </w:r>
    </w:p>
    <w:p w14:paraId="1CB69EEC" w14:textId="77777777" w:rsidR="00AE07AE" w:rsidRPr="008C3C49" w:rsidRDefault="00AE07AE" w:rsidP="00AE07AE">
      <w:pPr>
        <w:pStyle w:val="ListParagraph"/>
        <w:spacing w:before="120" w:after="120" w:line="360" w:lineRule="auto"/>
        <w:ind w:left="1440"/>
        <w:jc w:val="both"/>
        <w:rPr>
          <w:rFonts w:cs="David"/>
          <w:b/>
          <w:bCs/>
          <w:u w:val="single"/>
          <w:rtl/>
        </w:rPr>
      </w:pPr>
      <w:r w:rsidRPr="008C3C49">
        <w:rPr>
          <w:rFonts w:cs="David"/>
          <w:b/>
          <w:bCs/>
          <w:u w:val="single"/>
          <w:rtl/>
        </w:rPr>
        <w:t>זכות ערעור בתוך 45 יום .</w:t>
      </w:r>
    </w:p>
    <w:p w14:paraId="24FB7B1C" w14:textId="77777777" w:rsidR="00AE07AE" w:rsidRPr="00E31F7B" w:rsidRDefault="00E31F7B" w:rsidP="00AE07AE">
      <w:pPr>
        <w:rPr>
          <w:color w:val="FFFFFF"/>
          <w:sz w:val="2"/>
          <w:szCs w:val="2"/>
          <w:rtl/>
        </w:rPr>
      </w:pPr>
      <w:r w:rsidRPr="00E31F7B">
        <w:rPr>
          <w:color w:val="FFFFFF"/>
          <w:sz w:val="2"/>
          <w:szCs w:val="2"/>
          <w:rtl/>
        </w:rPr>
        <w:t>5129371</w:t>
      </w:r>
    </w:p>
    <w:p w14:paraId="5EAE9D90" w14:textId="77777777" w:rsidR="00AE07AE" w:rsidRPr="00570FED" w:rsidRDefault="00E31F7B" w:rsidP="00AE07AE">
      <w:pPr>
        <w:rPr>
          <w:rFonts w:cs="FrankRuehl"/>
          <w:sz w:val="28"/>
          <w:szCs w:val="28"/>
          <w:rtl/>
        </w:rPr>
      </w:pPr>
      <w:r w:rsidRPr="00E31F7B">
        <w:rPr>
          <w:rFonts w:ascii="Arial" w:hAnsi="Arial"/>
          <w:color w:val="FFFFFF"/>
          <w:sz w:val="2"/>
          <w:szCs w:val="2"/>
          <w:rtl/>
        </w:rPr>
        <w:t>54678313</w:t>
      </w:r>
      <w:r>
        <w:rPr>
          <w:rFonts w:ascii="Arial" w:hAnsi="Arial"/>
          <w:rtl/>
        </w:rPr>
        <w:t xml:space="preserve">ניתן היום,  כ"ב אלול תשע"ז, 13 ספטמבר 2017, במעמד הצדדים. </w:t>
      </w:r>
    </w:p>
    <w:p w14:paraId="6BDF8696" w14:textId="77777777" w:rsidR="00AE07AE" w:rsidRDefault="00AE07AE" w:rsidP="00AE07A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93B0A32" w14:textId="77777777" w:rsidR="00AE07AE" w:rsidRDefault="00AE07AE" w:rsidP="00AE07AE">
      <w:pPr>
        <w:jc w:val="center"/>
        <w:rPr>
          <w:rFonts w:ascii="Arial" w:hAnsi="Arial" w:cs="FrankRuehl"/>
          <w:sz w:val="28"/>
          <w:szCs w:val="28"/>
          <w:rtl/>
        </w:rPr>
      </w:pPr>
    </w:p>
    <w:p w14:paraId="69031AF8" w14:textId="77777777" w:rsidR="00AE07AE" w:rsidRDefault="00AE07AE" w:rsidP="00AE07AE">
      <w:pPr>
        <w:rPr>
          <w:rFonts w:cs="FrankRuehl"/>
          <w:sz w:val="28"/>
          <w:szCs w:val="28"/>
          <w:rtl/>
        </w:rPr>
      </w:pPr>
    </w:p>
    <w:p w14:paraId="372E9135" w14:textId="77777777" w:rsidR="00AE07AE" w:rsidRDefault="00AE07AE" w:rsidP="00AE07AE">
      <w:pPr>
        <w:pStyle w:val="a3"/>
        <w:jc w:val="center"/>
        <w:rPr>
          <w:rtl/>
        </w:rPr>
      </w:pPr>
    </w:p>
    <w:p w14:paraId="1085746D" w14:textId="77777777" w:rsidR="00E31F7B" w:rsidRPr="00E31F7B" w:rsidRDefault="00E31F7B" w:rsidP="00E31F7B">
      <w:pPr>
        <w:keepNext/>
        <w:rPr>
          <w:rFonts w:ascii="David" w:hAnsi="David"/>
          <w:color w:val="000000"/>
          <w:sz w:val="22"/>
          <w:szCs w:val="22"/>
          <w:rtl/>
        </w:rPr>
      </w:pPr>
    </w:p>
    <w:p w14:paraId="6AD028BA" w14:textId="77777777" w:rsidR="00E31F7B" w:rsidRPr="00E31F7B" w:rsidRDefault="00E31F7B" w:rsidP="00E31F7B">
      <w:pPr>
        <w:keepNext/>
        <w:rPr>
          <w:rFonts w:ascii="David" w:hAnsi="David"/>
          <w:color w:val="000000"/>
          <w:sz w:val="22"/>
          <w:szCs w:val="22"/>
          <w:rtl/>
        </w:rPr>
      </w:pPr>
      <w:r w:rsidRPr="00E31F7B">
        <w:rPr>
          <w:rFonts w:ascii="David" w:hAnsi="David"/>
          <w:color w:val="000000"/>
          <w:sz w:val="22"/>
          <w:szCs w:val="22"/>
          <w:rtl/>
        </w:rPr>
        <w:t>יוסי טורס 54678313</w:t>
      </w:r>
    </w:p>
    <w:p w14:paraId="4EB74B13" w14:textId="77777777" w:rsidR="00E31F7B" w:rsidRDefault="00E31F7B" w:rsidP="00E31F7B">
      <w:pPr>
        <w:rPr>
          <w:color w:val="000000"/>
          <w:rtl/>
        </w:rPr>
      </w:pPr>
      <w:r w:rsidRPr="00E31F7B">
        <w:rPr>
          <w:color w:val="000000"/>
          <w:rtl/>
        </w:rPr>
        <w:t>נוסח מסמך זה כפוף לשינויי ניסוח ועריכה</w:t>
      </w:r>
    </w:p>
    <w:p w14:paraId="68C7FA22" w14:textId="77777777" w:rsidR="00E31F7B" w:rsidRDefault="00E31F7B" w:rsidP="00E31F7B">
      <w:pPr>
        <w:rPr>
          <w:rtl/>
        </w:rPr>
      </w:pPr>
    </w:p>
    <w:p w14:paraId="5AD3C936" w14:textId="77777777" w:rsidR="00E31F7B" w:rsidRDefault="00E31F7B" w:rsidP="00E31F7B">
      <w:pPr>
        <w:jc w:val="center"/>
        <w:rPr>
          <w:color w:val="0000FF"/>
          <w:u w:val="single"/>
          <w:rtl/>
        </w:rPr>
      </w:pPr>
      <w:hyperlink r:id="rId60" w:history="1">
        <w:r>
          <w:rPr>
            <w:rStyle w:val="Hyperlink"/>
            <w:rtl/>
          </w:rPr>
          <w:t>בעניין עריכה ושינויים במסמכי פסיקה, חקיקה ועוד באתר נבו – הקש כאן</w:t>
        </w:r>
      </w:hyperlink>
      <w:r w:rsidR="00156E72">
        <w:rPr>
          <w:rFonts w:hint="cs"/>
          <w:color w:val="0000FF"/>
          <w:u w:val="single"/>
          <w:rtl/>
        </w:rPr>
        <w:t xml:space="preserve"> </w:t>
      </w:r>
    </w:p>
    <w:p w14:paraId="09DAF4D0" w14:textId="77777777" w:rsidR="002D7B2F" w:rsidRPr="00E31F7B" w:rsidRDefault="002D7B2F" w:rsidP="00E31F7B">
      <w:pPr>
        <w:jc w:val="center"/>
        <w:rPr>
          <w:color w:val="0000FF"/>
          <w:u w:val="single"/>
        </w:rPr>
      </w:pPr>
    </w:p>
    <w:sectPr w:rsidR="002D7B2F" w:rsidRPr="00E31F7B" w:rsidSect="00E31F7B">
      <w:headerReference w:type="even" r:id="rId61"/>
      <w:headerReference w:type="default" r:id="rId62"/>
      <w:footerReference w:type="even" r:id="rId63"/>
      <w:footerReference w:type="default" r:id="rId6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459EE" w14:textId="77777777" w:rsidR="00FB39E3" w:rsidRDefault="00FB39E3">
      <w:r>
        <w:separator/>
      </w:r>
    </w:p>
  </w:endnote>
  <w:endnote w:type="continuationSeparator" w:id="0">
    <w:p w14:paraId="32F1BB65" w14:textId="77777777" w:rsidR="00FB39E3" w:rsidRDefault="00FB3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6F6A7" w14:textId="77777777" w:rsidR="003532D4" w:rsidRDefault="003532D4" w:rsidP="00E31F7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0711D51" w14:textId="77777777" w:rsidR="003532D4" w:rsidRPr="00E31F7B" w:rsidRDefault="003532D4" w:rsidP="00E31F7B">
    <w:pPr>
      <w:pStyle w:val="a5"/>
      <w:pBdr>
        <w:top w:val="single" w:sz="4" w:space="1" w:color="auto"/>
        <w:between w:val="single" w:sz="4" w:space="0" w:color="auto"/>
      </w:pBdr>
      <w:spacing w:after="60"/>
      <w:jc w:val="center"/>
      <w:rPr>
        <w:rFonts w:ascii="FrankRuehl" w:hAnsi="FrankRuehl" w:cs="FrankRuehl"/>
        <w:color w:val="000000"/>
      </w:rPr>
    </w:pPr>
    <w:r w:rsidRPr="00E31F7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95D61" w14:textId="77777777" w:rsidR="003532D4" w:rsidRDefault="003532D4" w:rsidP="00E31F7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45B7E">
      <w:rPr>
        <w:rFonts w:ascii="FrankRuehl" w:hAnsi="FrankRuehl" w:cs="FrankRuehl"/>
        <w:noProof/>
        <w:rtl/>
      </w:rPr>
      <w:t>1</w:t>
    </w:r>
    <w:r>
      <w:rPr>
        <w:rFonts w:ascii="FrankRuehl" w:hAnsi="FrankRuehl" w:cs="FrankRuehl"/>
        <w:rtl/>
      </w:rPr>
      <w:fldChar w:fldCharType="end"/>
    </w:r>
  </w:p>
  <w:p w14:paraId="29503A77" w14:textId="77777777" w:rsidR="003532D4" w:rsidRPr="00E31F7B" w:rsidRDefault="003532D4" w:rsidP="00E31F7B">
    <w:pPr>
      <w:pStyle w:val="a5"/>
      <w:pBdr>
        <w:top w:val="single" w:sz="4" w:space="1" w:color="auto"/>
        <w:between w:val="single" w:sz="4" w:space="0" w:color="auto"/>
      </w:pBdr>
      <w:spacing w:after="60"/>
      <w:jc w:val="center"/>
      <w:rPr>
        <w:rFonts w:ascii="FrankRuehl" w:hAnsi="FrankRuehl" w:cs="FrankRuehl"/>
        <w:color w:val="000000"/>
      </w:rPr>
    </w:pPr>
    <w:r w:rsidRPr="00E31F7B">
      <w:rPr>
        <w:rFonts w:ascii="FrankRuehl" w:hAnsi="FrankRuehl" w:cs="FrankRuehl"/>
        <w:color w:val="000000"/>
      </w:rPr>
      <w:pict w14:anchorId="04E5DE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25624" w14:textId="77777777" w:rsidR="00FB39E3" w:rsidRDefault="00FB39E3">
      <w:r>
        <w:separator/>
      </w:r>
    </w:p>
  </w:footnote>
  <w:footnote w:type="continuationSeparator" w:id="0">
    <w:p w14:paraId="348E1540" w14:textId="77777777" w:rsidR="00FB39E3" w:rsidRDefault="00FB3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18CE8" w14:textId="77777777" w:rsidR="003532D4" w:rsidRPr="00E31F7B" w:rsidRDefault="003532D4" w:rsidP="00E31F7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37259-10-15</w:t>
    </w:r>
    <w:r>
      <w:rPr>
        <w:rFonts w:ascii="David" w:hAnsi="David"/>
        <w:color w:val="000000"/>
        <w:sz w:val="22"/>
        <w:szCs w:val="22"/>
        <w:rtl/>
      </w:rPr>
      <w:tab/>
      <w:t xml:space="preserve"> מדינת ישראל נ' יעקב אוחנה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45D1B" w14:textId="77777777" w:rsidR="003532D4" w:rsidRPr="00E31F7B" w:rsidRDefault="003532D4" w:rsidP="00E31F7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37259-10-15</w:t>
    </w:r>
    <w:r>
      <w:rPr>
        <w:rFonts w:ascii="David" w:hAnsi="David"/>
        <w:color w:val="000000"/>
        <w:sz w:val="22"/>
        <w:szCs w:val="22"/>
        <w:rtl/>
      </w:rPr>
      <w:tab/>
      <w:t xml:space="preserve"> מדינת ישראל נ' יעקב אוחנה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25074"/>
    <w:multiLevelType w:val="hybridMultilevel"/>
    <w:tmpl w:val="E482050E"/>
    <w:lvl w:ilvl="0" w:tplc="3D1474B2">
      <w:start w:val="1"/>
      <w:numFmt w:val="hebrew1"/>
      <w:lvlText w:val="%1."/>
      <w:lvlJc w:val="center"/>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AE1EE1"/>
    <w:multiLevelType w:val="hybridMultilevel"/>
    <w:tmpl w:val="B21C6BE8"/>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1EE08F6"/>
    <w:multiLevelType w:val="hybridMultilevel"/>
    <w:tmpl w:val="7C6E2E1E"/>
    <w:lvl w:ilvl="0" w:tplc="26AC0B92">
      <w:start w:val="1"/>
      <w:numFmt w:val="decimal"/>
      <w:lvlText w:val="%1."/>
      <w:lvlJc w:val="left"/>
      <w:pPr>
        <w:ind w:left="720" w:hanging="360"/>
      </w:pPr>
      <w:rPr>
        <w:rFonts w:cs="David"/>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59467563">
    <w:abstractNumId w:val="1"/>
  </w:num>
  <w:num w:numId="2" w16cid:durableId="1485078328">
    <w:abstractNumId w:val="2"/>
  </w:num>
  <w:num w:numId="3" w16cid:durableId="1703508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E07AE"/>
    <w:rsid w:val="00133A67"/>
    <w:rsid w:val="00156E72"/>
    <w:rsid w:val="002D7B2F"/>
    <w:rsid w:val="002E12A4"/>
    <w:rsid w:val="003532D4"/>
    <w:rsid w:val="00624C9D"/>
    <w:rsid w:val="00855059"/>
    <w:rsid w:val="00A04636"/>
    <w:rsid w:val="00A45B7E"/>
    <w:rsid w:val="00AB70FF"/>
    <w:rsid w:val="00AE07AE"/>
    <w:rsid w:val="00BA16A0"/>
    <w:rsid w:val="00E31F7B"/>
    <w:rsid w:val="00E76202"/>
    <w:rsid w:val="00FB174F"/>
    <w:rsid w:val="00FB39E3"/>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4:docId w14:val="533DA18E"/>
  <w15:chartTrackingRefBased/>
  <w15:docId w15:val="{59E7B0A5-E2D0-4692-B0E8-29C93F0D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07AE"/>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AE07AE"/>
    <w:pPr>
      <w:tabs>
        <w:tab w:val="center" w:pos="4153"/>
        <w:tab w:val="right" w:pos="8306"/>
      </w:tabs>
    </w:pPr>
  </w:style>
  <w:style w:type="character" w:customStyle="1" w:styleId="a4">
    <w:name w:val="כותרת עליונה תו"/>
    <w:link w:val="a3"/>
    <w:rsid w:val="00AE07AE"/>
    <w:rPr>
      <w:rFonts w:ascii="Times New Roman" w:eastAsia="Times New Roman" w:hAnsi="Times New Roman" w:cs="David"/>
      <w:sz w:val="24"/>
      <w:szCs w:val="24"/>
    </w:rPr>
  </w:style>
  <w:style w:type="paragraph" w:styleId="a5">
    <w:name w:val="footer"/>
    <w:basedOn w:val="a"/>
    <w:link w:val="a6"/>
    <w:rsid w:val="00AE07AE"/>
    <w:pPr>
      <w:tabs>
        <w:tab w:val="center" w:pos="4153"/>
        <w:tab w:val="right" w:pos="8306"/>
      </w:tabs>
    </w:pPr>
  </w:style>
  <w:style w:type="character" w:customStyle="1" w:styleId="a6">
    <w:name w:val="כותרת תחתונה תו"/>
    <w:link w:val="a5"/>
    <w:rsid w:val="00AE07AE"/>
    <w:rPr>
      <w:rFonts w:ascii="Times New Roman" w:eastAsia="Times New Roman" w:hAnsi="Times New Roman" w:cs="David"/>
      <w:sz w:val="24"/>
      <w:szCs w:val="24"/>
    </w:rPr>
  </w:style>
  <w:style w:type="table" w:styleId="a7">
    <w:name w:val="Table Grid"/>
    <w:basedOn w:val="a1"/>
    <w:rsid w:val="00AE07A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E07AE"/>
  </w:style>
  <w:style w:type="paragraph" w:customStyle="1" w:styleId="ListParagraph">
    <w:name w:val="List Paragraph"/>
    <w:basedOn w:val="a"/>
    <w:rsid w:val="00AE07AE"/>
    <w:pPr>
      <w:ind w:left="720"/>
      <w:contextualSpacing/>
    </w:pPr>
    <w:rPr>
      <w:rFonts w:cs="Times New Roman"/>
    </w:rPr>
  </w:style>
  <w:style w:type="character" w:styleId="Hyperlink">
    <w:name w:val="Hyperlink"/>
    <w:rsid w:val="00E31F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6241434" TargetMode="External"/><Relationship Id="rId21" Type="http://schemas.openxmlformats.org/officeDocument/2006/relationships/hyperlink" Target="http://www.nevo.co.il/law/74903/184" TargetMode="External"/><Relationship Id="rId34" Type="http://schemas.openxmlformats.org/officeDocument/2006/relationships/hyperlink" Target="http://www.nevo.co.il/case/20930804" TargetMode="External"/><Relationship Id="rId42" Type="http://schemas.openxmlformats.org/officeDocument/2006/relationships/hyperlink" Target="http://www.nevo.co.il/case/6782092" TargetMode="External"/><Relationship Id="rId47" Type="http://schemas.openxmlformats.org/officeDocument/2006/relationships/hyperlink" Target="http://www.nevo.co.il/case/17045282" TargetMode="External"/><Relationship Id="rId50" Type="http://schemas.openxmlformats.org/officeDocument/2006/relationships/hyperlink" Target="http://www.nevo.co.il/case/20490021" TargetMode="External"/><Relationship Id="rId55" Type="http://schemas.openxmlformats.org/officeDocument/2006/relationships/hyperlink" Target="http://www.nevo.co.il/case/13070717" TargetMode="External"/><Relationship Id="rId63"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5227" TargetMode="External"/><Relationship Id="rId29" Type="http://schemas.openxmlformats.org/officeDocument/2006/relationships/hyperlink" Target="http://www.nevo.co.il/case/5681790" TargetMode="External"/><Relationship Id="rId11" Type="http://schemas.openxmlformats.org/officeDocument/2006/relationships/hyperlink" Target="http://www.nevo.co.il/law/74903"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40j" TargetMode="External"/><Relationship Id="rId37" Type="http://schemas.openxmlformats.org/officeDocument/2006/relationships/hyperlink" Target="http://www.nevo.co.il/case/4804940" TargetMode="External"/><Relationship Id="rId40" Type="http://schemas.openxmlformats.org/officeDocument/2006/relationships/hyperlink" Target="http://www.nevo.co.il/case/13070717" TargetMode="External"/><Relationship Id="rId45" Type="http://schemas.openxmlformats.org/officeDocument/2006/relationships/hyperlink" Target="http://www.nevo.co.il/case/22656269" TargetMode="External"/><Relationship Id="rId53" Type="http://schemas.openxmlformats.org/officeDocument/2006/relationships/hyperlink" Target="http://www.nevo.co.il/case/22656269" TargetMode="External"/><Relationship Id="rId58" Type="http://schemas.openxmlformats.org/officeDocument/2006/relationships/hyperlink" Target="http://www.nevo.co.il/law/5227/42"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4216" TargetMode="External"/><Relationship Id="rId14" Type="http://schemas.openxmlformats.org/officeDocument/2006/relationships/hyperlink" Target="http://www.nevo.co.il/law/70301/40j" TargetMode="External"/><Relationship Id="rId22" Type="http://schemas.openxmlformats.org/officeDocument/2006/relationships/hyperlink" Target="http://www.nevo.co.il/law/74903" TargetMode="External"/><Relationship Id="rId27" Type="http://schemas.openxmlformats.org/officeDocument/2006/relationships/hyperlink" Target="http://www.nevo.co.il/case/5988308" TargetMode="External"/><Relationship Id="rId30" Type="http://schemas.openxmlformats.org/officeDocument/2006/relationships/hyperlink" Target="http://www.nevo.co.il/case/244246" TargetMode="External"/><Relationship Id="rId35" Type="http://schemas.openxmlformats.org/officeDocument/2006/relationships/hyperlink" Target="http://www.nevo.co.il/case/18045843" TargetMode="External"/><Relationship Id="rId43" Type="http://schemas.openxmlformats.org/officeDocument/2006/relationships/hyperlink" Target="http://www.nevo.co.il/case/4616682" TargetMode="External"/><Relationship Id="rId48" Type="http://schemas.openxmlformats.org/officeDocument/2006/relationships/hyperlink" Target="http://www.nevo.co.il/case/5583050" TargetMode="External"/><Relationship Id="rId56" Type="http://schemas.openxmlformats.org/officeDocument/2006/relationships/hyperlink" Target="http://www.nevo.co.il/case/22355740" TargetMode="External"/><Relationship Id="rId64" Type="http://schemas.openxmlformats.org/officeDocument/2006/relationships/footer" Target="footer2.xml"/><Relationship Id="rId8" Type="http://schemas.openxmlformats.org/officeDocument/2006/relationships/hyperlink" Target="http://www.nevo.co.il/law/4216/6" TargetMode="External"/><Relationship Id="rId51" Type="http://schemas.openxmlformats.org/officeDocument/2006/relationships/hyperlink" Target="http://www.nevo.co.il/case/11206360" TargetMode="External"/><Relationship Id="rId3" Type="http://schemas.openxmlformats.org/officeDocument/2006/relationships/settings" Target="settings.xml"/><Relationship Id="rId12" Type="http://schemas.openxmlformats.org/officeDocument/2006/relationships/hyperlink" Target="http://www.nevo.co.il/law/74903/184" TargetMode="External"/><Relationship Id="rId17" Type="http://schemas.openxmlformats.org/officeDocument/2006/relationships/hyperlink" Target="http://www.nevo.co.il/law/5227/42"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0705570" TargetMode="External"/><Relationship Id="rId46" Type="http://schemas.openxmlformats.org/officeDocument/2006/relationships/hyperlink" Target="http://www.nevo.co.il/case/7840661" TargetMode="External"/><Relationship Id="rId59" Type="http://schemas.openxmlformats.org/officeDocument/2006/relationships/hyperlink" Target="http://www.nevo.co.il/law/5227" TargetMode="External"/><Relationship Id="rId20" Type="http://schemas.openxmlformats.org/officeDocument/2006/relationships/hyperlink" Target="http://www.nevo.co.il/law/4216/10" TargetMode="External"/><Relationship Id="rId41" Type="http://schemas.openxmlformats.org/officeDocument/2006/relationships/hyperlink" Target="http://www.nevo.co.il/case/10547951" TargetMode="External"/><Relationship Id="rId54" Type="http://schemas.openxmlformats.org/officeDocument/2006/relationships/hyperlink" Target="http://www.nevo.co.il/case/21477475"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b" TargetMode="External"/><Relationship Id="rId23" Type="http://schemas.openxmlformats.org/officeDocument/2006/relationships/hyperlink" Target="http://www.nevo.co.il/law/70301/40jb" TargetMode="External"/><Relationship Id="rId28" Type="http://schemas.openxmlformats.org/officeDocument/2006/relationships/hyperlink" Target="http://www.nevo.co.il/case/20705570" TargetMode="External"/><Relationship Id="rId36" Type="http://schemas.openxmlformats.org/officeDocument/2006/relationships/hyperlink" Target="http://www.nevo.co.il/case/6241434" TargetMode="External"/><Relationship Id="rId49" Type="http://schemas.openxmlformats.org/officeDocument/2006/relationships/hyperlink" Target="http://www.nevo.co.il/case/21003552" TargetMode="External"/><Relationship Id="rId57" Type="http://schemas.openxmlformats.org/officeDocument/2006/relationships/hyperlink" Target="http://www.nevo.co.il/case/22303161" TargetMode="External"/><Relationship Id="rId10" Type="http://schemas.openxmlformats.org/officeDocument/2006/relationships/hyperlink" Target="http://www.nevo.co.il/law/4216/36a.b" TargetMode="External"/><Relationship Id="rId31" Type="http://schemas.openxmlformats.org/officeDocument/2006/relationships/hyperlink" Target="http://www.nevo.co.il/law/4216/36a.b" TargetMode="External"/><Relationship Id="rId44" Type="http://schemas.openxmlformats.org/officeDocument/2006/relationships/hyperlink" Target="http://www.nevo.co.il/case/18045843" TargetMode="External"/><Relationship Id="rId52" Type="http://schemas.openxmlformats.org/officeDocument/2006/relationships/hyperlink" Target="http://www.nevo.co.il/case/20111708"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0" TargetMode="External"/><Relationship Id="rId13" Type="http://schemas.openxmlformats.org/officeDocument/2006/relationships/hyperlink" Target="http://www.nevo.co.il/law/70301" TargetMode="External"/><Relationship Id="rId18" Type="http://schemas.openxmlformats.org/officeDocument/2006/relationships/hyperlink" Target="http://www.nevo.co.il/law/4216/6" TargetMode="External"/><Relationship Id="rId39" Type="http://schemas.openxmlformats.org/officeDocument/2006/relationships/hyperlink" Target="http://www.nevo.co.il/case/829166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3575</Words>
  <Characters>17875</Characters>
  <Application>Microsoft Office Word</Application>
  <DocSecurity>0</DocSecurity>
  <Lines>148</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21408</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8323175</vt:i4>
      </vt:variant>
      <vt:variant>
        <vt:i4>156</vt:i4>
      </vt:variant>
      <vt:variant>
        <vt:i4>0</vt:i4>
      </vt:variant>
      <vt:variant>
        <vt:i4>5</vt:i4>
      </vt:variant>
      <vt:variant>
        <vt:lpwstr>http://www.nevo.co.il/law/5227</vt:lpwstr>
      </vt:variant>
      <vt:variant>
        <vt:lpwstr/>
      </vt:variant>
      <vt:variant>
        <vt:i4>4915272</vt:i4>
      </vt:variant>
      <vt:variant>
        <vt:i4>153</vt:i4>
      </vt:variant>
      <vt:variant>
        <vt:i4>0</vt:i4>
      </vt:variant>
      <vt:variant>
        <vt:i4>5</vt:i4>
      </vt:variant>
      <vt:variant>
        <vt:lpwstr>http://www.nevo.co.il/law/5227/42</vt:lpwstr>
      </vt:variant>
      <vt:variant>
        <vt:lpwstr/>
      </vt:variant>
      <vt:variant>
        <vt:i4>3407991</vt:i4>
      </vt:variant>
      <vt:variant>
        <vt:i4>150</vt:i4>
      </vt:variant>
      <vt:variant>
        <vt:i4>0</vt:i4>
      </vt:variant>
      <vt:variant>
        <vt:i4>5</vt:i4>
      </vt:variant>
      <vt:variant>
        <vt:lpwstr>http://www.nevo.co.il/case/22303161</vt:lpwstr>
      </vt:variant>
      <vt:variant>
        <vt:lpwstr/>
      </vt:variant>
      <vt:variant>
        <vt:i4>3145844</vt:i4>
      </vt:variant>
      <vt:variant>
        <vt:i4>147</vt:i4>
      </vt:variant>
      <vt:variant>
        <vt:i4>0</vt:i4>
      </vt:variant>
      <vt:variant>
        <vt:i4>5</vt:i4>
      </vt:variant>
      <vt:variant>
        <vt:lpwstr>http://www.nevo.co.il/case/22355740</vt:lpwstr>
      </vt:variant>
      <vt:variant>
        <vt:lpwstr/>
      </vt:variant>
      <vt:variant>
        <vt:i4>3145847</vt:i4>
      </vt:variant>
      <vt:variant>
        <vt:i4>144</vt:i4>
      </vt:variant>
      <vt:variant>
        <vt:i4>0</vt:i4>
      </vt:variant>
      <vt:variant>
        <vt:i4>5</vt:i4>
      </vt:variant>
      <vt:variant>
        <vt:lpwstr>http://www.nevo.co.il/case/13070717</vt:lpwstr>
      </vt:variant>
      <vt:variant>
        <vt:lpwstr/>
      </vt:variant>
      <vt:variant>
        <vt:i4>3539062</vt:i4>
      </vt:variant>
      <vt:variant>
        <vt:i4>141</vt:i4>
      </vt:variant>
      <vt:variant>
        <vt:i4>0</vt:i4>
      </vt:variant>
      <vt:variant>
        <vt:i4>5</vt:i4>
      </vt:variant>
      <vt:variant>
        <vt:lpwstr>http://www.nevo.co.il/case/21477475</vt:lpwstr>
      </vt:variant>
      <vt:variant>
        <vt:lpwstr/>
      </vt:variant>
      <vt:variant>
        <vt:i4>3407985</vt:i4>
      </vt:variant>
      <vt:variant>
        <vt:i4>138</vt:i4>
      </vt:variant>
      <vt:variant>
        <vt:i4>0</vt:i4>
      </vt:variant>
      <vt:variant>
        <vt:i4>5</vt:i4>
      </vt:variant>
      <vt:variant>
        <vt:lpwstr>http://www.nevo.co.il/case/22656269</vt:lpwstr>
      </vt:variant>
      <vt:variant>
        <vt:lpwstr/>
      </vt:variant>
      <vt:variant>
        <vt:i4>3276914</vt:i4>
      </vt:variant>
      <vt:variant>
        <vt:i4>135</vt:i4>
      </vt:variant>
      <vt:variant>
        <vt:i4>0</vt:i4>
      </vt:variant>
      <vt:variant>
        <vt:i4>5</vt:i4>
      </vt:variant>
      <vt:variant>
        <vt:lpwstr>http://www.nevo.co.il/case/20111708</vt:lpwstr>
      </vt:variant>
      <vt:variant>
        <vt:lpwstr/>
      </vt:variant>
      <vt:variant>
        <vt:i4>3342454</vt:i4>
      </vt:variant>
      <vt:variant>
        <vt:i4>132</vt:i4>
      </vt:variant>
      <vt:variant>
        <vt:i4>0</vt:i4>
      </vt:variant>
      <vt:variant>
        <vt:i4>5</vt:i4>
      </vt:variant>
      <vt:variant>
        <vt:lpwstr>http://www.nevo.co.il/case/11206360</vt:lpwstr>
      </vt:variant>
      <vt:variant>
        <vt:lpwstr/>
      </vt:variant>
      <vt:variant>
        <vt:i4>3407997</vt:i4>
      </vt:variant>
      <vt:variant>
        <vt:i4>129</vt:i4>
      </vt:variant>
      <vt:variant>
        <vt:i4>0</vt:i4>
      </vt:variant>
      <vt:variant>
        <vt:i4>5</vt:i4>
      </vt:variant>
      <vt:variant>
        <vt:lpwstr>http://www.nevo.co.il/case/20490021</vt:lpwstr>
      </vt:variant>
      <vt:variant>
        <vt:lpwstr/>
      </vt:variant>
      <vt:variant>
        <vt:i4>3407984</vt:i4>
      </vt:variant>
      <vt:variant>
        <vt:i4>126</vt:i4>
      </vt:variant>
      <vt:variant>
        <vt:i4>0</vt:i4>
      </vt:variant>
      <vt:variant>
        <vt:i4>5</vt:i4>
      </vt:variant>
      <vt:variant>
        <vt:lpwstr>http://www.nevo.co.il/case/21003552</vt:lpwstr>
      </vt:variant>
      <vt:variant>
        <vt:lpwstr/>
      </vt:variant>
      <vt:variant>
        <vt:i4>3997815</vt:i4>
      </vt:variant>
      <vt:variant>
        <vt:i4>123</vt:i4>
      </vt:variant>
      <vt:variant>
        <vt:i4>0</vt:i4>
      </vt:variant>
      <vt:variant>
        <vt:i4>5</vt:i4>
      </vt:variant>
      <vt:variant>
        <vt:lpwstr>http://www.nevo.co.il/case/5583050</vt:lpwstr>
      </vt:variant>
      <vt:variant>
        <vt:lpwstr/>
      </vt:variant>
      <vt:variant>
        <vt:i4>3932277</vt:i4>
      </vt:variant>
      <vt:variant>
        <vt:i4>120</vt:i4>
      </vt:variant>
      <vt:variant>
        <vt:i4>0</vt:i4>
      </vt:variant>
      <vt:variant>
        <vt:i4>5</vt:i4>
      </vt:variant>
      <vt:variant>
        <vt:lpwstr>http://www.nevo.co.il/case/17045282</vt:lpwstr>
      </vt:variant>
      <vt:variant>
        <vt:lpwstr/>
      </vt:variant>
      <vt:variant>
        <vt:i4>3407994</vt:i4>
      </vt:variant>
      <vt:variant>
        <vt:i4>117</vt:i4>
      </vt:variant>
      <vt:variant>
        <vt:i4>0</vt:i4>
      </vt:variant>
      <vt:variant>
        <vt:i4>5</vt:i4>
      </vt:variant>
      <vt:variant>
        <vt:lpwstr>http://www.nevo.co.il/case/7840661</vt:lpwstr>
      </vt:variant>
      <vt:variant>
        <vt:lpwstr/>
      </vt:variant>
      <vt:variant>
        <vt:i4>3407985</vt:i4>
      </vt:variant>
      <vt:variant>
        <vt:i4>114</vt:i4>
      </vt:variant>
      <vt:variant>
        <vt:i4>0</vt:i4>
      </vt:variant>
      <vt:variant>
        <vt:i4>5</vt:i4>
      </vt:variant>
      <vt:variant>
        <vt:lpwstr>http://www.nevo.co.il/case/22656269</vt:lpwstr>
      </vt:variant>
      <vt:variant>
        <vt:lpwstr/>
      </vt:variant>
      <vt:variant>
        <vt:i4>3145840</vt:i4>
      </vt:variant>
      <vt:variant>
        <vt:i4>111</vt:i4>
      </vt:variant>
      <vt:variant>
        <vt:i4>0</vt:i4>
      </vt:variant>
      <vt:variant>
        <vt:i4>5</vt:i4>
      </vt:variant>
      <vt:variant>
        <vt:lpwstr>http://www.nevo.co.il/case/18045843</vt:lpwstr>
      </vt:variant>
      <vt:variant>
        <vt:lpwstr/>
      </vt:variant>
      <vt:variant>
        <vt:i4>3211388</vt:i4>
      </vt:variant>
      <vt:variant>
        <vt:i4>108</vt:i4>
      </vt:variant>
      <vt:variant>
        <vt:i4>0</vt:i4>
      </vt:variant>
      <vt:variant>
        <vt:i4>5</vt:i4>
      </vt:variant>
      <vt:variant>
        <vt:lpwstr>http://www.nevo.co.il/case/4616682</vt:lpwstr>
      </vt:variant>
      <vt:variant>
        <vt:lpwstr/>
      </vt:variant>
      <vt:variant>
        <vt:i4>3932280</vt:i4>
      </vt:variant>
      <vt:variant>
        <vt:i4>105</vt:i4>
      </vt:variant>
      <vt:variant>
        <vt:i4>0</vt:i4>
      </vt:variant>
      <vt:variant>
        <vt:i4>5</vt:i4>
      </vt:variant>
      <vt:variant>
        <vt:lpwstr>http://www.nevo.co.il/case/6782092</vt:lpwstr>
      </vt:variant>
      <vt:variant>
        <vt:lpwstr/>
      </vt:variant>
      <vt:variant>
        <vt:i4>3539065</vt:i4>
      </vt:variant>
      <vt:variant>
        <vt:i4>102</vt:i4>
      </vt:variant>
      <vt:variant>
        <vt:i4>0</vt:i4>
      </vt:variant>
      <vt:variant>
        <vt:i4>5</vt:i4>
      </vt:variant>
      <vt:variant>
        <vt:lpwstr>http://www.nevo.co.il/case/10547951</vt:lpwstr>
      </vt:variant>
      <vt:variant>
        <vt:lpwstr/>
      </vt:variant>
      <vt:variant>
        <vt:i4>3145847</vt:i4>
      </vt:variant>
      <vt:variant>
        <vt:i4>99</vt:i4>
      </vt:variant>
      <vt:variant>
        <vt:i4>0</vt:i4>
      </vt:variant>
      <vt:variant>
        <vt:i4>5</vt:i4>
      </vt:variant>
      <vt:variant>
        <vt:lpwstr>http://www.nevo.co.il/case/13070717</vt:lpwstr>
      </vt:variant>
      <vt:variant>
        <vt:lpwstr/>
      </vt:variant>
      <vt:variant>
        <vt:i4>3539057</vt:i4>
      </vt:variant>
      <vt:variant>
        <vt:i4>96</vt:i4>
      </vt:variant>
      <vt:variant>
        <vt:i4>0</vt:i4>
      </vt:variant>
      <vt:variant>
        <vt:i4>5</vt:i4>
      </vt:variant>
      <vt:variant>
        <vt:lpwstr>http://www.nevo.co.il/case/8291661</vt:lpwstr>
      </vt:variant>
      <vt:variant>
        <vt:lpwstr/>
      </vt:variant>
      <vt:variant>
        <vt:i4>3604593</vt:i4>
      </vt:variant>
      <vt:variant>
        <vt:i4>93</vt:i4>
      </vt:variant>
      <vt:variant>
        <vt:i4>0</vt:i4>
      </vt:variant>
      <vt:variant>
        <vt:i4>5</vt:i4>
      </vt:variant>
      <vt:variant>
        <vt:lpwstr>http://www.nevo.co.il/case/20705570</vt:lpwstr>
      </vt:variant>
      <vt:variant>
        <vt:lpwstr/>
      </vt:variant>
      <vt:variant>
        <vt:i4>3997820</vt:i4>
      </vt:variant>
      <vt:variant>
        <vt:i4>90</vt:i4>
      </vt:variant>
      <vt:variant>
        <vt:i4>0</vt:i4>
      </vt:variant>
      <vt:variant>
        <vt:i4>5</vt:i4>
      </vt:variant>
      <vt:variant>
        <vt:lpwstr>http://www.nevo.co.il/case/4804940</vt:lpwstr>
      </vt:variant>
      <vt:variant>
        <vt:lpwstr/>
      </vt:variant>
      <vt:variant>
        <vt:i4>3276916</vt:i4>
      </vt:variant>
      <vt:variant>
        <vt:i4>87</vt:i4>
      </vt:variant>
      <vt:variant>
        <vt:i4>0</vt:i4>
      </vt:variant>
      <vt:variant>
        <vt:i4>5</vt:i4>
      </vt:variant>
      <vt:variant>
        <vt:lpwstr>http://www.nevo.co.il/case/6241434</vt:lpwstr>
      </vt:variant>
      <vt:variant>
        <vt:lpwstr/>
      </vt:variant>
      <vt:variant>
        <vt:i4>3145840</vt:i4>
      </vt:variant>
      <vt:variant>
        <vt:i4>84</vt:i4>
      </vt:variant>
      <vt:variant>
        <vt:i4>0</vt:i4>
      </vt:variant>
      <vt:variant>
        <vt:i4>5</vt:i4>
      </vt:variant>
      <vt:variant>
        <vt:lpwstr>http://www.nevo.co.il/case/18045843</vt:lpwstr>
      </vt:variant>
      <vt:variant>
        <vt:lpwstr/>
      </vt:variant>
      <vt:variant>
        <vt:i4>3866751</vt:i4>
      </vt:variant>
      <vt:variant>
        <vt:i4>81</vt:i4>
      </vt:variant>
      <vt:variant>
        <vt:i4>0</vt:i4>
      </vt:variant>
      <vt:variant>
        <vt:i4>5</vt:i4>
      </vt:variant>
      <vt:variant>
        <vt:lpwstr>http://www.nevo.co.il/case/20930804</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http://www.nevo.co.il/law/70301/40j</vt:lpwstr>
      </vt:variant>
      <vt:variant>
        <vt:lpwstr/>
      </vt:variant>
      <vt:variant>
        <vt:i4>5111890</vt:i4>
      </vt:variant>
      <vt:variant>
        <vt:i4>72</vt:i4>
      </vt:variant>
      <vt:variant>
        <vt:i4>0</vt:i4>
      </vt:variant>
      <vt:variant>
        <vt:i4>5</vt:i4>
      </vt:variant>
      <vt:variant>
        <vt:lpwstr>http://www.nevo.co.il/law/4216/36a.b</vt:lpwstr>
      </vt:variant>
      <vt:variant>
        <vt:lpwstr/>
      </vt:variant>
      <vt:variant>
        <vt:i4>131138</vt:i4>
      </vt:variant>
      <vt:variant>
        <vt:i4>69</vt:i4>
      </vt:variant>
      <vt:variant>
        <vt:i4>0</vt:i4>
      </vt:variant>
      <vt:variant>
        <vt:i4>5</vt:i4>
      </vt:variant>
      <vt:variant>
        <vt:lpwstr>http://www.nevo.co.il/case/244246</vt:lpwstr>
      </vt:variant>
      <vt:variant>
        <vt:lpwstr/>
      </vt:variant>
      <vt:variant>
        <vt:i4>3801210</vt:i4>
      </vt:variant>
      <vt:variant>
        <vt:i4>66</vt:i4>
      </vt:variant>
      <vt:variant>
        <vt:i4>0</vt:i4>
      </vt:variant>
      <vt:variant>
        <vt:i4>5</vt:i4>
      </vt:variant>
      <vt:variant>
        <vt:lpwstr>http://www.nevo.co.il/case/5681790</vt:lpwstr>
      </vt:variant>
      <vt:variant>
        <vt:lpwstr/>
      </vt:variant>
      <vt:variant>
        <vt:i4>3604593</vt:i4>
      </vt:variant>
      <vt:variant>
        <vt:i4>63</vt:i4>
      </vt:variant>
      <vt:variant>
        <vt:i4>0</vt:i4>
      </vt:variant>
      <vt:variant>
        <vt:i4>5</vt:i4>
      </vt:variant>
      <vt:variant>
        <vt:lpwstr>http://www.nevo.co.il/case/20705570</vt:lpwstr>
      </vt:variant>
      <vt:variant>
        <vt:lpwstr/>
      </vt:variant>
      <vt:variant>
        <vt:i4>3539061</vt:i4>
      </vt:variant>
      <vt:variant>
        <vt:i4>60</vt:i4>
      </vt:variant>
      <vt:variant>
        <vt:i4>0</vt:i4>
      </vt:variant>
      <vt:variant>
        <vt:i4>5</vt:i4>
      </vt:variant>
      <vt:variant>
        <vt:lpwstr>http://www.nevo.co.il/case/5988308</vt:lpwstr>
      </vt:variant>
      <vt:variant>
        <vt:lpwstr/>
      </vt:variant>
      <vt:variant>
        <vt:i4>3276916</vt:i4>
      </vt:variant>
      <vt:variant>
        <vt:i4>57</vt:i4>
      </vt:variant>
      <vt:variant>
        <vt:i4>0</vt:i4>
      </vt:variant>
      <vt:variant>
        <vt:i4>5</vt:i4>
      </vt:variant>
      <vt:variant>
        <vt:lpwstr>http://www.nevo.co.il/case/6241434</vt:lpwstr>
      </vt:variant>
      <vt:variant>
        <vt:lpwstr/>
      </vt:variant>
      <vt:variant>
        <vt:i4>7995492</vt:i4>
      </vt:variant>
      <vt:variant>
        <vt:i4>54</vt:i4>
      </vt:variant>
      <vt:variant>
        <vt:i4>0</vt:i4>
      </vt:variant>
      <vt:variant>
        <vt:i4>5</vt:i4>
      </vt:variant>
      <vt:variant>
        <vt:lpwstr>http://www.nevo.co.il/law/70301</vt:lpwstr>
      </vt:variant>
      <vt:variant>
        <vt:lpwstr/>
      </vt:variant>
      <vt:variant>
        <vt:i4>7995492</vt:i4>
      </vt:variant>
      <vt:variant>
        <vt:i4>51</vt:i4>
      </vt:variant>
      <vt:variant>
        <vt:i4>0</vt:i4>
      </vt:variant>
      <vt:variant>
        <vt:i4>5</vt:i4>
      </vt:variant>
      <vt:variant>
        <vt:lpwstr>http://www.nevo.co.il/law/70301</vt:lpwstr>
      </vt:variant>
      <vt:variant>
        <vt:lpwstr/>
      </vt:variant>
      <vt:variant>
        <vt:i4>458763</vt:i4>
      </vt:variant>
      <vt:variant>
        <vt:i4>48</vt:i4>
      </vt:variant>
      <vt:variant>
        <vt:i4>0</vt:i4>
      </vt:variant>
      <vt:variant>
        <vt:i4>5</vt:i4>
      </vt:variant>
      <vt:variant>
        <vt:lpwstr>http://www.nevo.co.il/law/70301/40jb</vt:lpwstr>
      </vt:variant>
      <vt:variant>
        <vt:lpwstr/>
      </vt:variant>
      <vt:variant>
        <vt:i4>8257646</vt:i4>
      </vt:variant>
      <vt:variant>
        <vt:i4>45</vt:i4>
      </vt:variant>
      <vt:variant>
        <vt:i4>0</vt:i4>
      </vt:variant>
      <vt:variant>
        <vt:i4>5</vt:i4>
      </vt:variant>
      <vt:variant>
        <vt:lpwstr>http://www.nevo.co.il/law/74903</vt:lpwstr>
      </vt:variant>
      <vt:variant>
        <vt:lpwstr/>
      </vt:variant>
      <vt:variant>
        <vt:i4>6881388</vt:i4>
      </vt:variant>
      <vt:variant>
        <vt:i4>42</vt:i4>
      </vt:variant>
      <vt:variant>
        <vt:i4>0</vt:i4>
      </vt:variant>
      <vt:variant>
        <vt:i4>5</vt:i4>
      </vt:variant>
      <vt:variant>
        <vt:lpwstr>http://www.nevo.co.il/law/74903/184</vt:lpwstr>
      </vt:variant>
      <vt:variant>
        <vt:lpwstr/>
      </vt:variant>
      <vt:variant>
        <vt:i4>5177418</vt:i4>
      </vt:variant>
      <vt:variant>
        <vt:i4>39</vt:i4>
      </vt:variant>
      <vt:variant>
        <vt:i4>0</vt:i4>
      </vt:variant>
      <vt:variant>
        <vt:i4>5</vt:i4>
      </vt:variant>
      <vt:variant>
        <vt:lpwstr>http://www.nevo.co.il/law/4216/10</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4915272</vt:i4>
      </vt:variant>
      <vt:variant>
        <vt:i4>30</vt:i4>
      </vt:variant>
      <vt:variant>
        <vt:i4>0</vt:i4>
      </vt:variant>
      <vt:variant>
        <vt:i4>5</vt:i4>
      </vt:variant>
      <vt:variant>
        <vt:lpwstr>http://www.nevo.co.il/law/5227/42</vt:lpwstr>
      </vt:variant>
      <vt:variant>
        <vt:lpwstr/>
      </vt:variant>
      <vt:variant>
        <vt:i4>8323175</vt:i4>
      </vt:variant>
      <vt:variant>
        <vt:i4>27</vt:i4>
      </vt:variant>
      <vt:variant>
        <vt:i4>0</vt:i4>
      </vt:variant>
      <vt:variant>
        <vt:i4>5</vt:i4>
      </vt:variant>
      <vt:variant>
        <vt:lpwstr>http://www.nevo.co.il/law/5227</vt:lpwstr>
      </vt:variant>
      <vt:variant>
        <vt:lpwstr/>
      </vt:variant>
      <vt:variant>
        <vt:i4>458763</vt:i4>
      </vt:variant>
      <vt:variant>
        <vt:i4>24</vt:i4>
      </vt:variant>
      <vt:variant>
        <vt:i4>0</vt:i4>
      </vt:variant>
      <vt:variant>
        <vt:i4>5</vt:i4>
      </vt:variant>
      <vt:variant>
        <vt:lpwstr>http://www.nevo.co.il/law/70301/40jb</vt:lpwstr>
      </vt:variant>
      <vt:variant>
        <vt:lpwstr/>
      </vt:variant>
      <vt:variant>
        <vt:i4>6619233</vt:i4>
      </vt:variant>
      <vt:variant>
        <vt:i4>21</vt:i4>
      </vt:variant>
      <vt:variant>
        <vt:i4>0</vt:i4>
      </vt:variant>
      <vt:variant>
        <vt:i4>5</vt:i4>
      </vt:variant>
      <vt:variant>
        <vt:lpwstr>http://www.nevo.co.il/law/70301/40j</vt:lpwstr>
      </vt:variant>
      <vt:variant>
        <vt:lpwstr/>
      </vt:variant>
      <vt:variant>
        <vt:i4>7995492</vt:i4>
      </vt:variant>
      <vt:variant>
        <vt:i4>18</vt:i4>
      </vt:variant>
      <vt:variant>
        <vt:i4>0</vt:i4>
      </vt:variant>
      <vt:variant>
        <vt:i4>5</vt:i4>
      </vt:variant>
      <vt:variant>
        <vt:lpwstr>http://www.nevo.co.il/law/70301</vt:lpwstr>
      </vt:variant>
      <vt:variant>
        <vt:lpwstr/>
      </vt:variant>
      <vt:variant>
        <vt:i4>6881388</vt:i4>
      </vt:variant>
      <vt:variant>
        <vt:i4>15</vt:i4>
      </vt:variant>
      <vt:variant>
        <vt:i4>0</vt:i4>
      </vt:variant>
      <vt:variant>
        <vt:i4>5</vt:i4>
      </vt:variant>
      <vt:variant>
        <vt:lpwstr>http://www.nevo.co.il/law/74903/184</vt:lpwstr>
      </vt:variant>
      <vt:variant>
        <vt:lpwstr/>
      </vt:variant>
      <vt:variant>
        <vt:i4>8257646</vt:i4>
      </vt:variant>
      <vt:variant>
        <vt:i4>12</vt:i4>
      </vt:variant>
      <vt:variant>
        <vt:i4>0</vt:i4>
      </vt:variant>
      <vt:variant>
        <vt:i4>5</vt:i4>
      </vt:variant>
      <vt:variant>
        <vt:lpwstr>http://www.nevo.co.il/law/74903</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2025-04-22T22:52:00Z</dcterms:created>
  <dcterms:modified xsi:type="dcterms:W3CDTF">2025-04-22T22:52:00Z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37259</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יעקב אוחנה</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20170913</vt:lpwstr>
  </property>
  <property fmtid="{D5CDD505-2E9C-101B-9397-08002B2CF9AE}" pid="13" name="TYPE_N_DATE">
    <vt:lpwstr>38020170913</vt:lpwstr>
  </property>
  <property fmtid="{D5CDD505-2E9C-101B-9397-08002B2CF9AE}" pid="14" name="WORDNUMPAGES">
    <vt:lpwstr>11</vt:lpwstr>
  </property>
  <property fmtid="{D5CDD505-2E9C-101B-9397-08002B2CF9AE}" pid="15" name="TYPE_ABS_DATE">
    <vt:lpwstr>380020170913</vt:lpwstr>
  </property>
  <property fmtid="{D5CDD505-2E9C-101B-9397-08002B2CF9AE}" pid="16" name="ISABSTRACT">
    <vt:lpwstr>Y</vt:lpwstr>
  </property>
  <property fmtid="{D5CDD505-2E9C-101B-9397-08002B2CF9AE}" pid="17" name="CASESLISTTMP1">
    <vt:lpwstr>6241434:2;5988308;20705570:2;5681790;244246;20930804;18045843:2;4804940;8291661;13070717:2;10547951;6782092;4616682;22656269:2;7840661;17045282;5583050;21003552;20490021;11206360;20111708;21477475;22355740;22303161</vt:lpwstr>
  </property>
  <property fmtid="{D5CDD505-2E9C-101B-9397-08002B2CF9AE}" pid="18" name="LAWLISTTMP1">
    <vt:lpwstr>4216/006;010;036a.b</vt:lpwstr>
  </property>
  <property fmtid="{D5CDD505-2E9C-101B-9397-08002B2CF9AE}" pid="19" name="LAWLISTTMP2">
    <vt:lpwstr>74903/184</vt:lpwstr>
  </property>
  <property fmtid="{D5CDD505-2E9C-101B-9397-08002B2CF9AE}" pid="20" name="LAWLISTTMP3">
    <vt:lpwstr>70301/40jb;040j</vt:lpwstr>
  </property>
  <property fmtid="{D5CDD505-2E9C-101B-9397-08002B2CF9AE}" pid="21" name="LAWLISTTMP4">
    <vt:lpwstr>5227/042</vt:lpwstr>
  </property>
</Properties>
</file>