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9435A1" w:rsidRPr="00A23D70" w14:paraId="038DE139" w14:textId="77777777" w:rsidTr="00A23D70">
        <w:trPr>
          <w:trHeight w:hRule="exact" w:val="704"/>
          <w:jc w:val="center"/>
        </w:trPr>
        <w:tc>
          <w:tcPr>
            <w:tcW w:w="8721" w:type="dxa"/>
            <w:gridSpan w:val="2"/>
          </w:tcPr>
          <w:p w14:paraId="6C6F43EE" w14:textId="77777777" w:rsidR="009435A1" w:rsidRPr="00A23D70" w:rsidRDefault="009435A1" w:rsidP="00A23D70">
            <w:pPr>
              <w:pStyle w:val="a4"/>
              <w:jc w:val="center"/>
              <w:rPr>
                <w:rFonts w:ascii="Tahoma" w:hAnsi="Tahoma"/>
                <w:noProof w:val="0"/>
                <w:color w:val="000080"/>
                <w:sz w:val="32"/>
                <w:szCs w:val="32"/>
                <w:rtl/>
              </w:rPr>
            </w:pPr>
            <w:bookmarkStart w:id="0" w:name="LastJudge"/>
            <w:r w:rsidRPr="00A23D70">
              <w:rPr>
                <w:rFonts w:ascii="Tahoma" w:hAnsi="Tahoma"/>
                <w:color w:val="000080"/>
                <w:sz w:val="32"/>
                <w:szCs w:val="32"/>
                <w:rtl/>
              </w:rPr>
              <w:t>בית משפט השלום בירושלים</w:t>
            </w:r>
          </w:p>
        </w:tc>
      </w:tr>
      <w:tr w:rsidR="009435A1" w:rsidRPr="00A23D70" w14:paraId="78D7400D" w14:textId="77777777" w:rsidTr="00A23D70">
        <w:trPr>
          <w:trHeight w:val="337"/>
          <w:jc w:val="center"/>
        </w:trPr>
        <w:tc>
          <w:tcPr>
            <w:tcW w:w="5047" w:type="dxa"/>
          </w:tcPr>
          <w:p w14:paraId="75060093" w14:textId="77777777" w:rsidR="009435A1" w:rsidRPr="00A23D70" w:rsidRDefault="009435A1" w:rsidP="00A23D70">
            <w:pPr>
              <w:rPr>
                <w:b/>
                <w:bCs/>
                <w:noProof w:val="0"/>
                <w:sz w:val="26"/>
                <w:szCs w:val="26"/>
                <w:rtl/>
              </w:rPr>
            </w:pPr>
          </w:p>
        </w:tc>
        <w:tc>
          <w:tcPr>
            <w:tcW w:w="3674" w:type="dxa"/>
          </w:tcPr>
          <w:p w14:paraId="02510270" w14:textId="77777777" w:rsidR="009435A1" w:rsidRPr="00A23D70" w:rsidRDefault="009435A1" w:rsidP="00A23D70">
            <w:pPr>
              <w:pStyle w:val="a4"/>
              <w:jc w:val="right"/>
              <w:rPr>
                <w:b/>
                <w:bCs/>
                <w:noProof w:val="0"/>
                <w:sz w:val="26"/>
                <w:szCs w:val="26"/>
                <w:rtl/>
              </w:rPr>
            </w:pPr>
          </w:p>
        </w:tc>
      </w:tr>
      <w:tr w:rsidR="009435A1" w:rsidRPr="00A23D70" w14:paraId="7DBD59E0" w14:textId="77777777" w:rsidTr="00A23D70">
        <w:trPr>
          <w:trHeight w:val="337"/>
          <w:jc w:val="center"/>
        </w:trPr>
        <w:tc>
          <w:tcPr>
            <w:tcW w:w="8721" w:type="dxa"/>
            <w:gridSpan w:val="2"/>
          </w:tcPr>
          <w:p w14:paraId="74C129DC" w14:textId="77777777" w:rsidR="009435A1" w:rsidRPr="00A23D70" w:rsidRDefault="009435A1" w:rsidP="00A23D70">
            <w:pPr>
              <w:rPr>
                <w:b/>
                <w:bCs/>
                <w:noProof w:val="0"/>
                <w:sz w:val="26"/>
                <w:szCs w:val="26"/>
                <w:rtl/>
              </w:rPr>
            </w:pPr>
            <w:r w:rsidRPr="00A23D70">
              <w:rPr>
                <w:b/>
                <w:bCs/>
                <w:noProof w:val="0"/>
                <w:sz w:val="26"/>
                <w:szCs w:val="26"/>
                <w:rtl/>
              </w:rPr>
              <w:t>ת"פ 57680-10-15 מדינת ישראל נ' יזרעאלי</w:t>
            </w:r>
          </w:p>
          <w:p w14:paraId="316FC67F" w14:textId="77777777" w:rsidR="009435A1" w:rsidRPr="00A23D70" w:rsidRDefault="009435A1" w:rsidP="00A23D70">
            <w:pPr>
              <w:rPr>
                <w:b/>
                <w:bCs/>
                <w:noProof w:val="0"/>
                <w:sz w:val="2"/>
                <w:szCs w:val="2"/>
                <w:rtl/>
              </w:rPr>
            </w:pPr>
          </w:p>
          <w:p w14:paraId="281ECD6E" w14:textId="77777777" w:rsidR="009435A1" w:rsidRPr="00A23D70" w:rsidRDefault="009435A1" w:rsidP="00A23D70">
            <w:pPr>
              <w:rPr>
                <w:sz w:val="20"/>
                <w:szCs w:val="20"/>
                <w:rtl/>
              </w:rPr>
            </w:pPr>
            <w:r w:rsidRPr="00A23D70">
              <w:rPr>
                <w:rFonts w:hint="cs"/>
                <w:rtl/>
              </w:rPr>
              <w:t xml:space="preserve">                           </w:t>
            </w:r>
            <w:r w:rsidRPr="00A23D70">
              <w:rPr>
                <w:rFonts w:hint="cs"/>
                <w:sz w:val="20"/>
                <w:szCs w:val="20"/>
                <w:rtl/>
              </w:rPr>
              <w:t xml:space="preserve">                                       </w:t>
            </w:r>
          </w:p>
          <w:p w14:paraId="40BBBFE4" w14:textId="77777777" w:rsidR="009435A1" w:rsidRPr="00A23D70" w:rsidRDefault="009435A1" w:rsidP="00A23D70">
            <w:pPr>
              <w:rPr>
                <w:sz w:val="20"/>
                <w:szCs w:val="20"/>
                <w:rtl/>
              </w:rPr>
            </w:pPr>
            <w:r w:rsidRPr="00A23D70">
              <w:rPr>
                <w:rFonts w:hint="cs"/>
                <w:sz w:val="20"/>
                <w:szCs w:val="20"/>
                <w:rtl/>
              </w:rPr>
              <w:t xml:space="preserve">תיק חיצוני: </w:t>
            </w:r>
            <w:r w:rsidRPr="00A23D70">
              <w:rPr>
                <w:rFonts w:hint="eastAsia"/>
                <w:sz w:val="20"/>
                <w:szCs w:val="20"/>
              </w:rPr>
              <w:t>457478/2015</w:t>
            </w:r>
            <w:r w:rsidRPr="00A23D70">
              <w:rPr>
                <w:rFonts w:hint="cs"/>
                <w:sz w:val="20"/>
                <w:szCs w:val="20"/>
                <w:rtl/>
              </w:rPr>
              <w:t xml:space="preserve"> </w:t>
            </w:r>
            <w:r w:rsidRPr="00A23D70">
              <w:rPr>
                <w:sz w:val="20"/>
                <w:szCs w:val="20"/>
                <w:rtl/>
              </w:rPr>
              <w:t xml:space="preserve">  </w:t>
            </w:r>
          </w:p>
        </w:tc>
      </w:tr>
    </w:tbl>
    <w:p w14:paraId="642DF496" w14:textId="77777777" w:rsidR="009435A1" w:rsidRPr="00A23D70" w:rsidRDefault="009435A1" w:rsidP="009435A1">
      <w:pPr>
        <w:pStyle w:val="a4"/>
        <w:rPr>
          <w:noProof w:val="0"/>
          <w:rtl/>
        </w:rPr>
      </w:pPr>
      <w:r w:rsidRPr="00A23D70">
        <w:rPr>
          <w:noProof w:val="0"/>
          <w:rtl/>
        </w:rPr>
        <w:t xml:space="preserve"> </w:t>
      </w:r>
    </w:p>
    <w:p w14:paraId="520D1567" w14:textId="77777777" w:rsidR="009435A1" w:rsidRPr="00A23D70" w:rsidRDefault="009435A1" w:rsidP="009435A1">
      <w:pPr>
        <w:suppressLineNumbers/>
        <w:rPr>
          <w:rtl/>
        </w:rPr>
      </w:pPr>
      <w:r w:rsidRPr="00A23D70">
        <w:rPr>
          <w:rtl/>
        </w:rPr>
        <w:t xml:space="preserve"> </w:t>
      </w:r>
    </w:p>
    <w:tbl>
      <w:tblPr>
        <w:bidiVisual/>
        <w:tblW w:w="8820" w:type="dxa"/>
        <w:jc w:val="center"/>
        <w:tblLook w:val="01E0" w:firstRow="1" w:lastRow="1" w:firstColumn="1" w:lastColumn="1" w:noHBand="0" w:noVBand="0"/>
      </w:tblPr>
      <w:tblGrid>
        <w:gridCol w:w="743"/>
        <w:gridCol w:w="2506"/>
        <w:gridCol w:w="5571"/>
      </w:tblGrid>
      <w:tr w:rsidR="009435A1" w:rsidRPr="00A23D70" w14:paraId="0DBBAA44" w14:textId="77777777" w:rsidTr="00A23D70">
        <w:trPr>
          <w:jc w:val="center"/>
        </w:trPr>
        <w:tc>
          <w:tcPr>
            <w:tcW w:w="743" w:type="dxa"/>
            <w:shd w:val="clear" w:color="auto" w:fill="auto"/>
          </w:tcPr>
          <w:p w14:paraId="5AFAF45F" w14:textId="77777777" w:rsidR="009435A1" w:rsidRPr="00A23D70" w:rsidRDefault="009435A1" w:rsidP="00A23D70">
            <w:pPr>
              <w:suppressLineNumbers/>
              <w:jc w:val="both"/>
              <w:rPr>
                <w:rFonts w:ascii="Arial" w:hAnsi="Arial"/>
                <w:b/>
                <w:bCs/>
                <w:rtl/>
              </w:rPr>
            </w:pPr>
            <w:r w:rsidRPr="00A23D70">
              <w:rPr>
                <w:rFonts w:ascii="Arial" w:hAnsi="Arial" w:hint="cs"/>
                <w:b/>
                <w:bCs/>
                <w:rtl/>
              </w:rPr>
              <w:t>ב</w:t>
            </w:r>
            <w:r w:rsidRPr="00A23D70">
              <w:rPr>
                <w:rFonts w:ascii="Arial" w:hAnsi="Arial"/>
                <w:b/>
                <w:bCs/>
                <w:rtl/>
              </w:rPr>
              <w:t xml:space="preserve">פני </w:t>
            </w:r>
          </w:p>
        </w:tc>
        <w:tc>
          <w:tcPr>
            <w:tcW w:w="8077" w:type="dxa"/>
            <w:gridSpan w:val="2"/>
            <w:shd w:val="clear" w:color="auto" w:fill="auto"/>
          </w:tcPr>
          <w:p w14:paraId="687DC630" w14:textId="77777777" w:rsidR="009435A1" w:rsidRPr="00A23D70" w:rsidRDefault="009435A1" w:rsidP="00A23D70">
            <w:pPr>
              <w:suppressLineNumbers/>
              <w:rPr>
                <w:rFonts w:ascii="Arial" w:hAnsi="Arial"/>
                <w:b/>
                <w:bCs/>
                <w:rtl/>
              </w:rPr>
            </w:pPr>
            <w:r w:rsidRPr="00A23D70">
              <w:rPr>
                <w:rFonts w:ascii="Arial" w:hAnsi="Arial" w:hint="cs"/>
                <w:b/>
                <w:bCs/>
                <w:rtl/>
              </w:rPr>
              <w:t>כבוד ה</w:t>
            </w:r>
            <w:r w:rsidRPr="00A23D70">
              <w:rPr>
                <w:rFonts w:hint="cs"/>
                <w:rtl/>
              </w:rPr>
              <w:t>שופט</w:t>
            </w:r>
            <w:r w:rsidRPr="00A23D70">
              <w:rPr>
                <w:rFonts w:ascii="Arial" w:hAnsi="Arial" w:hint="cs"/>
                <w:b/>
                <w:bCs/>
                <w:rtl/>
              </w:rPr>
              <w:t xml:space="preserve">  </w:t>
            </w:r>
            <w:r w:rsidRPr="00A23D70">
              <w:rPr>
                <w:rFonts w:hint="cs"/>
                <w:rtl/>
              </w:rPr>
              <w:t>איתן קורנהאוזר</w:t>
            </w:r>
          </w:p>
          <w:p w14:paraId="3C290BEF" w14:textId="77777777" w:rsidR="009435A1" w:rsidRPr="00A23D70" w:rsidRDefault="009435A1" w:rsidP="00A23D70">
            <w:pPr>
              <w:suppressLineNumbers/>
              <w:rPr>
                <w:rFonts w:ascii="Arial" w:hAnsi="Arial" w:cs="FrankRuehl"/>
                <w:sz w:val="28"/>
                <w:szCs w:val="28"/>
                <w:highlight w:val="yellow"/>
              </w:rPr>
            </w:pPr>
          </w:p>
        </w:tc>
      </w:tr>
      <w:tr w:rsidR="009435A1" w:rsidRPr="00A23D70" w14:paraId="11B56088" w14:textId="77777777" w:rsidTr="00A23D70">
        <w:trPr>
          <w:jc w:val="center"/>
        </w:trPr>
        <w:tc>
          <w:tcPr>
            <w:tcW w:w="3249" w:type="dxa"/>
            <w:gridSpan w:val="2"/>
            <w:shd w:val="clear" w:color="auto" w:fill="auto"/>
          </w:tcPr>
          <w:p w14:paraId="737FAF64" w14:textId="77777777" w:rsidR="009435A1" w:rsidRPr="00A23D70" w:rsidRDefault="009435A1" w:rsidP="00A23D70">
            <w:pPr>
              <w:suppressLineNumbers/>
              <w:rPr>
                <w:rFonts w:ascii="Arial" w:hAnsi="Arial"/>
                <w:b/>
                <w:bCs/>
                <w:noProof w:val="0"/>
                <w:sz w:val="26"/>
                <w:szCs w:val="26"/>
              </w:rPr>
            </w:pPr>
            <w:bookmarkStart w:id="1" w:name="FirstAppellant"/>
          </w:p>
          <w:p w14:paraId="0478947B" w14:textId="77777777" w:rsidR="009435A1" w:rsidRPr="00A23D70" w:rsidRDefault="009435A1" w:rsidP="00A23D70">
            <w:pPr>
              <w:suppressLineNumbers/>
              <w:rPr>
                <w:rFonts w:ascii="Arial" w:hAnsi="Arial"/>
                <w:b/>
                <w:bCs/>
                <w:noProof w:val="0"/>
                <w:sz w:val="26"/>
                <w:szCs w:val="26"/>
                <w:rtl/>
              </w:rPr>
            </w:pPr>
            <w:r w:rsidRPr="00A23D70">
              <w:rPr>
                <w:rFonts w:hint="cs"/>
                <w:rtl/>
              </w:rPr>
              <w:t>מאשימה</w:t>
            </w:r>
          </w:p>
        </w:tc>
        <w:tc>
          <w:tcPr>
            <w:tcW w:w="5571" w:type="dxa"/>
            <w:shd w:val="clear" w:color="auto" w:fill="auto"/>
          </w:tcPr>
          <w:p w14:paraId="20E4DD9F" w14:textId="77777777" w:rsidR="009435A1" w:rsidRPr="00A23D70" w:rsidRDefault="009435A1" w:rsidP="00A23D70">
            <w:pPr>
              <w:suppressLineNumbers/>
              <w:rPr>
                <w:rFonts w:ascii="Arial" w:hAnsi="Arial"/>
                <w:b/>
                <w:bCs/>
                <w:noProof w:val="0"/>
                <w:sz w:val="26"/>
                <w:szCs w:val="26"/>
                <w:rtl/>
              </w:rPr>
            </w:pPr>
          </w:p>
          <w:p w14:paraId="0716D350" w14:textId="77777777" w:rsidR="009435A1" w:rsidRPr="00A23D70" w:rsidRDefault="009435A1" w:rsidP="00A23D70">
            <w:pPr>
              <w:suppressLineNumbers/>
              <w:rPr>
                <w:b/>
                <w:bCs/>
                <w:noProof w:val="0"/>
                <w:sz w:val="26"/>
                <w:szCs w:val="26"/>
              </w:rPr>
            </w:pPr>
            <w:r w:rsidRPr="00A23D70">
              <w:rPr>
                <w:rFonts w:hint="cs"/>
                <w:rtl/>
              </w:rPr>
              <w:t>מדינת ישראל</w:t>
            </w:r>
          </w:p>
        </w:tc>
      </w:tr>
      <w:bookmarkEnd w:id="1"/>
      <w:tr w:rsidR="009435A1" w:rsidRPr="00A23D70" w14:paraId="4D412083" w14:textId="77777777" w:rsidTr="00A23D70">
        <w:trPr>
          <w:jc w:val="center"/>
        </w:trPr>
        <w:tc>
          <w:tcPr>
            <w:tcW w:w="8820" w:type="dxa"/>
            <w:gridSpan w:val="3"/>
            <w:shd w:val="clear" w:color="auto" w:fill="auto"/>
          </w:tcPr>
          <w:p w14:paraId="76450B48" w14:textId="77777777" w:rsidR="009435A1" w:rsidRPr="00A23D70" w:rsidRDefault="009435A1" w:rsidP="00A23D70">
            <w:pPr>
              <w:suppressLineNumbers/>
              <w:rPr>
                <w:rFonts w:ascii="Arial" w:hAnsi="Arial"/>
                <w:b/>
                <w:bCs/>
                <w:noProof w:val="0"/>
                <w:sz w:val="26"/>
                <w:szCs w:val="26"/>
                <w:rtl/>
              </w:rPr>
            </w:pPr>
          </w:p>
          <w:p w14:paraId="51CECD1B" w14:textId="77777777" w:rsidR="009435A1" w:rsidRPr="00A23D70" w:rsidRDefault="009435A1" w:rsidP="00A23D70">
            <w:pPr>
              <w:suppressLineNumbers/>
              <w:jc w:val="center"/>
              <w:rPr>
                <w:rFonts w:ascii="Arial" w:hAnsi="Arial"/>
                <w:b/>
                <w:bCs/>
                <w:noProof w:val="0"/>
                <w:sz w:val="26"/>
                <w:szCs w:val="26"/>
                <w:rtl/>
              </w:rPr>
            </w:pPr>
            <w:r w:rsidRPr="00A23D70">
              <w:rPr>
                <w:rFonts w:ascii="Arial" w:hAnsi="Arial"/>
                <w:b/>
                <w:bCs/>
                <w:noProof w:val="0"/>
                <w:sz w:val="26"/>
                <w:szCs w:val="26"/>
                <w:rtl/>
              </w:rPr>
              <w:t>נגד</w:t>
            </w:r>
          </w:p>
          <w:p w14:paraId="059F59B5" w14:textId="77777777" w:rsidR="009435A1" w:rsidRPr="00A23D70" w:rsidRDefault="009435A1" w:rsidP="00A23D70">
            <w:pPr>
              <w:suppressLineNumbers/>
              <w:rPr>
                <w:rFonts w:ascii="Arial" w:hAnsi="Arial"/>
                <w:b/>
                <w:bCs/>
                <w:noProof w:val="0"/>
                <w:sz w:val="26"/>
                <w:szCs w:val="26"/>
              </w:rPr>
            </w:pPr>
          </w:p>
        </w:tc>
      </w:tr>
      <w:tr w:rsidR="009435A1" w:rsidRPr="00A23D70" w14:paraId="6E2E9C43" w14:textId="77777777" w:rsidTr="00A23D70">
        <w:trPr>
          <w:jc w:val="center"/>
        </w:trPr>
        <w:tc>
          <w:tcPr>
            <w:tcW w:w="3249" w:type="dxa"/>
            <w:gridSpan w:val="2"/>
            <w:shd w:val="clear" w:color="auto" w:fill="auto"/>
          </w:tcPr>
          <w:p w14:paraId="56891E6D" w14:textId="77777777" w:rsidR="009435A1" w:rsidRPr="00A23D70" w:rsidRDefault="009435A1" w:rsidP="00A23D70">
            <w:pPr>
              <w:suppressLineNumbers/>
              <w:rPr>
                <w:rFonts w:ascii="Arial" w:hAnsi="Arial"/>
                <w:b/>
                <w:bCs/>
                <w:noProof w:val="0"/>
                <w:sz w:val="26"/>
                <w:szCs w:val="26"/>
                <w:rtl/>
              </w:rPr>
            </w:pPr>
          </w:p>
          <w:p w14:paraId="65611775" w14:textId="77777777" w:rsidR="009435A1" w:rsidRPr="00A23D70" w:rsidRDefault="009435A1" w:rsidP="00A23D70">
            <w:pPr>
              <w:suppressLineNumbers/>
              <w:rPr>
                <w:rFonts w:ascii="Arial" w:hAnsi="Arial"/>
                <w:b/>
                <w:bCs/>
                <w:noProof w:val="0"/>
                <w:sz w:val="26"/>
                <w:szCs w:val="26"/>
              </w:rPr>
            </w:pPr>
            <w:r w:rsidRPr="00A23D70">
              <w:rPr>
                <w:rFonts w:hint="cs"/>
                <w:rtl/>
              </w:rPr>
              <w:t>נאשמים</w:t>
            </w:r>
          </w:p>
        </w:tc>
        <w:tc>
          <w:tcPr>
            <w:tcW w:w="5571" w:type="dxa"/>
            <w:shd w:val="clear" w:color="auto" w:fill="auto"/>
          </w:tcPr>
          <w:p w14:paraId="58CDD7DE" w14:textId="77777777" w:rsidR="009435A1" w:rsidRPr="00A23D70" w:rsidRDefault="009435A1" w:rsidP="00A23D70">
            <w:pPr>
              <w:suppressLineNumbers/>
              <w:rPr>
                <w:rFonts w:ascii="Arial" w:hAnsi="Arial"/>
                <w:b/>
                <w:bCs/>
                <w:noProof w:val="0"/>
                <w:sz w:val="26"/>
                <w:szCs w:val="26"/>
                <w:rtl/>
              </w:rPr>
            </w:pPr>
          </w:p>
          <w:p w14:paraId="6BDF3CDB" w14:textId="77777777" w:rsidR="009435A1" w:rsidRPr="00A23D70" w:rsidRDefault="009435A1" w:rsidP="00A23D70">
            <w:pPr>
              <w:suppressLineNumbers/>
              <w:rPr>
                <w:b/>
                <w:bCs/>
                <w:noProof w:val="0"/>
                <w:sz w:val="26"/>
                <w:szCs w:val="26"/>
                <w:rtl/>
              </w:rPr>
            </w:pPr>
            <w:r w:rsidRPr="00A23D70">
              <w:rPr>
                <w:rFonts w:hint="cs"/>
                <w:rtl/>
              </w:rPr>
              <w:t>הוד יזרעאלי</w:t>
            </w:r>
          </w:p>
        </w:tc>
      </w:tr>
      <w:tr w:rsidR="009435A1" w:rsidRPr="00A23D70" w14:paraId="28E6FC1D" w14:textId="77777777" w:rsidTr="00A23D70">
        <w:trPr>
          <w:jc w:val="center"/>
        </w:trPr>
        <w:tc>
          <w:tcPr>
            <w:tcW w:w="8820" w:type="dxa"/>
            <w:gridSpan w:val="3"/>
            <w:shd w:val="clear" w:color="auto" w:fill="auto"/>
          </w:tcPr>
          <w:p w14:paraId="0D2D962D" w14:textId="77777777" w:rsidR="009435A1" w:rsidRPr="00A23D70" w:rsidRDefault="009435A1" w:rsidP="00A23D70">
            <w:pPr>
              <w:suppressLineNumbers/>
              <w:rPr>
                <w:rFonts w:ascii="Arial" w:hAnsi="Arial"/>
                <w:b/>
                <w:bCs/>
                <w:noProof w:val="0"/>
                <w:sz w:val="26"/>
                <w:szCs w:val="26"/>
                <w:rtl/>
              </w:rPr>
            </w:pPr>
          </w:p>
        </w:tc>
      </w:tr>
    </w:tbl>
    <w:p w14:paraId="4062AE1D" w14:textId="77777777" w:rsidR="00A97D64" w:rsidRDefault="00A97D64" w:rsidP="009435A1">
      <w:pPr>
        <w:suppressLineNumbers/>
        <w:rPr>
          <w:rtl/>
        </w:rPr>
      </w:pPr>
      <w:bookmarkStart w:id="2" w:name="LawTable"/>
      <w:bookmarkEnd w:id="2"/>
    </w:p>
    <w:p w14:paraId="24BE769D" w14:textId="77777777" w:rsidR="00A97D64" w:rsidRPr="00A97D64" w:rsidRDefault="00A97D64" w:rsidP="00A97D64">
      <w:pPr>
        <w:suppressLineNumbers/>
        <w:spacing w:after="120" w:line="240" w:lineRule="exact"/>
        <w:ind w:left="283" w:hanging="283"/>
        <w:jc w:val="both"/>
        <w:rPr>
          <w:rFonts w:ascii="FrankRuehl" w:hAnsi="FrankRuehl" w:cs="FrankRuehl"/>
          <w:rtl/>
        </w:rPr>
      </w:pPr>
    </w:p>
    <w:p w14:paraId="39D923FA" w14:textId="77777777" w:rsidR="00A97D64" w:rsidRPr="00A97D64" w:rsidRDefault="00A97D64" w:rsidP="00A97D64">
      <w:pPr>
        <w:suppressLineNumbers/>
        <w:spacing w:after="120" w:line="240" w:lineRule="exact"/>
        <w:ind w:left="283" w:hanging="283"/>
        <w:jc w:val="both"/>
        <w:rPr>
          <w:rFonts w:ascii="FrankRuehl" w:hAnsi="FrankRuehl" w:cs="FrankRuehl"/>
          <w:rtl/>
        </w:rPr>
      </w:pPr>
      <w:r w:rsidRPr="00A97D64">
        <w:rPr>
          <w:rFonts w:ascii="FrankRuehl" w:hAnsi="FrankRuehl" w:cs="FrankRuehl"/>
          <w:rtl/>
        </w:rPr>
        <w:t xml:space="preserve">חקיקה שאוזכרה: </w:t>
      </w:r>
    </w:p>
    <w:p w14:paraId="5A45F779" w14:textId="77777777" w:rsidR="00A97D64" w:rsidRPr="00A97D64" w:rsidRDefault="00A97D64" w:rsidP="00A97D64">
      <w:pPr>
        <w:suppressLineNumbers/>
        <w:spacing w:after="120" w:line="240" w:lineRule="exact"/>
        <w:ind w:left="283" w:hanging="283"/>
        <w:jc w:val="both"/>
        <w:rPr>
          <w:rFonts w:ascii="FrankRuehl" w:hAnsi="FrankRuehl" w:cs="FrankRuehl"/>
          <w:rtl/>
        </w:rPr>
      </w:pPr>
      <w:hyperlink r:id="rId6" w:history="1">
        <w:r w:rsidRPr="00A97D64">
          <w:rPr>
            <w:rFonts w:ascii="FrankRuehl" w:hAnsi="FrankRuehl" w:cs="FrankRuehl"/>
            <w:color w:val="0000FF"/>
            <w:u w:val="single"/>
            <w:rtl/>
          </w:rPr>
          <w:t>פקודת הסמים המסוכנים [נוסח חדש], תשל"ג-1973</w:t>
        </w:r>
      </w:hyperlink>
      <w:r w:rsidRPr="00A97D64">
        <w:rPr>
          <w:rFonts w:ascii="FrankRuehl" w:hAnsi="FrankRuehl" w:cs="FrankRuehl"/>
          <w:rtl/>
        </w:rPr>
        <w:t xml:space="preserve">: סע'  </w:t>
      </w:r>
      <w:hyperlink r:id="rId7" w:history="1">
        <w:r w:rsidRPr="00A97D64">
          <w:rPr>
            <w:rFonts w:ascii="FrankRuehl" w:hAnsi="FrankRuehl" w:cs="FrankRuehl"/>
            <w:color w:val="0000FF"/>
            <w:u w:val="single"/>
            <w:rtl/>
          </w:rPr>
          <w:t>6</w:t>
        </w:r>
      </w:hyperlink>
      <w:r w:rsidRPr="00A97D64">
        <w:rPr>
          <w:rFonts w:ascii="FrankRuehl" w:hAnsi="FrankRuehl" w:cs="FrankRuehl"/>
          <w:rtl/>
        </w:rPr>
        <w:t xml:space="preserve">, </w:t>
      </w:r>
      <w:hyperlink r:id="rId8" w:history="1">
        <w:r w:rsidRPr="00A97D64">
          <w:rPr>
            <w:rFonts w:ascii="FrankRuehl" w:hAnsi="FrankRuehl" w:cs="FrankRuehl"/>
            <w:color w:val="0000FF"/>
            <w:u w:val="single"/>
            <w:rtl/>
          </w:rPr>
          <w:t>7(א)(ג)</w:t>
        </w:r>
      </w:hyperlink>
      <w:r w:rsidRPr="00A97D64">
        <w:rPr>
          <w:rFonts w:ascii="FrankRuehl" w:hAnsi="FrankRuehl" w:cs="FrankRuehl"/>
          <w:rtl/>
        </w:rPr>
        <w:t xml:space="preserve">, </w:t>
      </w:r>
      <w:hyperlink r:id="rId9" w:history="1">
        <w:r w:rsidRPr="00A97D64">
          <w:rPr>
            <w:rFonts w:ascii="FrankRuehl" w:hAnsi="FrankRuehl" w:cs="FrankRuehl"/>
            <w:color w:val="0000FF"/>
            <w:u w:val="single"/>
            <w:rtl/>
          </w:rPr>
          <w:t>10</w:t>
        </w:r>
      </w:hyperlink>
    </w:p>
    <w:p w14:paraId="4933CC00" w14:textId="77777777" w:rsidR="00A97D64" w:rsidRPr="00A97D64" w:rsidRDefault="00A97D64" w:rsidP="00A97D64">
      <w:pPr>
        <w:suppressLineNumbers/>
        <w:spacing w:after="120" w:line="240" w:lineRule="exact"/>
        <w:ind w:left="283" w:hanging="283"/>
        <w:jc w:val="both"/>
        <w:rPr>
          <w:rFonts w:ascii="FrankRuehl" w:hAnsi="FrankRuehl" w:cs="FrankRuehl"/>
          <w:rtl/>
        </w:rPr>
      </w:pPr>
      <w:hyperlink r:id="rId10" w:history="1">
        <w:r w:rsidRPr="00A97D64">
          <w:rPr>
            <w:rFonts w:ascii="FrankRuehl" w:hAnsi="FrankRuehl" w:cs="FrankRuehl"/>
            <w:color w:val="0000FF"/>
            <w:u w:val="single"/>
            <w:rtl/>
          </w:rPr>
          <w:t>חוק העונשין, תשל"ז-1977</w:t>
        </w:r>
      </w:hyperlink>
      <w:r w:rsidRPr="00A97D64">
        <w:rPr>
          <w:rFonts w:ascii="FrankRuehl" w:hAnsi="FrankRuehl" w:cs="FrankRuehl"/>
          <w:rtl/>
        </w:rPr>
        <w:t xml:space="preserve">: סע'  </w:t>
      </w:r>
      <w:hyperlink r:id="rId11" w:history="1">
        <w:r w:rsidRPr="00A97D64">
          <w:rPr>
            <w:rFonts w:ascii="FrankRuehl" w:hAnsi="FrankRuehl" w:cs="FrankRuehl"/>
            <w:color w:val="0000FF"/>
            <w:u w:val="single"/>
            <w:rtl/>
          </w:rPr>
          <w:t>186(א)</w:t>
        </w:r>
      </w:hyperlink>
    </w:p>
    <w:p w14:paraId="6325FD2E" w14:textId="77777777" w:rsidR="00A97D64" w:rsidRPr="00A97D64" w:rsidRDefault="00A97D64" w:rsidP="00A97D64">
      <w:pPr>
        <w:suppressLineNumbers/>
        <w:spacing w:after="120" w:line="240" w:lineRule="exact"/>
        <w:ind w:left="283" w:hanging="283"/>
        <w:jc w:val="both"/>
        <w:rPr>
          <w:rFonts w:ascii="FrankRuehl" w:hAnsi="FrankRuehl" w:cs="FrankRuehl"/>
          <w:rtl/>
        </w:rPr>
      </w:pPr>
    </w:p>
    <w:p w14:paraId="436EBE1A" w14:textId="77777777" w:rsidR="00A97D64" w:rsidRPr="00A97D64" w:rsidRDefault="00A97D64" w:rsidP="009435A1">
      <w:pPr>
        <w:suppressLineNumbers/>
        <w:rPr>
          <w:rtl/>
        </w:rPr>
      </w:pPr>
      <w:bookmarkStart w:id="3" w:name="LawTable_End"/>
      <w:bookmarkEnd w:id="3"/>
    </w:p>
    <w:p w14:paraId="0A7FD6F9" w14:textId="77777777" w:rsidR="00A97D64" w:rsidRPr="00A97D64" w:rsidRDefault="00A97D64" w:rsidP="009435A1">
      <w:pPr>
        <w:suppressLineNumbers/>
        <w:rPr>
          <w:rtl/>
        </w:rPr>
      </w:pPr>
    </w:p>
    <w:p w14:paraId="6566B4AB" w14:textId="77777777" w:rsidR="009435A1" w:rsidRPr="00A97D64" w:rsidRDefault="009435A1" w:rsidP="009435A1">
      <w:pPr>
        <w:suppressLineNumbers/>
        <w:rPr>
          <w:rtl/>
        </w:rPr>
      </w:pPr>
    </w:p>
    <w:tbl>
      <w:tblPr>
        <w:bidiVisual/>
        <w:tblW w:w="8820" w:type="dxa"/>
        <w:jc w:val="center"/>
        <w:tblLook w:val="01E0" w:firstRow="1" w:lastRow="1" w:firstColumn="1" w:lastColumn="1" w:noHBand="0" w:noVBand="0"/>
      </w:tblPr>
      <w:tblGrid>
        <w:gridCol w:w="8820"/>
      </w:tblGrid>
      <w:tr w:rsidR="009435A1" w:rsidRPr="00DE1E7D" w14:paraId="3163D123" w14:textId="77777777" w:rsidTr="00A23D70">
        <w:trPr>
          <w:jc w:val="center"/>
        </w:trPr>
        <w:tc>
          <w:tcPr>
            <w:tcW w:w="8820" w:type="dxa"/>
            <w:shd w:val="clear" w:color="auto" w:fill="auto"/>
          </w:tcPr>
          <w:p w14:paraId="302DF663" w14:textId="77777777" w:rsidR="006A5308" w:rsidRPr="006A5308" w:rsidRDefault="006A5308" w:rsidP="006A5308">
            <w:pPr>
              <w:spacing w:after="120" w:line="240" w:lineRule="exact"/>
              <w:ind w:left="283" w:hanging="283"/>
              <w:jc w:val="both"/>
              <w:rPr>
                <w:rFonts w:ascii="FrankRuehl" w:hAnsi="FrankRuehl" w:cs="FrankRuehl"/>
                <w:noProof w:val="0"/>
              </w:rPr>
            </w:pPr>
            <w:bookmarkStart w:id="4" w:name="PsakDin"/>
            <w:r w:rsidRPr="006A5308">
              <w:rPr>
                <w:rFonts w:ascii="FrankRuehl" w:hAnsi="FrankRuehl" w:cs="FrankRuehl"/>
                <w:noProof w:val="0"/>
                <w:rtl/>
              </w:rPr>
              <w:t>חקיקה שאוזכרה</w:t>
            </w:r>
            <w:r w:rsidRPr="006A5308">
              <w:rPr>
                <w:rFonts w:ascii="FrankRuehl" w:hAnsi="FrankRuehl" w:cs="FrankRuehl"/>
                <w:noProof w:val="0"/>
              </w:rPr>
              <w:t xml:space="preserve">: </w:t>
            </w:r>
          </w:p>
          <w:p w14:paraId="6E520DE0" w14:textId="77777777" w:rsidR="006A5308" w:rsidRPr="006A5308" w:rsidRDefault="006A5308" w:rsidP="006A5308">
            <w:pPr>
              <w:spacing w:after="120" w:line="240" w:lineRule="exact"/>
              <w:ind w:left="283" w:hanging="283"/>
              <w:jc w:val="both"/>
              <w:rPr>
                <w:rFonts w:ascii="FrankRuehl" w:hAnsi="FrankRuehl" w:cs="FrankRuehl"/>
                <w:noProof w:val="0"/>
              </w:rPr>
            </w:pPr>
            <w:hyperlink r:id="rId12" w:history="1">
              <w:r w:rsidRPr="006A5308">
                <w:rPr>
                  <w:rFonts w:ascii="FrankRuehl" w:hAnsi="FrankRuehl" w:cs="FrankRuehl"/>
                  <w:noProof w:val="0"/>
                  <w:color w:val="0000FF"/>
                  <w:u w:val="single"/>
                  <w:rtl/>
                </w:rPr>
                <w:t>פקודת הסמים המסוכנים [נוסח חדש], תשל"ג-1973</w:t>
              </w:r>
            </w:hyperlink>
            <w:r w:rsidRPr="006A5308">
              <w:rPr>
                <w:rFonts w:ascii="FrankRuehl" w:hAnsi="FrankRuehl" w:cs="FrankRuehl"/>
                <w:noProof w:val="0"/>
              </w:rPr>
              <w:t xml:space="preserve">: </w:t>
            </w:r>
            <w:r w:rsidRPr="006A5308">
              <w:rPr>
                <w:rFonts w:ascii="FrankRuehl" w:hAnsi="FrankRuehl" w:cs="FrankRuehl"/>
                <w:noProof w:val="0"/>
                <w:rtl/>
              </w:rPr>
              <w:t>סע</w:t>
            </w:r>
            <w:r w:rsidRPr="006A5308">
              <w:rPr>
                <w:rFonts w:ascii="FrankRuehl" w:hAnsi="FrankRuehl" w:cs="FrankRuehl"/>
                <w:noProof w:val="0"/>
              </w:rPr>
              <w:t xml:space="preserve">'  </w:t>
            </w:r>
            <w:hyperlink r:id="rId13" w:history="1">
              <w:r w:rsidRPr="006A5308">
                <w:rPr>
                  <w:rFonts w:ascii="FrankRuehl" w:hAnsi="FrankRuehl" w:cs="FrankRuehl"/>
                  <w:noProof w:val="0"/>
                  <w:color w:val="0000FF"/>
                  <w:u w:val="single"/>
                </w:rPr>
                <w:t>6</w:t>
              </w:r>
            </w:hyperlink>
            <w:r w:rsidRPr="006A5308">
              <w:rPr>
                <w:rFonts w:ascii="FrankRuehl" w:hAnsi="FrankRuehl" w:cs="FrankRuehl"/>
                <w:noProof w:val="0"/>
              </w:rPr>
              <w:t xml:space="preserve">, </w:t>
            </w:r>
            <w:hyperlink r:id="rId14" w:history="1">
              <w:r w:rsidRPr="006A5308">
                <w:rPr>
                  <w:rFonts w:ascii="FrankRuehl" w:hAnsi="FrankRuehl" w:cs="FrankRuehl"/>
                  <w:noProof w:val="0"/>
                  <w:color w:val="0000FF"/>
                  <w:u w:val="single"/>
                </w:rPr>
                <w:t>7(</w:t>
              </w:r>
              <w:r w:rsidRPr="006A5308">
                <w:rPr>
                  <w:rFonts w:ascii="FrankRuehl" w:hAnsi="FrankRuehl" w:cs="FrankRuehl"/>
                  <w:noProof w:val="0"/>
                  <w:color w:val="0000FF"/>
                  <w:u w:val="single"/>
                  <w:rtl/>
                </w:rPr>
                <w:t>א)(ג</w:t>
              </w:r>
              <w:r w:rsidRPr="006A5308">
                <w:rPr>
                  <w:rFonts w:ascii="FrankRuehl" w:hAnsi="FrankRuehl" w:cs="FrankRuehl"/>
                  <w:noProof w:val="0"/>
                  <w:color w:val="0000FF"/>
                  <w:u w:val="single"/>
                </w:rPr>
                <w:t>)</w:t>
              </w:r>
            </w:hyperlink>
            <w:r w:rsidRPr="006A5308">
              <w:rPr>
                <w:rFonts w:ascii="FrankRuehl" w:hAnsi="FrankRuehl" w:cs="FrankRuehl"/>
                <w:noProof w:val="0"/>
              </w:rPr>
              <w:t xml:space="preserve">, </w:t>
            </w:r>
            <w:hyperlink r:id="rId15" w:history="1">
              <w:r w:rsidRPr="006A5308">
                <w:rPr>
                  <w:rFonts w:ascii="FrankRuehl" w:hAnsi="FrankRuehl" w:cs="FrankRuehl"/>
                  <w:noProof w:val="0"/>
                  <w:color w:val="0000FF"/>
                  <w:u w:val="single"/>
                </w:rPr>
                <w:t>10</w:t>
              </w:r>
            </w:hyperlink>
          </w:p>
          <w:p w14:paraId="5CEB4961" w14:textId="77777777" w:rsidR="006A5308" w:rsidRPr="006A5308" w:rsidRDefault="006A5308" w:rsidP="006A5308">
            <w:pPr>
              <w:spacing w:after="120" w:line="240" w:lineRule="exact"/>
              <w:ind w:left="283" w:hanging="283"/>
              <w:jc w:val="both"/>
              <w:rPr>
                <w:rFonts w:ascii="FrankRuehl" w:hAnsi="FrankRuehl" w:cs="FrankRuehl"/>
                <w:noProof w:val="0"/>
              </w:rPr>
            </w:pPr>
            <w:hyperlink r:id="rId16" w:history="1">
              <w:r w:rsidRPr="006A5308">
                <w:rPr>
                  <w:rFonts w:ascii="FrankRuehl" w:hAnsi="FrankRuehl" w:cs="FrankRuehl"/>
                  <w:noProof w:val="0"/>
                  <w:color w:val="0000FF"/>
                  <w:u w:val="single"/>
                  <w:rtl/>
                </w:rPr>
                <w:t>חוק העונשין, תשל"ז-1977</w:t>
              </w:r>
            </w:hyperlink>
            <w:r w:rsidRPr="006A5308">
              <w:rPr>
                <w:rFonts w:ascii="FrankRuehl" w:hAnsi="FrankRuehl" w:cs="FrankRuehl"/>
                <w:noProof w:val="0"/>
              </w:rPr>
              <w:t xml:space="preserve">: </w:t>
            </w:r>
            <w:r w:rsidRPr="006A5308">
              <w:rPr>
                <w:rFonts w:ascii="FrankRuehl" w:hAnsi="FrankRuehl" w:cs="FrankRuehl"/>
                <w:noProof w:val="0"/>
                <w:rtl/>
              </w:rPr>
              <w:t>סע</w:t>
            </w:r>
            <w:r w:rsidRPr="006A5308">
              <w:rPr>
                <w:rFonts w:ascii="FrankRuehl" w:hAnsi="FrankRuehl" w:cs="FrankRuehl"/>
                <w:noProof w:val="0"/>
              </w:rPr>
              <w:t xml:space="preserve">'  </w:t>
            </w:r>
            <w:hyperlink r:id="rId17" w:history="1">
              <w:r w:rsidRPr="006A5308">
                <w:rPr>
                  <w:rFonts w:ascii="FrankRuehl" w:hAnsi="FrankRuehl" w:cs="FrankRuehl"/>
                  <w:noProof w:val="0"/>
                  <w:color w:val="0000FF"/>
                  <w:u w:val="single"/>
                </w:rPr>
                <w:t>186(</w:t>
              </w:r>
              <w:r w:rsidRPr="006A5308">
                <w:rPr>
                  <w:rFonts w:ascii="FrankRuehl" w:hAnsi="FrankRuehl" w:cs="FrankRuehl"/>
                  <w:noProof w:val="0"/>
                  <w:color w:val="0000FF"/>
                  <w:u w:val="single"/>
                  <w:rtl/>
                </w:rPr>
                <w:t>א</w:t>
              </w:r>
              <w:r w:rsidRPr="006A5308">
                <w:rPr>
                  <w:rFonts w:ascii="FrankRuehl" w:hAnsi="FrankRuehl" w:cs="FrankRuehl"/>
                  <w:noProof w:val="0"/>
                  <w:color w:val="0000FF"/>
                  <w:u w:val="single"/>
                </w:rPr>
                <w:t>)</w:t>
              </w:r>
            </w:hyperlink>
          </w:p>
          <w:p w14:paraId="496AE395" w14:textId="77777777" w:rsidR="006A5308" w:rsidRPr="006A5308" w:rsidRDefault="006A5308" w:rsidP="006A5308">
            <w:pPr>
              <w:bidi w:val="0"/>
              <w:spacing w:after="120" w:line="240" w:lineRule="exact"/>
              <w:ind w:left="283" w:hanging="283"/>
              <w:jc w:val="both"/>
              <w:rPr>
                <w:rFonts w:ascii="FrankRuehl" w:hAnsi="FrankRuehl" w:cs="FrankRuehl"/>
                <w:noProof w:val="0"/>
              </w:rPr>
            </w:pPr>
          </w:p>
          <w:p w14:paraId="24A9A0B3" w14:textId="77777777" w:rsidR="006A5308" w:rsidRPr="006A5308" w:rsidRDefault="006A5308" w:rsidP="00A23D70">
            <w:pPr>
              <w:bidi w:val="0"/>
              <w:jc w:val="center"/>
              <w:rPr>
                <w:rFonts w:ascii="Arial" w:hAnsi="Arial"/>
                <w:noProof w:val="0"/>
                <w:sz w:val="28"/>
                <w:szCs w:val="28"/>
              </w:rPr>
            </w:pPr>
          </w:p>
          <w:p w14:paraId="1A86B724" w14:textId="77777777" w:rsidR="00A23D70" w:rsidRPr="00A23D70" w:rsidRDefault="00A23D70" w:rsidP="00A23D70">
            <w:pPr>
              <w:bidi w:val="0"/>
              <w:jc w:val="center"/>
              <w:rPr>
                <w:rFonts w:ascii="Arial" w:hAnsi="Arial"/>
                <w:noProof w:val="0"/>
                <w:sz w:val="28"/>
                <w:szCs w:val="28"/>
                <w:rtl/>
              </w:rPr>
            </w:pPr>
          </w:p>
          <w:p w14:paraId="3D2C97D3" w14:textId="77777777" w:rsidR="00A23D70" w:rsidRPr="00A23D70" w:rsidRDefault="00A23D70" w:rsidP="00A23D70">
            <w:pPr>
              <w:bidi w:val="0"/>
              <w:jc w:val="center"/>
              <w:rPr>
                <w:rFonts w:ascii="Arial" w:hAnsi="Arial"/>
                <w:b/>
                <w:bCs/>
                <w:noProof w:val="0"/>
                <w:sz w:val="28"/>
                <w:szCs w:val="28"/>
                <w:u w:val="single"/>
                <w:rtl/>
              </w:rPr>
            </w:pPr>
            <w:r w:rsidRPr="00A23D70">
              <w:rPr>
                <w:rFonts w:ascii="Arial" w:hAnsi="Arial"/>
                <w:b/>
                <w:bCs/>
                <w:noProof w:val="0"/>
                <w:sz w:val="28"/>
                <w:szCs w:val="28"/>
                <w:u w:val="single"/>
                <w:rtl/>
              </w:rPr>
              <w:t>גזר דין</w:t>
            </w:r>
          </w:p>
          <w:bookmarkEnd w:id="4"/>
          <w:p w14:paraId="72C958E2" w14:textId="77777777" w:rsidR="009435A1" w:rsidRPr="006C3A37" w:rsidRDefault="009435A1" w:rsidP="00A23D70">
            <w:pPr>
              <w:bidi w:val="0"/>
              <w:jc w:val="center"/>
              <w:rPr>
                <w:rFonts w:ascii="Arial" w:hAnsi="Arial"/>
                <w:b/>
                <w:bCs/>
                <w:noProof w:val="0"/>
                <w:sz w:val="28"/>
                <w:szCs w:val="28"/>
                <w:u w:val="single"/>
              </w:rPr>
            </w:pPr>
          </w:p>
        </w:tc>
      </w:tr>
    </w:tbl>
    <w:p w14:paraId="5D5AE914" w14:textId="77777777" w:rsidR="009435A1" w:rsidRDefault="009435A1" w:rsidP="009435A1">
      <w:pPr>
        <w:spacing w:line="360" w:lineRule="auto"/>
        <w:jc w:val="both"/>
        <w:rPr>
          <w:rFonts w:ascii="Arial" w:hAnsi="Arial"/>
          <w:noProof w:val="0"/>
        </w:rPr>
      </w:pPr>
      <w:bookmarkStart w:id="5" w:name="NGCSBookmark"/>
      <w:bookmarkEnd w:id="0"/>
      <w:bookmarkEnd w:id="5"/>
      <w:r>
        <w:rPr>
          <w:rFonts w:ascii="Arial" w:hAnsi="Arial" w:hint="cs"/>
          <w:rtl/>
        </w:rPr>
        <w:t>1.</w:t>
      </w:r>
      <w:r>
        <w:rPr>
          <w:rFonts w:ascii="Arial" w:hAnsi="Arial" w:hint="cs"/>
          <w:rtl/>
        </w:rPr>
        <w:tab/>
        <w:t xml:space="preserve">הנאשם הורשע, לאחר ניהול הוכחות, בעבירות הבאות: </w:t>
      </w:r>
    </w:p>
    <w:p w14:paraId="03AC9B68" w14:textId="77777777" w:rsidR="009435A1" w:rsidRDefault="009435A1" w:rsidP="009435A1">
      <w:pPr>
        <w:spacing w:line="360" w:lineRule="auto"/>
        <w:ind w:left="1440" w:hanging="720"/>
        <w:jc w:val="both"/>
        <w:rPr>
          <w:rFonts w:ascii="Arial" w:hAnsi="Arial"/>
          <w:rtl/>
        </w:rPr>
      </w:pPr>
      <w:r>
        <w:rPr>
          <w:rFonts w:ascii="Arial" w:hAnsi="Arial" w:hint="cs"/>
          <w:rtl/>
        </w:rPr>
        <w:t>א.</w:t>
      </w:r>
      <w:r>
        <w:rPr>
          <w:rFonts w:ascii="Arial" w:hAnsi="Arial" w:hint="cs"/>
          <w:rtl/>
        </w:rPr>
        <w:tab/>
      </w:r>
      <w:bookmarkStart w:id="6" w:name="ABSTRACT_START"/>
      <w:bookmarkEnd w:id="6"/>
      <w:r>
        <w:rPr>
          <w:rFonts w:ascii="Arial" w:hAnsi="Arial" w:hint="cs"/>
          <w:rtl/>
        </w:rPr>
        <w:t xml:space="preserve">גידול סם מסוכן, לפי </w:t>
      </w:r>
      <w:hyperlink r:id="rId18" w:history="1">
        <w:r w:rsidR="006A5308" w:rsidRPr="006A5308">
          <w:rPr>
            <w:rFonts w:ascii="Arial" w:hAnsi="Arial"/>
            <w:color w:val="0000FF"/>
            <w:u w:val="single"/>
            <w:rtl/>
          </w:rPr>
          <w:t>סעיף 6</w:t>
        </w:r>
      </w:hyperlink>
      <w:r>
        <w:rPr>
          <w:rFonts w:ascii="Arial" w:hAnsi="Arial" w:hint="cs"/>
          <w:rtl/>
        </w:rPr>
        <w:t xml:space="preserve"> ל</w:t>
      </w:r>
      <w:hyperlink r:id="rId19" w:history="1">
        <w:r w:rsidR="00A23D70" w:rsidRPr="00A23D70">
          <w:rPr>
            <w:rStyle w:val="Hyperlink"/>
            <w:rFonts w:ascii="Arial" w:hAnsi="Arial" w:hint="eastAsia"/>
            <w:rtl/>
          </w:rPr>
          <w:t>פקודת</w:t>
        </w:r>
        <w:r w:rsidR="00A23D70" w:rsidRPr="00A23D70">
          <w:rPr>
            <w:rStyle w:val="Hyperlink"/>
            <w:rFonts w:ascii="Arial" w:hAnsi="Arial"/>
            <w:rtl/>
          </w:rPr>
          <w:t xml:space="preserve"> הסמים המסוכנים</w:t>
        </w:r>
      </w:hyperlink>
      <w:r>
        <w:rPr>
          <w:rFonts w:ascii="Arial" w:hAnsi="Arial" w:hint="cs"/>
          <w:rtl/>
        </w:rPr>
        <w:t xml:space="preserve">, (נוסח חדש), התשל"ג – 1973 (להלן: "פקודת הסמים"). </w:t>
      </w:r>
    </w:p>
    <w:p w14:paraId="0FD290EB" w14:textId="77777777" w:rsidR="009435A1" w:rsidRDefault="009435A1" w:rsidP="009435A1">
      <w:pPr>
        <w:spacing w:line="360" w:lineRule="auto"/>
        <w:jc w:val="both"/>
        <w:rPr>
          <w:rFonts w:ascii="Arial" w:hAnsi="Arial"/>
          <w:rtl/>
        </w:rPr>
      </w:pPr>
      <w:r>
        <w:rPr>
          <w:rFonts w:ascii="Arial" w:hAnsi="Arial" w:hint="cs"/>
          <w:rtl/>
        </w:rPr>
        <w:tab/>
        <w:t>ב.</w:t>
      </w:r>
      <w:r>
        <w:rPr>
          <w:rFonts w:ascii="Arial" w:hAnsi="Arial" w:hint="cs"/>
          <w:rtl/>
        </w:rPr>
        <w:tab/>
        <w:t xml:space="preserve">החזקת כלים להכנת סם  לא לצריכה עצמית, לפי סעיף, </w:t>
      </w:r>
      <w:hyperlink r:id="rId20" w:history="1">
        <w:r w:rsidR="006A5308" w:rsidRPr="006A5308">
          <w:rPr>
            <w:rFonts w:ascii="Arial" w:hAnsi="Arial"/>
            <w:color w:val="0000FF"/>
            <w:u w:val="single"/>
            <w:rtl/>
          </w:rPr>
          <w:t>10</w:t>
        </w:r>
      </w:hyperlink>
      <w:r>
        <w:rPr>
          <w:rFonts w:ascii="Arial" w:hAnsi="Arial" w:hint="cs"/>
          <w:rtl/>
        </w:rPr>
        <w:t xml:space="preserve"> רישא לפקודת הסמים. </w:t>
      </w:r>
    </w:p>
    <w:p w14:paraId="1C0E3A53" w14:textId="77777777" w:rsidR="009435A1" w:rsidRDefault="009435A1" w:rsidP="009435A1">
      <w:pPr>
        <w:spacing w:line="360" w:lineRule="auto"/>
        <w:jc w:val="both"/>
        <w:rPr>
          <w:rFonts w:ascii="Arial" w:hAnsi="Arial"/>
          <w:rtl/>
        </w:rPr>
      </w:pPr>
      <w:r>
        <w:rPr>
          <w:rFonts w:ascii="Arial" w:hAnsi="Arial" w:hint="cs"/>
          <w:rtl/>
        </w:rPr>
        <w:tab/>
        <w:t>ג.</w:t>
      </w:r>
      <w:r>
        <w:rPr>
          <w:rFonts w:ascii="Arial" w:hAnsi="Arial" w:hint="cs"/>
          <w:rtl/>
        </w:rPr>
        <w:tab/>
        <w:t xml:space="preserve">החזקת סם שלא לצריכה עצמית, לפי </w:t>
      </w:r>
      <w:hyperlink r:id="rId21" w:history="1">
        <w:r w:rsidR="006A5308" w:rsidRPr="006A5308">
          <w:rPr>
            <w:rFonts w:ascii="Arial" w:hAnsi="Arial"/>
            <w:color w:val="0000FF"/>
            <w:u w:val="single"/>
            <w:rtl/>
          </w:rPr>
          <w:t>סעיף 7(א)(ג)</w:t>
        </w:r>
      </w:hyperlink>
      <w:r>
        <w:rPr>
          <w:rFonts w:ascii="Arial" w:hAnsi="Arial" w:hint="cs"/>
          <w:rtl/>
        </w:rPr>
        <w:t xml:space="preserve"> רישא לפקודת הסמים.</w:t>
      </w:r>
    </w:p>
    <w:p w14:paraId="68E04968" w14:textId="77777777" w:rsidR="009435A1" w:rsidRDefault="009435A1" w:rsidP="009435A1">
      <w:pPr>
        <w:spacing w:line="360" w:lineRule="auto"/>
        <w:jc w:val="both"/>
        <w:rPr>
          <w:rFonts w:ascii="Arial" w:hAnsi="Arial"/>
          <w:rtl/>
        </w:rPr>
      </w:pPr>
      <w:r>
        <w:rPr>
          <w:rFonts w:ascii="Arial" w:hAnsi="Arial" w:hint="cs"/>
          <w:rtl/>
        </w:rPr>
        <w:tab/>
        <w:t>ד.</w:t>
      </w:r>
      <w:r>
        <w:rPr>
          <w:rFonts w:ascii="Arial" w:hAnsi="Arial" w:hint="cs"/>
          <w:rtl/>
        </w:rPr>
        <w:tab/>
        <w:t>החזקת סכין שלא למטרה כשרה</w:t>
      </w:r>
      <w:bookmarkStart w:id="7" w:name="ABSTRACT_END"/>
      <w:bookmarkEnd w:id="7"/>
      <w:r>
        <w:rPr>
          <w:rFonts w:ascii="Arial" w:hAnsi="Arial" w:hint="cs"/>
          <w:rtl/>
        </w:rPr>
        <w:t xml:space="preserve">, לפי </w:t>
      </w:r>
      <w:hyperlink r:id="rId22" w:history="1">
        <w:r w:rsidR="006A5308" w:rsidRPr="006A5308">
          <w:rPr>
            <w:rFonts w:ascii="Arial" w:hAnsi="Arial"/>
            <w:color w:val="0000FF"/>
            <w:u w:val="single"/>
            <w:rtl/>
          </w:rPr>
          <w:t>סעיף 186(א)</w:t>
        </w:r>
      </w:hyperlink>
      <w:r>
        <w:rPr>
          <w:rFonts w:ascii="Arial" w:hAnsi="Arial" w:hint="cs"/>
          <w:rtl/>
        </w:rPr>
        <w:t xml:space="preserve"> ל</w:t>
      </w:r>
      <w:hyperlink r:id="rId23" w:history="1">
        <w:r w:rsidR="00A23D70" w:rsidRPr="00A23D70">
          <w:rPr>
            <w:rStyle w:val="Hyperlink"/>
            <w:rFonts w:ascii="Arial" w:hAnsi="Arial" w:hint="eastAsia"/>
            <w:rtl/>
          </w:rPr>
          <w:t>חוק</w:t>
        </w:r>
        <w:r w:rsidR="00A23D70" w:rsidRPr="00A23D70">
          <w:rPr>
            <w:rStyle w:val="Hyperlink"/>
            <w:rFonts w:ascii="Arial" w:hAnsi="Arial"/>
            <w:rtl/>
          </w:rPr>
          <w:t xml:space="preserve"> העונשין</w:t>
        </w:r>
      </w:hyperlink>
      <w:r>
        <w:rPr>
          <w:rFonts w:ascii="Arial" w:hAnsi="Arial" w:hint="cs"/>
          <w:rtl/>
        </w:rPr>
        <w:t>, התשל"ז – 1977.</w:t>
      </w:r>
    </w:p>
    <w:p w14:paraId="7F6D1104" w14:textId="77777777" w:rsidR="009435A1" w:rsidRDefault="009435A1" w:rsidP="009435A1">
      <w:pPr>
        <w:spacing w:line="360" w:lineRule="auto"/>
        <w:jc w:val="both"/>
        <w:rPr>
          <w:rFonts w:ascii="Arial" w:hAnsi="Arial"/>
          <w:rtl/>
        </w:rPr>
      </w:pPr>
    </w:p>
    <w:p w14:paraId="1632B86C" w14:textId="77777777" w:rsidR="009435A1" w:rsidRDefault="009435A1" w:rsidP="009435A1">
      <w:pPr>
        <w:spacing w:line="360" w:lineRule="auto"/>
        <w:ind w:left="720"/>
        <w:jc w:val="both"/>
        <w:rPr>
          <w:rFonts w:ascii="Arial" w:hAnsi="Arial"/>
          <w:rtl/>
        </w:rPr>
      </w:pPr>
      <w:r>
        <w:rPr>
          <w:rFonts w:ascii="Arial" w:hAnsi="Arial" w:hint="cs"/>
          <w:rtl/>
        </w:rPr>
        <w:t xml:space="preserve">בהתאם לעובדות כתב האישום בו הורשע, התגורר הנאשם במבנה נטוש (להלן: "המבנה") ביישוב רותם, בסמוך אליו בנה מחסן (להלן: "המחסן"), בו נמצאה ביום 20.10.2015 </w:t>
      </w:r>
      <w:r>
        <w:rPr>
          <w:rFonts w:ascii="Arial" w:hAnsi="Arial" w:hint="cs"/>
          <w:rtl/>
        </w:rPr>
        <w:lastRenderedPageBreak/>
        <w:t>"מעבדת סמים" מאולתרת,אותה יצר הנאשם לשם גידול סמים (להלן: המעבדה"). במעבדה נמצאו 25 שתילי סם מסוכן מסוג קנבוס במשקל של 526 גרם וכן 99 שתילי סם מסוכן מסוג קנבוס במשקל 29 גרם. בנוסף, נתפסו במקום כלים שונים אשר נועדו ליצור ולגידול סם מסוכן, בהם מאוורר, גוף תאורה, בקבוקי דישון, פילטר משאבת חמצן, מפוח ועוד. בנוסף, החזיק הנאשם במבנה בצנצנות בהן סם מסוג קנבוס במשקל 7 גרם. בנסיבות אלה, החזיק הנאשם בתיקו, בתוך רכבו, בסכין לשם הגנה עצמית.</w:t>
      </w:r>
    </w:p>
    <w:p w14:paraId="32D9C55A" w14:textId="77777777" w:rsidR="009435A1" w:rsidRDefault="009435A1" w:rsidP="006A5308">
      <w:pPr>
        <w:spacing w:line="360" w:lineRule="auto"/>
        <w:ind w:left="720"/>
        <w:jc w:val="both"/>
        <w:rPr>
          <w:rFonts w:ascii="Arial" w:hAnsi="Arial"/>
          <w:rtl/>
        </w:rPr>
      </w:pPr>
      <w:r>
        <w:rPr>
          <w:rFonts w:ascii="Arial" w:hAnsi="Arial" w:hint="cs"/>
          <w:rtl/>
        </w:rPr>
        <w:t xml:space="preserve"> 2.</w:t>
      </w:r>
      <w:r>
        <w:rPr>
          <w:rFonts w:ascii="Arial" w:hAnsi="Arial" w:hint="cs"/>
          <w:rtl/>
        </w:rPr>
        <w:tab/>
        <w:t>בטרם נשמעו טיעונים לעונש, התקבל תסקיר בעניינו של הנאשם. בהתאם לאמור בתסקיר, מדובר בנאשם אשר שירת בצבא שרות מלא כלוחם, ומשרת כיום בשרות מילואים פעיל. לאחר שחרורו השתלב הנאשם בעבודות שונות, והתקבלה חוות דעת חיובית ממעסיקו הנוכחי בחקלאות. לאחר שחרורו מהצבא, החל הנאשם להשתמש בסם מסוג קנאביס בנסיבות חברתיות. הנאשם השתלב בקבוצה טיפולית, ובדיקות שתן שמסר נמצאו נקיות משרידי סם. שרות המבחן התרשם כי אין מדובר בנאשם בעל דפוסים התמכרותיים מושרשים, כאשר ההליך הפלילי מהווה עבורו הרתעה וגורם מציב גבולות. בנסיבות אלה, המליץ שרות המבחן להטיל על הנאשם צו מבחן, של"צ וכן מאסר מותנה.</w:t>
      </w:r>
    </w:p>
    <w:p w14:paraId="6774D76C" w14:textId="77777777" w:rsidR="009435A1" w:rsidRDefault="009435A1" w:rsidP="009435A1">
      <w:pPr>
        <w:spacing w:line="360" w:lineRule="auto"/>
        <w:ind w:left="720" w:hanging="720"/>
        <w:jc w:val="both"/>
        <w:rPr>
          <w:rFonts w:ascii="Arial" w:hAnsi="Arial"/>
          <w:rtl/>
        </w:rPr>
      </w:pPr>
      <w:r>
        <w:rPr>
          <w:rFonts w:ascii="Arial" w:hAnsi="Arial" w:hint="cs"/>
          <w:rtl/>
        </w:rPr>
        <w:t xml:space="preserve"> </w:t>
      </w:r>
    </w:p>
    <w:p w14:paraId="08794040" w14:textId="77777777" w:rsidR="009435A1" w:rsidRPr="00070D88" w:rsidRDefault="009435A1" w:rsidP="009435A1">
      <w:pPr>
        <w:spacing w:line="360" w:lineRule="auto"/>
        <w:ind w:left="720" w:hanging="720"/>
        <w:jc w:val="both"/>
        <w:rPr>
          <w:rFonts w:ascii="Arial" w:hAnsi="Arial"/>
          <w:u w:val="single"/>
          <w:rtl/>
        </w:rPr>
      </w:pPr>
      <w:r w:rsidRPr="00070D88">
        <w:rPr>
          <w:rFonts w:ascii="Arial" w:hAnsi="Arial" w:hint="cs"/>
          <w:u w:val="single"/>
          <w:rtl/>
        </w:rPr>
        <w:t>טיעוני הצדדים</w:t>
      </w:r>
    </w:p>
    <w:p w14:paraId="2EA28DF3" w14:textId="77777777" w:rsidR="009435A1" w:rsidRDefault="009435A1" w:rsidP="009435A1">
      <w:pPr>
        <w:spacing w:line="360" w:lineRule="auto"/>
        <w:ind w:left="720" w:hanging="720"/>
        <w:jc w:val="both"/>
        <w:rPr>
          <w:rFonts w:ascii="Arial" w:hAnsi="Arial"/>
          <w:rtl/>
        </w:rPr>
      </w:pPr>
      <w:r>
        <w:rPr>
          <w:rFonts w:ascii="Arial" w:hAnsi="Arial" w:hint="cs"/>
          <w:rtl/>
        </w:rPr>
        <w:t>3.</w:t>
      </w:r>
      <w:r>
        <w:rPr>
          <w:rFonts w:ascii="Arial" w:hAnsi="Arial"/>
          <w:rtl/>
        </w:rPr>
        <w:tab/>
      </w:r>
      <w:r>
        <w:rPr>
          <w:rFonts w:ascii="Arial" w:hAnsi="Arial" w:hint="cs"/>
          <w:rtl/>
        </w:rPr>
        <w:t>המאשימה טענה כי עבירת גידול סמים היא עבירה חמורה אשר המחוקק והפסיקה התייחס אליה בהתאם. הנאשם לא קיבל אחריות על מעשיו, אף לאחר הרשעתו, ולצד זאת יש להתחשב בכך שהנאשם נעדר עבר פלילי. לפיכך, עתרה המאשימה להטיל על הנאשם עונש מאסר למשך 16 חודשים, מאסר מותנה, פסילת רשיון נהיגה בפועל, וכן פסילת רשיון נהיגה על תנאי. בנוסף, עתרה המאשימה להכריז על הנאשם כסוחר סמים ולחלט את רכושו אשר פורט בהודעתה בכתב האישום.</w:t>
      </w:r>
    </w:p>
    <w:p w14:paraId="2D2C6DAF" w14:textId="77777777" w:rsidR="009435A1" w:rsidRDefault="009435A1" w:rsidP="009435A1">
      <w:pPr>
        <w:spacing w:line="360" w:lineRule="auto"/>
        <w:ind w:left="720" w:hanging="720"/>
        <w:jc w:val="both"/>
        <w:rPr>
          <w:rFonts w:ascii="Arial" w:hAnsi="Arial"/>
          <w:rtl/>
        </w:rPr>
      </w:pPr>
      <w:r>
        <w:rPr>
          <w:rFonts w:ascii="Arial" w:hAnsi="Arial" w:hint="cs"/>
          <w:rtl/>
        </w:rPr>
        <w:t xml:space="preserve"> </w:t>
      </w:r>
    </w:p>
    <w:p w14:paraId="1C789437" w14:textId="77777777" w:rsidR="009435A1" w:rsidRDefault="009435A1" w:rsidP="009435A1">
      <w:pPr>
        <w:spacing w:line="360" w:lineRule="auto"/>
        <w:ind w:left="720" w:hanging="720"/>
        <w:jc w:val="both"/>
        <w:rPr>
          <w:rFonts w:ascii="Arial" w:hAnsi="Arial"/>
          <w:rtl/>
        </w:rPr>
      </w:pPr>
      <w:r>
        <w:rPr>
          <w:rFonts w:ascii="Arial" w:hAnsi="Arial" w:hint="cs"/>
          <w:rtl/>
        </w:rPr>
        <w:t>4.</w:t>
      </w:r>
      <w:r>
        <w:rPr>
          <w:rFonts w:ascii="Arial" w:hAnsi="Arial"/>
          <w:rtl/>
        </w:rPr>
        <w:tab/>
      </w:r>
      <w:r>
        <w:rPr>
          <w:rFonts w:ascii="Arial" w:hAnsi="Arial" w:hint="cs"/>
          <w:rtl/>
        </w:rPr>
        <w:t xml:space="preserve">ב"כ הנאשם עתר לביטול הרשעתו וכן לאמץ את המלצת שרות המבחן לגבי הטלת של"צ וצו מבחן. לביסוס טיעונו ציין את הרקרע הנורמטיבי של הנאשם, ופירט את המגבלות שהיו על חירותו בעקבות כתב האישום. בנוסף, היפנה לפסיקה שונה התומכת בטיעוניו, ולכך שמדבור בסם המוגדר כ"סם קל". באופן דומה, טען ב"כ הנאשם כי ניתן לסיים את ההליך ללא הרשעת הנאשם, אף לגבי עבירת החזקת הסכין בה הורשע. אשר לסוגית חילוט הכסף שנתפס, היפנה ב"כ הנאשם לעדותו של אלון בן חיים אשר העיד כי מסר לנאשם את הכסף בתמורה לעבודתו. </w:t>
      </w:r>
    </w:p>
    <w:p w14:paraId="58DAB9F3" w14:textId="77777777" w:rsidR="009435A1" w:rsidRDefault="009435A1" w:rsidP="009435A1">
      <w:pPr>
        <w:spacing w:line="360" w:lineRule="auto"/>
        <w:ind w:left="720" w:hanging="720"/>
        <w:jc w:val="both"/>
        <w:rPr>
          <w:rFonts w:ascii="Arial" w:hAnsi="Arial"/>
          <w:rtl/>
        </w:rPr>
      </w:pPr>
    </w:p>
    <w:p w14:paraId="5A1C936A" w14:textId="77777777" w:rsidR="009435A1" w:rsidRDefault="009435A1" w:rsidP="009435A1">
      <w:pPr>
        <w:spacing w:line="360" w:lineRule="auto"/>
        <w:ind w:left="720" w:hanging="720"/>
        <w:jc w:val="both"/>
        <w:rPr>
          <w:rFonts w:ascii="Arial" w:hAnsi="Arial"/>
          <w:rtl/>
        </w:rPr>
      </w:pPr>
      <w:r>
        <w:rPr>
          <w:rFonts w:ascii="Arial" w:hAnsi="Arial"/>
          <w:rtl/>
        </w:rPr>
        <w:tab/>
      </w:r>
      <w:r>
        <w:rPr>
          <w:rFonts w:ascii="Arial" w:hAnsi="Arial" w:hint="cs"/>
          <w:rtl/>
        </w:rPr>
        <w:t xml:space="preserve">הנאשם בעצמו פירט את המגבלות שחלו לגבי חירותו, לאורך זמן רב. עוד הביע הנאשם צער על החזקת הסכין, חרטה על השימוש בסמים, והצהיר כי לא שב על כך מאז מעצרו. </w:t>
      </w:r>
    </w:p>
    <w:p w14:paraId="1550382E" w14:textId="77777777" w:rsidR="009435A1" w:rsidRDefault="009435A1" w:rsidP="009435A1">
      <w:pPr>
        <w:spacing w:line="360" w:lineRule="auto"/>
        <w:ind w:left="720" w:hanging="720"/>
        <w:jc w:val="both"/>
        <w:rPr>
          <w:rFonts w:ascii="Arial" w:hAnsi="Arial"/>
          <w:rtl/>
        </w:rPr>
      </w:pPr>
    </w:p>
    <w:p w14:paraId="4187FB0D" w14:textId="77777777" w:rsidR="009435A1" w:rsidRPr="00AF4CF9" w:rsidRDefault="009435A1" w:rsidP="009435A1">
      <w:pPr>
        <w:spacing w:line="360" w:lineRule="auto"/>
        <w:ind w:left="720" w:hanging="720"/>
        <w:jc w:val="both"/>
        <w:rPr>
          <w:rFonts w:ascii="Arial" w:hAnsi="Arial"/>
          <w:u w:val="single"/>
          <w:rtl/>
        </w:rPr>
      </w:pPr>
      <w:r w:rsidRPr="00AF4CF9">
        <w:rPr>
          <w:rFonts w:ascii="Arial" w:hAnsi="Arial" w:hint="cs"/>
          <w:u w:val="single"/>
          <w:rtl/>
        </w:rPr>
        <w:t>מתחם הענישה</w:t>
      </w:r>
      <w:r>
        <w:rPr>
          <w:rFonts w:ascii="Arial" w:hAnsi="Arial" w:hint="cs"/>
          <w:u w:val="single"/>
          <w:rtl/>
        </w:rPr>
        <w:t xml:space="preserve"> ואי הרשעה</w:t>
      </w:r>
    </w:p>
    <w:p w14:paraId="18B7005C" w14:textId="77777777" w:rsidR="009435A1" w:rsidRDefault="009435A1" w:rsidP="009435A1">
      <w:pPr>
        <w:spacing w:line="360" w:lineRule="auto"/>
        <w:ind w:left="720" w:hanging="720"/>
        <w:jc w:val="both"/>
        <w:rPr>
          <w:rFonts w:ascii="Arial" w:hAnsi="Arial"/>
          <w:noProof w:val="0"/>
          <w:rtl/>
        </w:rPr>
      </w:pPr>
      <w:r>
        <w:rPr>
          <w:rFonts w:ascii="Arial" w:hAnsi="Arial" w:hint="cs"/>
          <w:noProof w:val="0"/>
          <w:rtl/>
        </w:rPr>
        <w:t>5.</w:t>
      </w:r>
      <w:r>
        <w:rPr>
          <w:rFonts w:ascii="Arial" w:hAnsi="Arial"/>
          <w:noProof w:val="0"/>
          <w:rtl/>
        </w:rPr>
        <w:tab/>
      </w:r>
      <w:r>
        <w:rPr>
          <w:rFonts w:ascii="Arial" w:hAnsi="Arial" w:hint="cs"/>
          <w:noProof w:val="0"/>
          <w:rtl/>
        </w:rPr>
        <w:t xml:space="preserve">עבירות הסמים השונות פוגעות בשלום הציבור. אדם המשתמש בסם מסוכן עלול להתמכר לו, להביא לידי פגיעה בבריאותו ובהתנהלותו היומיומית. אף משפחתו הקרובה של צרכן הסם נפגעת כתוצאה מהתמכרותו, ומהשינוי המשמעותי בדפוסי התנהגותו. בנוסף, צרכני </w:t>
      </w:r>
      <w:r>
        <w:rPr>
          <w:rFonts w:ascii="Arial" w:hAnsi="Arial" w:hint="cs"/>
          <w:noProof w:val="0"/>
          <w:rtl/>
        </w:rPr>
        <w:lastRenderedPageBreak/>
        <w:t>סמים פוגעים לא פעם בשלום הציבור וברכושו, זאת לשם מימון צריכת הסם, כאשר אף יכולתם להשתכר בעבודה ראויה נפגעת. בית המשפט קבע לא פעם את הצורך במלחמת חורמה במפיצי סמים ובגדיעת מעגל הסמים, זאת בדרך של ענישה קשה ומרתיעה. מגדל הסמים המסוכנים נמצא סמוך לראש סולם הסמים, בהיותו הגורם המחדיר את הסם אל אותו מעגל הכולל בהמשך את מפיץ הסם ואת המשתמש בו.</w:t>
      </w:r>
    </w:p>
    <w:p w14:paraId="3F958CB5" w14:textId="77777777" w:rsidR="009435A1" w:rsidRDefault="009435A1" w:rsidP="009435A1">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אשר לעבירת החזקת סכין שלא למטרה כשרה, מדובר בעבירה המסכנת של שלום הציבור, נוכח אופי הסכין ככלי בעל פוטנציאל גרימת נזק בלתי הפיך. בהתאם, קבע המחוקק עבירה זו כעבירה מסוג פשע, וכן בית המשפט התייחס אליה כעבירה המהווה חלק מ"תת תרבות הסכין" אשר הפכה למכת מדינה.</w:t>
      </w:r>
    </w:p>
    <w:p w14:paraId="6743D9F0" w14:textId="77777777" w:rsidR="009435A1" w:rsidRDefault="009435A1" w:rsidP="009435A1">
      <w:pPr>
        <w:spacing w:line="360" w:lineRule="auto"/>
        <w:ind w:left="720" w:hanging="720"/>
        <w:jc w:val="both"/>
        <w:rPr>
          <w:rFonts w:ascii="Arial" w:hAnsi="Arial"/>
          <w:noProof w:val="0"/>
          <w:rtl/>
        </w:rPr>
      </w:pPr>
      <w:r>
        <w:rPr>
          <w:rFonts w:ascii="Arial" w:hAnsi="Arial" w:hint="cs"/>
          <w:noProof w:val="0"/>
          <w:rtl/>
        </w:rPr>
        <w:t xml:space="preserve"> </w:t>
      </w:r>
    </w:p>
    <w:p w14:paraId="310CB264" w14:textId="77777777" w:rsidR="009435A1" w:rsidRDefault="009435A1" w:rsidP="009435A1">
      <w:pPr>
        <w:spacing w:line="360" w:lineRule="auto"/>
        <w:ind w:left="720" w:hanging="720"/>
        <w:jc w:val="both"/>
        <w:rPr>
          <w:rFonts w:ascii="Arial" w:hAnsi="Arial"/>
          <w:rtl/>
        </w:rPr>
      </w:pPr>
      <w:r>
        <w:rPr>
          <w:rFonts w:ascii="Arial" w:hAnsi="Arial" w:hint="cs"/>
          <w:noProof w:val="0"/>
          <w:rtl/>
        </w:rPr>
        <w:t>6.</w:t>
      </w:r>
      <w:r>
        <w:rPr>
          <w:rFonts w:ascii="Arial" w:hAnsi="Arial" w:hint="cs"/>
          <w:noProof w:val="0"/>
          <w:rtl/>
        </w:rPr>
        <w:tab/>
        <w:t xml:space="preserve">בנסיבות המקרה הנדון, הנאשם גידל במעבדת הסמים הסמוכה למקום מגוריו, 124 שתילי סם מסוכן מסוג קנאביס. אכן, אין להתעלם ממשקל הסמים שנתפס, אשר אינו נמצא ברף גבוה, ואולם יש להתייחס לכמות השתילים שנתפסה, לאביזרים השונים בהם עשה הנאשם שימוש, ולפוטנציאל המשמעותי של יצור והפקת כמויות סמים במעבדה זו. די לבחון את עובדות כתב האישום, מהן עולה כי </w:t>
      </w:r>
      <w:r>
        <w:rPr>
          <w:rFonts w:ascii="Arial" w:hAnsi="Arial" w:hint="cs"/>
          <w:rtl/>
        </w:rPr>
        <w:t>25 שתילים הפיקו סם במשקל כולל של כחצי ק"ג, על מנת להבין את פוטנציאל אותם 99 שתילים נוספים אשר משקלם בעת מעצר הנאשם עמד על כ-30 גרם בלבד. מדובר בתזמון המעצר בלבד, ולא באופן המצומצם בו הנאשם ביקש לגדל את הסם המסוכן. בנוסף, יש לבחון את הכלים השונים ששימשו לצורך הגידול, ובהם מאוורר, גוף תאורה, בקבוקי דישון, פילטר משאבת חמצן, קוטל פטריות, מפוח ועוד. לא בכדי קבע המחוקק עונש חמור בצד עבירת גידול סם, ולא הותיר כל חלופה של גידול סם לצריכה עצמית.</w:t>
      </w:r>
    </w:p>
    <w:p w14:paraId="4F2476E0" w14:textId="77777777" w:rsidR="009435A1" w:rsidRDefault="009435A1" w:rsidP="009435A1">
      <w:pPr>
        <w:spacing w:line="360" w:lineRule="auto"/>
        <w:ind w:left="720"/>
        <w:jc w:val="both"/>
        <w:rPr>
          <w:rFonts w:cs="Times New Roman"/>
          <w:noProof w:val="0"/>
          <w:rtl/>
        </w:rPr>
      </w:pPr>
      <w:r>
        <w:rPr>
          <w:rFonts w:ascii="Arial" w:hAnsi="Arial" w:hint="cs"/>
          <w:rtl/>
        </w:rPr>
        <w:t>נתונים אלה צריכים לשמש כנקודת מוצא לשם קביעת מתחם הענישה ההולם, תוך התייחסות מתאימה לפסיקה שהוצגה על ידי הצדדים: הפסיקה שהוגשה על ידי ב"כ הנאשם לא עסקה בכמות שתילים ד</w:t>
      </w:r>
      <w:r>
        <w:rPr>
          <w:rFonts w:ascii="Arial" w:hAnsi="Arial" w:hint="cs"/>
          <w:noProof w:val="0"/>
          <w:rtl/>
        </w:rPr>
        <w:t>ומה לזו שגידל הנאשם, וכן, למעט פסק דין אחד שניתן בבית המשפט המחוזי, כל המקרים אליהם היפנה ניתנו בערכאת בית משפט השלום, ובכולם הודו הנאשמים במיוחס להם. לעומת פסיקה זו, אושרו בבית המשפט העליון עונשי מאסר בפועל בעבירות גידול כמות שתילי סם קטנה מהכמות אותה גידל הנאשם, אך אלה הניבו כמות גדולה יותר של סמים [</w:t>
      </w:r>
      <w:hyperlink r:id="rId24" w:history="1">
        <w:r w:rsidR="00A23D70" w:rsidRPr="00A23D70">
          <w:rPr>
            <w:rStyle w:val="Hyperlink"/>
            <w:rFonts w:ascii="Arial" w:hAnsi="Arial" w:hint="eastAsia"/>
            <w:noProof w:val="0"/>
            <w:rtl/>
          </w:rPr>
          <w:t>רע</w:t>
        </w:r>
        <w:r w:rsidR="00A23D70" w:rsidRPr="00A23D70">
          <w:rPr>
            <w:rStyle w:val="Hyperlink"/>
            <w:rFonts w:ascii="Arial" w:hAnsi="Arial"/>
            <w:noProof w:val="0"/>
            <w:rtl/>
          </w:rPr>
          <w:t>"פ 8237/15</w:t>
        </w:r>
      </w:hyperlink>
      <w:r>
        <w:rPr>
          <w:rFonts w:ascii="Arial" w:hAnsi="Arial" w:hint="cs"/>
          <w:noProof w:val="0"/>
          <w:rtl/>
        </w:rPr>
        <w:t xml:space="preserve"> </w:t>
      </w:r>
      <w:r>
        <w:rPr>
          <w:rFonts w:ascii="Arial" w:hAnsi="Arial" w:hint="cs"/>
          <w:b/>
          <w:bCs/>
          <w:noProof w:val="0"/>
          <w:rtl/>
        </w:rPr>
        <w:t xml:space="preserve">יצחק בן זקן </w:t>
      </w:r>
      <w:r>
        <w:rPr>
          <w:rFonts w:ascii="Arial" w:hAnsi="Arial" w:hint="cs"/>
          <w:noProof w:val="0"/>
          <w:rtl/>
        </w:rPr>
        <w:t xml:space="preserve">נ' </w:t>
      </w:r>
      <w:r>
        <w:rPr>
          <w:rFonts w:ascii="Arial" w:hAnsi="Arial" w:hint="cs"/>
          <w:b/>
          <w:bCs/>
          <w:noProof w:val="0"/>
          <w:rtl/>
        </w:rPr>
        <w:t xml:space="preserve">מדינת ישראל </w:t>
      </w:r>
      <w:r>
        <w:rPr>
          <w:rFonts w:ascii="Arial" w:hAnsi="Arial" w:hint="cs"/>
          <w:noProof w:val="0"/>
          <w:rtl/>
        </w:rPr>
        <w:t>(2.12.2015)], או עונשי מאסר בפועל לגבי גידול כמות שתילים גדולה יותר אשר הניבה כמות קטנה יותר של סמים [</w:t>
      </w:r>
      <w:hyperlink r:id="rId25" w:history="1">
        <w:r w:rsidR="00A23D70" w:rsidRPr="00A23D70">
          <w:rPr>
            <w:rStyle w:val="Hyperlink"/>
            <w:rFonts w:ascii="Arial" w:hAnsi="Arial" w:hint="eastAsia"/>
            <w:noProof w:val="0"/>
            <w:rtl/>
          </w:rPr>
          <w:t>רע</w:t>
        </w:r>
        <w:r w:rsidR="00A23D70" w:rsidRPr="00A23D70">
          <w:rPr>
            <w:rStyle w:val="Hyperlink"/>
            <w:rFonts w:ascii="Arial" w:hAnsi="Arial"/>
            <w:noProof w:val="0"/>
            <w:rtl/>
          </w:rPr>
          <w:t>"פ 4512/15</w:t>
        </w:r>
      </w:hyperlink>
      <w:r>
        <w:rPr>
          <w:rFonts w:ascii="Arial" w:hAnsi="Arial" w:hint="cs"/>
          <w:noProof w:val="0"/>
          <w:rtl/>
        </w:rPr>
        <w:t xml:space="preserve"> </w:t>
      </w:r>
      <w:r>
        <w:rPr>
          <w:rFonts w:ascii="Arial" w:hAnsi="Arial" w:hint="cs"/>
          <w:b/>
          <w:bCs/>
          <w:noProof w:val="0"/>
          <w:rtl/>
        </w:rPr>
        <w:t xml:space="preserve">אברהם הרוש </w:t>
      </w:r>
      <w:r>
        <w:rPr>
          <w:rFonts w:ascii="Arial" w:hAnsi="Arial" w:hint="cs"/>
          <w:noProof w:val="0"/>
          <w:rtl/>
        </w:rPr>
        <w:t xml:space="preserve">נ' </w:t>
      </w:r>
      <w:r>
        <w:rPr>
          <w:rFonts w:ascii="Arial" w:hAnsi="Arial" w:hint="cs"/>
          <w:b/>
          <w:bCs/>
          <w:noProof w:val="0"/>
          <w:rtl/>
        </w:rPr>
        <w:t>מדינת ישראל</w:t>
      </w:r>
      <w:r>
        <w:rPr>
          <w:rFonts w:ascii="Arial" w:hAnsi="Arial" w:hint="cs"/>
          <w:noProof w:val="0"/>
          <w:rtl/>
        </w:rPr>
        <w:t xml:space="preserve"> (6.07.2015)]. כך, נקבע בע"פ (ת"א)            31126-05-14 </w:t>
      </w:r>
      <w:r>
        <w:rPr>
          <w:rFonts w:ascii="Arial" w:hAnsi="Arial" w:hint="cs"/>
          <w:b/>
          <w:bCs/>
          <w:noProof w:val="0"/>
          <w:rtl/>
        </w:rPr>
        <w:t xml:space="preserve">מדינת ישראל </w:t>
      </w:r>
      <w:r>
        <w:rPr>
          <w:rFonts w:ascii="Arial" w:hAnsi="Arial" w:hint="cs"/>
          <w:noProof w:val="0"/>
          <w:rtl/>
        </w:rPr>
        <w:t xml:space="preserve">נ' </w:t>
      </w:r>
      <w:r>
        <w:rPr>
          <w:rFonts w:ascii="Arial" w:hAnsi="Arial" w:hint="cs"/>
          <w:b/>
          <w:bCs/>
          <w:noProof w:val="0"/>
          <w:rtl/>
        </w:rPr>
        <w:t xml:space="preserve">יהודה חריט </w:t>
      </w:r>
      <w:r>
        <w:rPr>
          <w:rFonts w:ascii="Arial" w:hAnsi="Arial" w:hint="cs"/>
          <w:noProof w:val="0"/>
          <w:rtl/>
        </w:rPr>
        <w:t>(13.01.2015), כי "</w:t>
      </w:r>
      <w:r w:rsidRPr="009312C0">
        <w:rPr>
          <w:rFonts w:hint="cs"/>
          <w:b/>
          <w:bCs/>
          <w:rtl/>
        </w:rPr>
        <w:t>מתחם הענישה בעבירה של גידול סם מתחיל מעונש מאסר בפועל ולשיטתנו הרף העליון הוא תלוי נסיבות</w:t>
      </w:r>
      <w:r>
        <w:rPr>
          <w:rFonts w:hint="cs"/>
          <w:b/>
          <w:bCs/>
          <w:rtl/>
        </w:rPr>
        <w:t>...</w:t>
      </w:r>
      <w:r>
        <w:rPr>
          <w:rFonts w:hint="cs"/>
          <w:rtl/>
        </w:rPr>
        <w:t xml:space="preserve">" (שם, פסקה 5. בסופו של יום הוטל באותו ענין עונש מאסר של שישה חודשי עבודות שרות). </w:t>
      </w:r>
    </w:p>
    <w:p w14:paraId="44F15354" w14:textId="77777777" w:rsidR="009435A1" w:rsidRDefault="009435A1" w:rsidP="009435A1">
      <w:pPr>
        <w:spacing w:line="360" w:lineRule="auto"/>
        <w:ind w:firstLine="720"/>
        <w:jc w:val="both"/>
        <w:rPr>
          <w:rFonts w:ascii="Arial" w:hAnsi="Arial"/>
          <w:rtl/>
        </w:rPr>
      </w:pPr>
    </w:p>
    <w:p w14:paraId="7916A331" w14:textId="77777777" w:rsidR="009435A1" w:rsidRDefault="009435A1" w:rsidP="009435A1">
      <w:pPr>
        <w:spacing w:line="360" w:lineRule="auto"/>
        <w:ind w:left="720"/>
        <w:jc w:val="both"/>
        <w:rPr>
          <w:rFonts w:ascii="Arial" w:hAnsi="Arial"/>
          <w:rtl/>
        </w:rPr>
      </w:pPr>
      <w:r>
        <w:rPr>
          <w:rFonts w:ascii="Arial" w:hAnsi="Arial" w:hint="cs"/>
          <w:rtl/>
        </w:rPr>
        <w:t xml:space="preserve">אשר להחזקת הסכין, החזיק הנאשם את הסכין בתיקו, בתוך רכבו, במקום בו לא נמצאים אנשים רבים, אך מקום בו הנאשם עלול להיות חשוף לאוכלוסיה עויינת. אין מדובר ברף גבוה של ביצוע העבירה. </w:t>
      </w:r>
    </w:p>
    <w:p w14:paraId="747F7B4B" w14:textId="77777777" w:rsidR="009435A1" w:rsidRDefault="009435A1" w:rsidP="009435A1">
      <w:pPr>
        <w:spacing w:line="360" w:lineRule="auto"/>
        <w:ind w:left="720" w:hanging="720"/>
        <w:jc w:val="both"/>
        <w:rPr>
          <w:rFonts w:ascii="Arial" w:hAnsi="Arial"/>
          <w:noProof w:val="0"/>
        </w:rPr>
      </w:pPr>
      <w:r>
        <w:rPr>
          <w:rFonts w:ascii="Arial" w:hAnsi="Arial" w:hint="cs"/>
          <w:rtl/>
        </w:rPr>
        <w:t>7.</w:t>
      </w:r>
      <w:r>
        <w:rPr>
          <w:rFonts w:ascii="Arial" w:hAnsi="Arial" w:hint="cs"/>
          <w:rtl/>
        </w:rPr>
        <w:tab/>
        <w:t xml:space="preserve">לגבי עתירת ב"כ הנאשם לסיום ההליך ללא הרשעתו, יש להזכיר את סדר הדין בהליך הפלילי, הקובע כי מי שנמצא שביצע עבירה – יורשע בדין. רק במקרים חריגים ויוצאי דופן, "חריג שבחריגים", בהם נוצר פער בלתי נסבל בין הפגיעה לנאשם לבין תועלת ההרשעה לאינטרס הציבורי, יאות בית המשפט לסטות מכלל זה, זאת בהתקיים שני תנאים מצטברים: </w:t>
      </w:r>
      <w:r>
        <w:rPr>
          <w:rFonts w:ascii="Arial" w:hAnsi="Arial" w:hint="cs"/>
          <w:b/>
          <w:bCs/>
          <w:rtl/>
        </w:rPr>
        <w:t>"ראשית, על ההרשעה לפגוע פגיעה חמורה בשיקום הנאשם; ושנית, סוג העבירה מאפשר לוותר בנסיבות המקרה המסויים על ההרשעה בלי לפגוע באופן מהותי בשיקולי הענישה האחרים"</w:t>
      </w:r>
      <w:r>
        <w:rPr>
          <w:rFonts w:ascii="Arial" w:hAnsi="Arial" w:hint="cs"/>
          <w:rtl/>
        </w:rPr>
        <w:t xml:space="preserve"> (</w:t>
      </w:r>
      <w:hyperlink r:id="rId26" w:history="1">
        <w:r w:rsidR="00A23D70" w:rsidRPr="00A23D70">
          <w:rPr>
            <w:rStyle w:val="Hyperlink"/>
            <w:rFonts w:ascii="Arial" w:hAnsi="Arial" w:hint="eastAsia"/>
            <w:rtl/>
          </w:rPr>
          <w:t>ע</w:t>
        </w:r>
        <w:r w:rsidR="00A23D70" w:rsidRPr="00A23D70">
          <w:rPr>
            <w:rStyle w:val="Hyperlink"/>
            <w:rFonts w:ascii="Arial" w:hAnsi="Arial"/>
            <w:rtl/>
          </w:rPr>
          <w:t>"פ 2083-96 תמר כתב נ' מדינת ישראל, פד"י נב</w:t>
        </w:r>
      </w:hyperlink>
      <w:r>
        <w:rPr>
          <w:rFonts w:ascii="Arial" w:hAnsi="Arial" w:hint="cs"/>
          <w:rtl/>
        </w:rPr>
        <w:t>(3), 337 (1997)).</w:t>
      </w:r>
    </w:p>
    <w:p w14:paraId="59A9ED0C" w14:textId="77777777" w:rsidR="009435A1" w:rsidRDefault="009435A1" w:rsidP="009435A1">
      <w:pPr>
        <w:spacing w:line="360" w:lineRule="auto"/>
        <w:ind w:left="720" w:hanging="720"/>
        <w:jc w:val="both"/>
        <w:rPr>
          <w:noProof w:val="0"/>
          <w:rtl/>
        </w:rPr>
      </w:pPr>
      <w:r>
        <w:rPr>
          <w:rFonts w:ascii="Arial" w:hAnsi="Arial"/>
          <w:rtl/>
        </w:rPr>
        <w:tab/>
      </w:r>
      <w:r>
        <w:rPr>
          <w:rFonts w:ascii="Arial" w:hAnsi="Arial" w:hint="cs"/>
          <w:rtl/>
        </w:rPr>
        <w:t xml:space="preserve">ב"כ הנאשם לא ביסס בטיעוניו כל נזק קונקרטי שיגרם לו כתוצאה מהרשעתו. כפי שנקבע לא פעם בסוגיית ההימנעות מהרשעה, </w:t>
      </w:r>
      <w:r>
        <w:rPr>
          <w:rFonts w:ascii="Arial" w:hAnsi="Arial" w:hint="cs"/>
          <w:b/>
          <w:bCs/>
          <w:rtl/>
        </w:rPr>
        <w:t>"יש להצביע על נזק קונקרטי שעלול להיגרם לנאשם, ואין ניתן להסתפק ב"תרחיש תיאורטי" לפיו אפשר שיגרם נזק מעין זה, בנסיבות מסויימות"</w:t>
      </w:r>
      <w:r>
        <w:rPr>
          <w:rFonts w:ascii="Arial" w:hAnsi="Arial" w:hint="cs"/>
          <w:rtl/>
        </w:rPr>
        <w:t xml:space="preserve"> [</w:t>
      </w:r>
      <w:hyperlink r:id="rId27" w:history="1">
        <w:r w:rsidR="00A23D70" w:rsidRPr="00A23D70">
          <w:rPr>
            <w:rStyle w:val="Hyperlink"/>
            <w:rFonts w:ascii="Arial" w:hAnsi="Arial" w:hint="eastAsia"/>
            <w:rtl/>
          </w:rPr>
          <w:t>רע</w:t>
        </w:r>
        <w:r w:rsidR="00A23D70" w:rsidRPr="00A23D70">
          <w:rPr>
            <w:rStyle w:val="Hyperlink"/>
            <w:rFonts w:ascii="Arial" w:hAnsi="Arial"/>
            <w:rtl/>
          </w:rPr>
          <w:t>"פ 5860-15</w:t>
        </w:r>
      </w:hyperlink>
      <w:r>
        <w:rPr>
          <w:rFonts w:ascii="Arial" w:hAnsi="Arial" w:hint="cs"/>
          <w:rtl/>
        </w:rPr>
        <w:t xml:space="preserve"> </w:t>
      </w:r>
      <w:r>
        <w:rPr>
          <w:rFonts w:ascii="Arial" w:hAnsi="Arial" w:hint="cs"/>
          <w:b/>
          <w:bCs/>
          <w:rtl/>
        </w:rPr>
        <w:t>פלונית</w:t>
      </w:r>
      <w:r>
        <w:rPr>
          <w:rFonts w:ascii="Arial" w:hAnsi="Arial" w:hint="cs"/>
          <w:rtl/>
        </w:rPr>
        <w:t xml:space="preserve"> נ' </w:t>
      </w:r>
      <w:r>
        <w:rPr>
          <w:rFonts w:ascii="Arial" w:hAnsi="Arial" w:hint="cs"/>
          <w:b/>
          <w:bCs/>
          <w:rtl/>
        </w:rPr>
        <w:t xml:space="preserve">מדינת ישראל </w:t>
      </w:r>
      <w:r>
        <w:rPr>
          <w:rFonts w:ascii="Arial" w:hAnsi="Arial" w:hint="cs"/>
          <w:rtl/>
        </w:rPr>
        <w:t xml:space="preserve">(7.9.15), פיסקה 12. ראו עוד </w:t>
      </w:r>
      <w:hyperlink r:id="rId28" w:history="1">
        <w:r w:rsidR="00A23D70" w:rsidRPr="00A23D70">
          <w:rPr>
            <w:rStyle w:val="Hyperlink"/>
            <w:noProof w:val="0"/>
            <w:rtl/>
          </w:rPr>
          <w:t>רע"פ 54/15</w:t>
        </w:r>
      </w:hyperlink>
      <w:r w:rsidRPr="00DF69A8">
        <w:rPr>
          <w:noProof w:val="0"/>
          <w:rtl/>
        </w:rPr>
        <w:t xml:space="preserve"> </w:t>
      </w:r>
      <w:r w:rsidRPr="00DF69A8">
        <w:rPr>
          <w:b/>
          <w:bCs/>
          <w:noProof w:val="0"/>
          <w:rtl/>
        </w:rPr>
        <w:t>פלוני</w:t>
      </w:r>
      <w:r w:rsidRPr="00DF69A8">
        <w:rPr>
          <w:noProof w:val="0"/>
          <w:rtl/>
        </w:rPr>
        <w:t xml:space="preserve"> נ' </w:t>
      </w:r>
      <w:r w:rsidRPr="00DF69A8">
        <w:rPr>
          <w:b/>
          <w:bCs/>
          <w:noProof w:val="0"/>
          <w:rtl/>
        </w:rPr>
        <w:t>מדינת ישראל</w:t>
      </w:r>
      <w:r w:rsidRPr="00DF69A8">
        <w:rPr>
          <w:noProof w:val="0"/>
          <w:rtl/>
        </w:rPr>
        <w:t>, (27.01.15)</w:t>
      </w:r>
      <w:r>
        <w:rPr>
          <w:rFonts w:hint="cs"/>
          <w:noProof w:val="0"/>
          <w:rtl/>
        </w:rPr>
        <w:t xml:space="preserve">; </w:t>
      </w:r>
      <w:hyperlink r:id="rId29" w:history="1">
        <w:r w:rsidR="00A23D70" w:rsidRPr="00A23D70">
          <w:rPr>
            <w:rStyle w:val="Hyperlink"/>
            <w:noProof w:val="0"/>
            <w:rtl/>
          </w:rPr>
          <w:t>רע"פ 9118/12</w:t>
        </w:r>
      </w:hyperlink>
      <w:r w:rsidRPr="00DF69A8">
        <w:rPr>
          <w:noProof w:val="0"/>
          <w:rtl/>
        </w:rPr>
        <w:t xml:space="preserve"> </w:t>
      </w:r>
      <w:r w:rsidRPr="00DF69A8">
        <w:rPr>
          <w:b/>
          <w:bCs/>
          <w:noProof w:val="0"/>
          <w:rtl/>
        </w:rPr>
        <w:t>אלכסנדר פריגין</w:t>
      </w:r>
      <w:r w:rsidRPr="00DF69A8">
        <w:rPr>
          <w:noProof w:val="0"/>
          <w:rtl/>
        </w:rPr>
        <w:t xml:space="preserve"> נ' </w:t>
      </w:r>
      <w:r w:rsidRPr="00DF69A8">
        <w:rPr>
          <w:b/>
          <w:bCs/>
          <w:noProof w:val="0"/>
          <w:rtl/>
        </w:rPr>
        <w:t>מדינת ישראל</w:t>
      </w:r>
      <w:r w:rsidRPr="00DF69A8">
        <w:rPr>
          <w:noProof w:val="0"/>
          <w:rtl/>
        </w:rPr>
        <w:t xml:space="preserve"> (1.1.2013); </w:t>
      </w:r>
      <w:hyperlink r:id="rId30" w:history="1">
        <w:r w:rsidR="00A23D70" w:rsidRPr="00A23D70">
          <w:rPr>
            <w:rStyle w:val="Hyperlink"/>
            <w:noProof w:val="0"/>
            <w:rtl/>
          </w:rPr>
          <w:t>רע"פ 4592/14</w:t>
        </w:r>
      </w:hyperlink>
      <w:r w:rsidRPr="00DF69A8">
        <w:rPr>
          <w:noProof w:val="0"/>
          <w:rtl/>
        </w:rPr>
        <w:t xml:space="preserve"> </w:t>
      </w:r>
      <w:r w:rsidRPr="00DF69A8">
        <w:rPr>
          <w:b/>
          <w:bCs/>
          <w:noProof w:val="0"/>
          <w:rtl/>
        </w:rPr>
        <w:t>דיאנה רוטמן</w:t>
      </w:r>
      <w:r w:rsidRPr="00DF69A8">
        <w:rPr>
          <w:noProof w:val="0"/>
          <w:rtl/>
        </w:rPr>
        <w:t xml:space="preserve"> נ' </w:t>
      </w:r>
      <w:r w:rsidRPr="00DF69A8">
        <w:rPr>
          <w:b/>
          <w:bCs/>
          <w:noProof w:val="0"/>
          <w:rtl/>
        </w:rPr>
        <w:t>מדינת ישראל</w:t>
      </w:r>
      <w:r w:rsidRPr="00DF69A8">
        <w:rPr>
          <w:noProof w:val="0"/>
          <w:rtl/>
        </w:rPr>
        <w:t xml:space="preserve">(25.8.2014); </w:t>
      </w:r>
      <w:hyperlink r:id="rId31" w:history="1">
        <w:r w:rsidR="00A23D70" w:rsidRPr="00A23D70">
          <w:rPr>
            <w:rStyle w:val="Hyperlink"/>
            <w:noProof w:val="0"/>
            <w:rtl/>
          </w:rPr>
          <w:t>רע"פ 7224/14</w:t>
        </w:r>
      </w:hyperlink>
      <w:r w:rsidRPr="00DF69A8">
        <w:rPr>
          <w:noProof w:val="0"/>
          <w:rtl/>
        </w:rPr>
        <w:t xml:space="preserve"> </w:t>
      </w:r>
      <w:r w:rsidRPr="00DF69A8">
        <w:rPr>
          <w:b/>
          <w:bCs/>
          <w:noProof w:val="0"/>
          <w:rtl/>
        </w:rPr>
        <w:t>משה פרינסקי</w:t>
      </w:r>
      <w:r w:rsidRPr="00DF69A8">
        <w:rPr>
          <w:noProof w:val="0"/>
          <w:rtl/>
        </w:rPr>
        <w:t xml:space="preserve"> נ' </w:t>
      </w:r>
      <w:r w:rsidRPr="00DF69A8">
        <w:rPr>
          <w:b/>
          <w:bCs/>
          <w:noProof w:val="0"/>
          <w:rtl/>
        </w:rPr>
        <w:t>מדינת ישראל,</w:t>
      </w:r>
      <w:r w:rsidRPr="00DF69A8">
        <w:rPr>
          <w:noProof w:val="0"/>
          <w:rtl/>
        </w:rPr>
        <w:t xml:space="preserve"> (10.11.2014)</w:t>
      </w:r>
      <w:r>
        <w:rPr>
          <w:rFonts w:hint="cs"/>
          <w:noProof w:val="0"/>
          <w:rtl/>
        </w:rPr>
        <w:t>]</w:t>
      </w:r>
      <w:r w:rsidRPr="00DF69A8">
        <w:rPr>
          <w:noProof w:val="0"/>
          <w:rtl/>
        </w:rPr>
        <w:t>.</w:t>
      </w:r>
    </w:p>
    <w:p w14:paraId="66F7C87D" w14:textId="77777777" w:rsidR="009435A1" w:rsidRDefault="009435A1" w:rsidP="009435A1">
      <w:pPr>
        <w:spacing w:line="360" w:lineRule="auto"/>
        <w:ind w:left="720"/>
        <w:jc w:val="both"/>
        <w:rPr>
          <w:noProof w:val="0"/>
          <w:rtl/>
        </w:rPr>
      </w:pPr>
      <w:r w:rsidRPr="001E2A12">
        <w:rPr>
          <w:noProof w:val="0"/>
          <w:rtl/>
        </w:rPr>
        <w:t>אף בחינת אופי העבירות בהן הורשע הנאשם, מעלה כי מדובר בעבירות אשר אין מקום לקבוע אי הרשעה בגינן</w:t>
      </w:r>
      <w:r>
        <w:rPr>
          <w:rFonts w:hint="cs"/>
          <w:noProof w:val="0"/>
          <w:rtl/>
        </w:rPr>
        <w:t>: די לעיין בהנמקות שלעיל, לגבי החומרה בה יש לראות את עבירת גידול הסם, את הענישה המחמירה בגין עבירה זו, כפי שקבע המחוקק וכן את קביעת הפסיקה. בנוסף, גם עבירת החזקת סכין, החמורה פחות מבין שני סוגי העבירות בהם הורשע הנאשם, מחייבת את הרשעתו [</w:t>
      </w:r>
      <w:hyperlink r:id="rId32" w:history="1">
        <w:r w:rsidR="00A23D70" w:rsidRPr="00A23D70">
          <w:rPr>
            <w:rStyle w:val="Hyperlink"/>
            <w:noProof w:val="0"/>
            <w:rtl/>
          </w:rPr>
          <w:t>רע"פ 1949/15</w:t>
        </w:r>
      </w:hyperlink>
      <w:r w:rsidRPr="001E2A12">
        <w:rPr>
          <w:noProof w:val="0"/>
          <w:rtl/>
        </w:rPr>
        <w:t xml:space="preserve"> </w:t>
      </w:r>
      <w:r w:rsidRPr="001E2A12">
        <w:rPr>
          <w:b/>
          <w:bCs/>
          <w:noProof w:val="0"/>
          <w:rtl/>
        </w:rPr>
        <w:t>אימן תקרורי</w:t>
      </w:r>
      <w:r w:rsidRPr="001E2A12">
        <w:rPr>
          <w:noProof w:val="0"/>
          <w:rtl/>
        </w:rPr>
        <w:t xml:space="preserve"> נ' </w:t>
      </w:r>
      <w:r w:rsidRPr="001E2A12">
        <w:rPr>
          <w:b/>
          <w:bCs/>
          <w:noProof w:val="0"/>
          <w:rtl/>
        </w:rPr>
        <w:t>מדינת ישראל</w:t>
      </w:r>
      <w:r w:rsidRPr="001E2A12">
        <w:rPr>
          <w:noProof w:val="0"/>
          <w:rtl/>
        </w:rPr>
        <w:t>, (2.4.15)</w:t>
      </w:r>
      <w:r>
        <w:rPr>
          <w:rFonts w:hint="cs"/>
          <w:noProof w:val="0"/>
          <w:rtl/>
        </w:rPr>
        <w:t>;</w:t>
      </w:r>
      <w:r w:rsidRPr="001E2A12">
        <w:rPr>
          <w:noProof w:val="0"/>
          <w:rtl/>
        </w:rPr>
        <w:t xml:space="preserve"> ע"פ (י-ם) </w:t>
      </w:r>
      <w:hyperlink r:id="rId33" w:history="1">
        <w:r w:rsidR="00A97D64" w:rsidRPr="00A97D64">
          <w:rPr>
            <w:b/>
            <w:bCs/>
            <w:noProof w:val="0"/>
            <w:color w:val="0000FF"/>
            <w:u w:val="single"/>
            <w:rtl/>
          </w:rPr>
          <w:t xml:space="preserve">טל גרינפלד </w:t>
        </w:r>
      </w:hyperlink>
      <w:r w:rsidRPr="001E2A12">
        <w:rPr>
          <w:b/>
          <w:bCs/>
          <w:noProof w:val="0"/>
          <w:rtl/>
        </w:rPr>
        <w:t xml:space="preserve"> </w:t>
      </w:r>
      <w:r w:rsidRPr="001E2A12">
        <w:rPr>
          <w:noProof w:val="0"/>
          <w:rtl/>
        </w:rPr>
        <w:t xml:space="preserve">נ' </w:t>
      </w:r>
      <w:r w:rsidRPr="001E2A12">
        <w:rPr>
          <w:b/>
          <w:bCs/>
          <w:noProof w:val="0"/>
          <w:rtl/>
        </w:rPr>
        <w:t>מדינת ישראל</w:t>
      </w:r>
      <w:r w:rsidRPr="001E2A12">
        <w:rPr>
          <w:noProof w:val="0"/>
          <w:rtl/>
        </w:rPr>
        <w:t xml:space="preserve">, (6.7.14); </w:t>
      </w:r>
      <w:hyperlink r:id="rId34" w:history="1">
        <w:r w:rsidR="00A23D70" w:rsidRPr="00A23D70">
          <w:rPr>
            <w:rStyle w:val="Hyperlink"/>
            <w:noProof w:val="0"/>
            <w:rtl/>
          </w:rPr>
          <w:t>עפ"ג (ת"א) 55618-12-14</w:t>
        </w:r>
      </w:hyperlink>
      <w:r w:rsidRPr="001E2A12">
        <w:rPr>
          <w:noProof w:val="0"/>
          <w:rtl/>
        </w:rPr>
        <w:t xml:space="preserve"> </w:t>
      </w:r>
      <w:r w:rsidRPr="001E2A12">
        <w:rPr>
          <w:b/>
          <w:bCs/>
          <w:noProof w:val="0"/>
          <w:rtl/>
        </w:rPr>
        <w:t xml:space="preserve">ולדימיר איוונוב </w:t>
      </w:r>
      <w:r w:rsidRPr="001E2A12">
        <w:rPr>
          <w:noProof w:val="0"/>
          <w:rtl/>
        </w:rPr>
        <w:t xml:space="preserve">נ' </w:t>
      </w:r>
      <w:r w:rsidRPr="001E2A12">
        <w:rPr>
          <w:b/>
          <w:bCs/>
          <w:noProof w:val="0"/>
          <w:rtl/>
        </w:rPr>
        <w:t>מדינת ישראל</w:t>
      </w:r>
      <w:r w:rsidRPr="001E2A12">
        <w:rPr>
          <w:noProof w:val="0"/>
          <w:rtl/>
        </w:rPr>
        <w:t xml:space="preserve">, (27.4.15); </w:t>
      </w:r>
      <w:hyperlink r:id="rId35" w:history="1">
        <w:r w:rsidR="00A23D70" w:rsidRPr="00A23D70">
          <w:rPr>
            <w:rStyle w:val="Hyperlink"/>
            <w:noProof w:val="0"/>
            <w:rtl/>
          </w:rPr>
          <w:t>עפ"ג (מרכז) 9474-05-14</w:t>
        </w:r>
      </w:hyperlink>
      <w:r w:rsidRPr="001E2A12">
        <w:rPr>
          <w:noProof w:val="0"/>
          <w:rtl/>
        </w:rPr>
        <w:t xml:space="preserve"> </w:t>
      </w:r>
      <w:r w:rsidRPr="001E2A12">
        <w:rPr>
          <w:b/>
          <w:bCs/>
          <w:noProof w:val="0"/>
          <w:rtl/>
        </w:rPr>
        <w:t xml:space="preserve">מרום סקזו </w:t>
      </w:r>
      <w:r w:rsidRPr="001E2A12">
        <w:rPr>
          <w:noProof w:val="0"/>
          <w:rtl/>
        </w:rPr>
        <w:t xml:space="preserve">נ' </w:t>
      </w:r>
      <w:r w:rsidRPr="001E2A12">
        <w:rPr>
          <w:b/>
          <w:bCs/>
          <w:noProof w:val="0"/>
          <w:rtl/>
        </w:rPr>
        <w:t xml:space="preserve">מדינת ישראל, </w:t>
      </w:r>
      <w:r w:rsidRPr="001E2A12">
        <w:rPr>
          <w:noProof w:val="0"/>
          <w:rtl/>
        </w:rPr>
        <w:t>(7.10.14)</w:t>
      </w:r>
      <w:r>
        <w:rPr>
          <w:rFonts w:hint="cs"/>
          <w:noProof w:val="0"/>
          <w:rtl/>
        </w:rPr>
        <w:t>]</w:t>
      </w:r>
      <w:r w:rsidRPr="001E2A12">
        <w:rPr>
          <w:noProof w:val="0"/>
          <w:rtl/>
        </w:rPr>
        <w:t>.</w:t>
      </w:r>
    </w:p>
    <w:p w14:paraId="4AD3492A" w14:textId="77777777" w:rsidR="009435A1" w:rsidRDefault="009435A1" w:rsidP="009435A1">
      <w:pPr>
        <w:spacing w:line="360" w:lineRule="auto"/>
        <w:ind w:left="720"/>
        <w:jc w:val="both"/>
        <w:rPr>
          <w:noProof w:val="0"/>
          <w:rtl/>
        </w:rPr>
      </w:pPr>
      <w:r>
        <w:rPr>
          <w:rFonts w:hint="cs"/>
          <w:noProof w:val="0"/>
          <w:rtl/>
        </w:rPr>
        <w:t xml:space="preserve">בנסיבות אלה, כאשר העובדות וטיעוני ב"כ הנאשם אינם מקימים את הבסיס לסיום ההליך ללא הרשעה </w:t>
      </w:r>
      <w:r>
        <w:rPr>
          <w:noProof w:val="0"/>
          <w:rtl/>
        </w:rPr>
        <w:t>–</w:t>
      </w:r>
      <w:r>
        <w:rPr>
          <w:rFonts w:hint="cs"/>
          <w:noProof w:val="0"/>
          <w:rtl/>
        </w:rPr>
        <w:t xml:space="preserve"> עתירה זו נדחית.</w:t>
      </w:r>
    </w:p>
    <w:p w14:paraId="26AA9D5C" w14:textId="77777777" w:rsidR="009435A1" w:rsidRDefault="009435A1" w:rsidP="009435A1">
      <w:pPr>
        <w:spacing w:line="360" w:lineRule="auto"/>
        <w:ind w:left="720"/>
        <w:jc w:val="both"/>
        <w:rPr>
          <w:noProof w:val="0"/>
          <w:rtl/>
        </w:rPr>
      </w:pPr>
    </w:p>
    <w:p w14:paraId="7A63A8BC" w14:textId="77777777" w:rsidR="009435A1" w:rsidRDefault="009435A1" w:rsidP="009435A1">
      <w:pPr>
        <w:spacing w:line="360" w:lineRule="auto"/>
        <w:ind w:left="720" w:hanging="720"/>
        <w:jc w:val="both"/>
        <w:rPr>
          <w:noProof w:val="0"/>
          <w:rtl/>
        </w:rPr>
      </w:pPr>
      <w:r>
        <w:rPr>
          <w:rFonts w:hint="cs"/>
          <w:noProof w:val="0"/>
          <w:rtl/>
        </w:rPr>
        <w:t>8.</w:t>
      </w:r>
      <w:r>
        <w:rPr>
          <w:noProof w:val="0"/>
          <w:rtl/>
        </w:rPr>
        <w:tab/>
      </w:r>
      <w:r>
        <w:rPr>
          <w:rFonts w:hint="cs"/>
          <w:noProof w:val="0"/>
          <w:rtl/>
        </w:rPr>
        <w:t>לאחר שבחנתי ושקלתי את כל האמור לעיל, אני קובע כי מתחם הענישה במקרה זה נע בין מאסר בן שישה חודשים אשר ירוצה בעבודות שרות, ועד מאסר בפועל למשך 18 חודשים. בנוסף, יש להטיל ענישה נלווית נוספת, לרבות קנס. בהתחשב בעובדה שהמאשימה נמנעה מלעתור להטלת קנס כספי, וכן משקלו הנמוך של רכיב ענישה זה בנסיבות המקרה הנוכחי, אמנע מהטלת קנס.</w:t>
      </w:r>
    </w:p>
    <w:p w14:paraId="5C4D3E17" w14:textId="77777777" w:rsidR="009435A1" w:rsidRDefault="009435A1" w:rsidP="009435A1">
      <w:pPr>
        <w:spacing w:line="360" w:lineRule="auto"/>
        <w:ind w:left="720" w:hanging="720"/>
        <w:jc w:val="both"/>
        <w:rPr>
          <w:noProof w:val="0"/>
          <w:rtl/>
        </w:rPr>
      </w:pPr>
    </w:p>
    <w:p w14:paraId="1A53D3B2" w14:textId="77777777" w:rsidR="009435A1" w:rsidRPr="001E2A12" w:rsidRDefault="009435A1" w:rsidP="009435A1">
      <w:pPr>
        <w:spacing w:line="360" w:lineRule="auto"/>
        <w:ind w:left="720" w:hanging="720"/>
        <w:jc w:val="both"/>
        <w:rPr>
          <w:noProof w:val="0"/>
          <w:u w:val="single"/>
          <w:rtl/>
        </w:rPr>
      </w:pPr>
      <w:r w:rsidRPr="009F07DD">
        <w:rPr>
          <w:rFonts w:hint="cs"/>
          <w:noProof w:val="0"/>
          <w:u w:val="single"/>
          <w:rtl/>
        </w:rPr>
        <w:t>העונש המתאים</w:t>
      </w:r>
    </w:p>
    <w:p w14:paraId="1CED1740" w14:textId="77777777" w:rsidR="009435A1" w:rsidRDefault="009435A1" w:rsidP="009435A1">
      <w:pPr>
        <w:spacing w:line="360" w:lineRule="auto"/>
        <w:ind w:left="720" w:hanging="720"/>
        <w:jc w:val="both"/>
        <w:rPr>
          <w:rFonts w:ascii="Arial" w:hAnsi="Arial"/>
          <w:rtl/>
        </w:rPr>
      </w:pPr>
      <w:r>
        <w:rPr>
          <w:rFonts w:ascii="Arial" w:hAnsi="Arial" w:hint="cs"/>
          <w:rtl/>
        </w:rPr>
        <w:t>9.</w:t>
      </w:r>
      <w:r>
        <w:rPr>
          <w:rFonts w:ascii="Arial" w:hAnsi="Arial" w:hint="cs"/>
          <w:rtl/>
        </w:rPr>
        <w:tab/>
        <w:t xml:space="preserve">הנאשם לא קיבל אחריות על מעשיו. אמנם, הודה הנאשם בהחזקת כמות סמים מזערית לצריכתו העצמית, ואולם כפר בחלקו המשמעותי של כתב האישום. יש ממש בטיעון המאשימה, כי חוסר קבלת האחריות על ידי הנאשם נמשכה עד למתן גזר הדין. לצד זאת, לא ניתן להתעלם מכך שמדובר בנאשם נעדר עבר פלילי, אשר ניהל אורח חיים נורמטיבי, למעט העבירות בהן הורשע במסגרת תיק זה. יש לזקוף לזכות הנאשם את היענותו החיובית לטיפול בשרות המבחן, הפסקת השימוש בסם, השתלבותו בעבודה מסודרת, וחזרה לניהול חיים נורמטיביים. משקל משמעותי יש לתת להשפעת ההליך הפלילי על הנאשם, אשר כלל את מעצרו משך כשבוע ימים, וכן תקופה ממושכת של מגבלות שונות במסגרת תנאי מעצר בית. הצטברות נתונים אלה, וכן התרשמותי כי הנאשם לא ישוב למעורבות פלילית בעתיד, מהווים משקל נגד לאי לקיחת האחריות על מעשיו, המציבים את עניינו ברף הנמוך של ביצוע העבירה. </w:t>
      </w:r>
    </w:p>
    <w:p w14:paraId="4EA1C5F2" w14:textId="77777777" w:rsidR="009435A1" w:rsidRDefault="009435A1" w:rsidP="009435A1">
      <w:pPr>
        <w:spacing w:line="360" w:lineRule="auto"/>
        <w:ind w:left="720" w:hanging="720"/>
        <w:jc w:val="both"/>
        <w:rPr>
          <w:rFonts w:ascii="Arial" w:hAnsi="Arial"/>
          <w:rtl/>
        </w:rPr>
      </w:pPr>
      <w:r>
        <w:rPr>
          <w:rFonts w:ascii="Arial" w:hAnsi="Arial"/>
          <w:rtl/>
        </w:rPr>
        <w:tab/>
      </w:r>
    </w:p>
    <w:p w14:paraId="2F33AAA2" w14:textId="77777777" w:rsidR="009435A1" w:rsidRDefault="009435A1" w:rsidP="009435A1">
      <w:pPr>
        <w:spacing w:line="360" w:lineRule="auto"/>
        <w:ind w:left="720"/>
        <w:jc w:val="both"/>
        <w:rPr>
          <w:rFonts w:ascii="Arial" w:hAnsi="Arial"/>
          <w:rtl/>
        </w:rPr>
      </w:pPr>
      <w:r>
        <w:rPr>
          <w:rFonts w:ascii="Arial" w:hAnsi="Arial" w:hint="cs"/>
          <w:rtl/>
        </w:rPr>
        <w:t xml:space="preserve">לאחר ששקלתי את כל האמור לעיל, החלטתי להטיל על הנאשם את העונשים הבאים: </w:t>
      </w:r>
    </w:p>
    <w:p w14:paraId="6C25DAE5" w14:textId="77777777" w:rsidR="009435A1" w:rsidRDefault="009435A1" w:rsidP="009435A1">
      <w:pPr>
        <w:spacing w:line="360" w:lineRule="auto"/>
        <w:ind w:left="720" w:hanging="720"/>
        <w:jc w:val="both"/>
        <w:rPr>
          <w:rFonts w:ascii="Arial" w:hAnsi="Arial"/>
          <w:rtl/>
        </w:rPr>
      </w:pPr>
      <w:r>
        <w:rPr>
          <w:rFonts w:ascii="Arial" w:hAnsi="Arial"/>
          <w:rtl/>
        </w:rPr>
        <w:tab/>
      </w:r>
      <w:r>
        <w:rPr>
          <w:rFonts w:ascii="Arial" w:hAnsi="Arial" w:hint="cs"/>
          <w:rtl/>
        </w:rPr>
        <w:t>א. שישה חודשי מאסר שירוצו בעבודות שרות, זאת בהתאם לאמור בחוות דעת הממונה.</w:t>
      </w:r>
    </w:p>
    <w:p w14:paraId="034B7F6D" w14:textId="77777777" w:rsidR="009435A1" w:rsidRDefault="009435A1" w:rsidP="009435A1">
      <w:pPr>
        <w:spacing w:line="360" w:lineRule="auto"/>
        <w:ind w:left="720" w:hanging="720"/>
        <w:jc w:val="both"/>
        <w:rPr>
          <w:rFonts w:ascii="Arial" w:hAnsi="Arial"/>
          <w:rtl/>
        </w:rPr>
      </w:pPr>
      <w:r>
        <w:rPr>
          <w:rFonts w:ascii="Arial" w:hAnsi="Arial"/>
          <w:rtl/>
        </w:rPr>
        <w:tab/>
      </w:r>
      <w:r>
        <w:rPr>
          <w:rFonts w:ascii="Arial" w:hAnsi="Arial" w:hint="cs"/>
          <w:rtl/>
        </w:rPr>
        <w:t xml:space="preserve">ב. שבעה חודשי מאסר, אותם לא ירצה, אלא אם יעבור תוך שלוש שנים מהיום עבירת סמים  </w:t>
      </w:r>
    </w:p>
    <w:p w14:paraId="0264325F" w14:textId="77777777" w:rsidR="009435A1" w:rsidRDefault="009435A1" w:rsidP="009435A1">
      <w:pPr>
        <w:spacing w:line="360" w:lineRule="auto"/>
        <w:ind w:left="720"/>
        <w:jc w:val="both"/>
        <w:rPr>
          <w:rFonts w:ascii="Arial" w:hAnsi="Arial"/>
          <w:rtl/>
        </w:rPr>
      </w:pPr>
      <w:r>
        <w:rPr>
          <w:rFonts w:ascii="Arial" w:hAnsi="Arial" w:hint="cs"/>
          <w:rtl/>
        </w:rPr>
        <w:t xml:space="preserve">    מסוג פשע.</w:t>
      </w:r>
    </w:p>
    <w:p w14:paraId="58ED1BB6" w14:textId="77777777" w:rsidR="009435A1" w:rsidRDefault="009435A1" w:rsidP="009435A1">
      <w:pPr>
        <w:spacing w:line="360" w:lineRule="auto"/>
        <w:ind w:left="720" w:hanging="720"/>
        <w:jc w:val="both"/>
        <w:rPr>
          <w:rFonts w:ascii="Arial" w:hAnsi="Arial"/>
          <w:rtl/>
        </w:rPr>
      </w:pPr>
      <w:r>
        <w:rPr>
          <w:rFonts w:ascii="Arial" w:hAnsi="Arial"/>
          <w:rtl/>
        </w:rPr>
        <w:tab/>
      </w:r>
      <w:r>
        <w:rPr>
          <w:rFonts w:ascii="Arial" w:hAnsi="Arial" w:hint="cs"/>
          <w:rtl/>
        </w:rPr>
        <w:t xml:space="preserve">ג. שלושה חודשי מאסר, אותם לא ירצה, אלא אם יעבור תוך שלוש שנים מהיום עבירת סמים </w:t>
      </w:r>
    </w:p>
    <w:p w14:paraId="1B4D049C" w14:textId="77777777" w:rsidR="009435A1" w:rsidRDefault="009435A1" w:rsidP="009435A1">
      <w:pPr>
        <w:spacing w:line="360" w:lineRule="auto"/>
        <w:ind w:left="720"/>
        <w:jc w:val="both"/>
        <w:rPr>
          <w:rFonts w:ascii="Arial" w:hAnsi="Arial"/>
          <w:rtl/>
        </w:rPr>
      </w:pPr>
      <w:r>
        <w:rPr>
          <w:rFonts w:ascii="Arial" w:hAnsi="Arial" w:hint="cs"/>
          <w:rtl/>
        </w:rPr>
        <w:t xml:space="preserve">    מסוג עוון. </w:t>
      </w:r>
    </w:p>
    <w:p w14:paraId="74B68B4B" w14:textId="77777777" w:rsidR="009435A1" w:rsidRDefault="009435A1" w:rsidP="009435A1">
      <w:pPr>
        <w:spacing w:line="360" w:lineRule="auto"/>
        <w:ind w:left="720" w:hanging="720"/>
        <w:jc w:val="both"/>
        <w:rPr>
          <w:rFonts w:ascii="Arial" w:hAnsi="Arial"/>
          <w:rtl/>
        </w:rPr>
      </w:pPr>
      <w:r>
        <w:rPr>
          <w:rFonts w:ascii="Arial" w:hAnsi="Arial"/>
          <w:rtl/>
        </w:rPr>
        <w:tab/>
      </w:r>
      <w:r>
        <w:rPr>
          <w:rFonts w:ascii="Arial" w:hAnsi="Arial" w:hint="cs"/>
          <w:rtl/>
        </w:rPr>
        <w:t xml:space="preserve">ד. אני פוסל את הנאשם מלהחזיק ברשיון נהיגה למשך שנה, וזאת על תנאי שלא יעבור תוך </w:t>
      </w:r>
    </w:p>
    <w:p w14:paraId="1A0AA60C" w14:textId="77777777" w:rsidR="009435A1" w:rsidRDefault="009435A1" w:rsidP="009435A1">
      <w:pPr>
        <w:spacing w:line="360" w:lineRule="auto"/>
        <w:ind w:left="720"/>
        <w:jc w:val="both"/>
        <w:rPr>
          <w:rFonts w:ascii="Arial" w:hAnsi="Arial"/>
          <w:rtl/>
        </w:rPr>
      </w:pPr>
      <w:r>
        <w:rPr>
          <w:rFonts w:ascii="Arial" w:hAnsi="Arial" w:hint="cs"/>
          <w:rtl/>
        </w:rPr>
        <w:t xml:space="preserve">    שלוש שנים מהיום עבירה על פקודת הסמים. </w:t>
      </w:r>
    </w:p>
    <w:p w14:paraId="2590E01F" w14:textId="77777777" w:rsidR="009435A1" w:rsidRDefault="009435A1" w:rsidP="009435A1">
      <w:pPr>
        <w:spacing w:line="360" w:lineRule="auto"/>
        <w:ind w:left="720"/>
        <w:jc w:val="both"/>
        <w:rPr>
          <w:rFonts w:ascii="Arial" w:hAnsi="Arial"/>
          <w:rtl/>
        </w:rPr>
      </w:pPr>
      <w:r>
        <w:rPr>
          <w:rFonts w:ascii="Arial" w:hAnsi="Arial" w:hint="cs"/>
          <w:rtl/>
        </w:rPr>
        <w:t xml:space="preserve">ה. המאשימה עתרה להכרזת הנאשם כסוחר סמים ולחילוט סכום הכסף שנתפס ברשותו.  </w:t>
      </w:r>
    </w:p>
    <w:p w14:paraId="41F2BCDC" w14:textId="77777777" w:rsidR="009435A1" w:rsidRDefault="00A23D70" w:rsidP="009435A1">
      <w:pPr>
        <w:spacing w:line="360" w:lineRule="auto"/>
        <w:ind w:left="930"/>
        <w:jc w:val="both"/>
        <w:rPr>
          <w:rFonts w:ascii="Arial" w:hAnsi="Arial"/>
          <w:rtl/>
        </w:rPr>
      </w:pPr>
      <w:r w:rsidRPr="00A23D70">
        <w:rPr>
          <w:rFonts w:ascii="Arial" w:hAnsi="Arial"/>
          <w:color w:val="FFFFFF"/>
          <w:sz w:val="2"/>
          <w:szCs w:val="2"/>
          <w:rtl/>
        </w:rPr>
        <w:t>5129371</w:t>
      </w:r>
      <w:r w:rsidR="009435A1">
        <w:rPr>
          <w:rFonts w:ascii="Arial" w:hAnsi="Arial" w:hint="cs"/>
          <w:rtl/>
        </w:rPr>
        <w:t xml:space="preserve">בהתחשב בראיות שהוצגו במהלך ניהול התיק, השכר אותו קיבל הנאשם מאלון בן חיים  בסמוך למעצרו, בסך דומה לזה שנתפס, עבור עבודותו איתו (עמ' 31 לפרוט'), וכן בהעדר ראיות או נסיבות מהן ניתן ללמוד כי הנאשם הפיק או אמור היה להפיק רווח מהעבירה </w:t>
      </w:r>
      <w:r w:rsidR="009435A1">
        <w:rPr>
          <w:rFonts w:ascii="Arial" w:hAnsi="Arial"/>
          <w:rtl/>
        </w:rPr>
        <w:t>–</w:t>
      </w:r>
      <w:r w:rsidR="009435A1">
        <w:rPr>
          <w:rFonts w:ascii="Arial" w:hAnsi="Arial" w:hint="cs"/>
          <w:rtl/>
        </w:rPr>
        <w:t xml:space="preserve"> אינני מכריז אותו סוחר סמים. הכסף שנתפס מידי הנאשם יחזור לידיו. הסמים יושמדו. </w:t>
      </w:r>
    </w:p>
    <w:p w14:paraId="18441539" w14:textId="77777777" w:rsidR="009435A1" w:rsidRPr="00A23D70" w:rsidRDefault="00A23D70" w:rsidP="009435A1">
      <w:pPr>
        <w:spacing w:line="360" w:lineRule="auto"/>
        <w:jc w:val="both"/>
        <w:rPr>
          <w:rFonts w:ascii="Arial" w:hAnsi="Arial"/>
          <w:color w:val="FFFFFF"/>
          <w:sz w:val="2"/>
          <w:szCs w:val="2"/>
          <w:rtl/>
        </w:rPr>
      </w:pPr>
      <w:r w:rsidRPr="00A23D70">
        <w:rPr>
          <w:rFonts w:ascii="Arial" w:hAnsi="Arial"/>
          <w:color w:val="FFFFFF"/>
          <w:sz w:val="2"/>
          <w:szCs w:val="2"/>
          <w:rtl/>
        </w:rPr>
        <w:t>54678313</w:t>
      </w:r>
    </w:p>
    <w:p w14:paraId="06EEE242" w14:textId="77777777" w:rsidR="009435A1" w:rsidRDefault="009435A1" w:rsidP="009435A1">
      <w:pPr>
        <w:spacing w:line="360" w:lineRule="auto"/>
        <w:jc w:val="both"/>
        <w:rPr>
          <w:rFonts w:ascii="Arial" w:hAnsi="Arial"/>
          <w:rtl/>
        </w:rPr>
      </w:pPr>
      <w:r>
        <w:rPr>
          <w:rFonts w:ascii="Arial" w:hAnsi="Arial" w:hint="cs"/>
          <w:rtl/>
        </w:rPr>
        <w:t xml:space="preserve">זכות ערעור לבית המשפט המחוזי, תוך 45 יום מהיום.  </w:t>
      </w:r>
    </w:p>
    <w:p w14:paraId="156ABA72" w14:textId="77777777" w:rsidR="009435A1" w:rsidRDefault="00A23D70" w:rsidP="009435A1">
      <w:pPr>
        <w:tabs>
          <w:tab w:val="left" w:pos="2553"/>
        </w:tabs>
        <w:ind w:left="5040"/>
        <w:rPr>
          <w:rtl/>
        </w:rPr>
      </w:pPr>
      <w:r>
        <w:rPr>
          <w:rFonts w:ascii="Arial" w:hAnsi="Arial"/>
          <w:noProof w:val="0"/>
          <w:rtl/>
        </w:rPr>
        <w:t xml:space="preserve">ניתנה היום, כ"ו שבט תשע"ז, 22 פברואר 2017, במעמד הצדדים. </w:t>
      </w:r>
      <w:r w:rsidR="009435A1">
        <w:rPr>
          <w:rFonts w:hint="cs"/>
          <w:rtl/>
        </w:rPr>
        <w:t xml:space="preserve">     </w:t>
      </w:r>
    </w:p>
    <w:p w14:paraId="3A7F714B" w14:textId="77777777" w:rsidR="009435A1" w:rsidRDefault="009435A1" w:rsidP="009435A1">
      <w:pPr>
        <w:tabs>
          <w:tab w:val="left" w:pos="2553"/>
        </w:tabs>
      </w:pPr>
      <w:r>
        <w:rPr>
          <w:rFonts w:hint="cs"/>
          <w:rtl/>
        </w:rPr>
        <w:tab/>
      </w:r>
      <w:r>
        <w:rPr>
          <w:rFonts w:hint="cs"/>
          <w:rtl/>
        </w:rPr>
        <w:tab/>
      </w:r>
      <w:r>
        <w:rPr>
          <w:rFonts w:hint="cs"/>
          <w:rtl/>
        </w:rPr>
        <w:tab/>
      </w:r>
      <w:r>
        <w:rPr>
          <w:rFonts w:hint="cs"/>
          <w:rtl/>
        </w:rPr>
        <w:tab/>
        <w:t xml:space="preserve">        </w:t>
      </w:r>
    </w:p>
    <w:p w14:paraId="462A27D5" w14:textId="77777777" w:rsidR="009435A1" w:rsidRDefault="009435A1" w:rsidP="009435A1">
      <w:pPr>
        <w:tabs>
          <w:tab w:val="left" w:pos="2553"/>
        </w:tabs>
        <w:rPr>
          <w:rFonts w:ascii="Arial" w:hAnsi="Arial"/>
          <w:noProof w:val="0"/>
          <w:rtl/>
        </w:rPr>
      </w:pPr>
    </w:p>
    <w:p w14:paraId="5A46EB32" w14:textId="77777777" w:rsidR="00A23D70" w:rsidRPr="00A23D70" w:rsidRDefault="00A23D70" w:rsidP="00A23D70">
      <w:pPr>
        <w:keepNext/>
        <w:rPr>
          <w:rFonts w:ascii="David" w:hAnsi="David"/>
          <w:color w:val="000000"/>
          <w:sz w:val="22"/>
          <w:szCs w:val="22"/>
          <w:rtl/>
        </w:rPr>
      </w:pPr>
    </w:p>
    <w:p w14:paraId="6DB9CEAE" w14:textId="77777777" w:rsidR="00A23D70" w:rsidRPr="00A23D70" w:rsidRDefault="00A23D70" w:rsidP="00A23D70">
      <w:pPr>
        <w:keepNext/>
        <w:rPr>
          <w:rFonts w:ascii="David" w:hAnsi="David"/>
          <w:color w:val="000000"/>
          <w:sz w:val="22"/>
          <w:szCs w:val="22"/>
          <w:rtl/>
        </w:rPr>
      </w:pPr>
      <w:r w:rsidRPr="00A23D70">
        <w:rPr>
          <w:rFonts w:ascii="David" w:hAnsi="David"/>
          <w:color w:val="000000"/>
          <w:sz w:val="22"/>
          <w:szCs w:val="22"/>
          <w:rtl/>
        </w:rPr>
        <w:t>איתן קורנהאוזר 54678313</w:t>
      </w:r>
    </w:p>
    <w:p w14:paraId="0C3ACA2C" w14:textId="77777777" w:rsidR="00A23D70" w:rsidRDefault="00A23D70" w:rsidP="00A23D70">
      <w:pPr>
        <w:rPr>
          <w:color w:val="000000"/>
          <w:rtl/>
        </w:rPr>
      </w:pPr>
      <w:r w:rsidRPr="00A23D70">
        <w:rPr>
          <w:color w:val="000000"/>
          <w:rtl/>
        </w:rPr>
        <w:t>נוסח מסמך זה כפוף לשינויי ניסוח ועריכה</w:t>
      </w:r>
    </w:p>
    <w:p w14:paraId="466AAF42" w14:textId="77777777" w:rsidR="00A23D70" w:rsidRDefault="00A23D70" w:rsidP="00A23D70">
      <w:pPr>
        <w:rPr>
          <w:rtl/>
        </w:rPr>
      </w:pPr>
    </w:p>
    <w:p w14:paraId="05D25670" w14:textId="77777777" w:rsidR="00A23D70" w:rsidRDefault="00A23D70" w:rsidP="00A23D70">
      <w:pPr>
        <w:jc w:val="center"/>
        <w:rPr>
          <w:color w:val="0000FF"/>
          <w:u w:val="single"/>
          <w:rtl/>
        </w:rPr>
      </w:pPr>
      <w:hyperlink r:id="rId36" w:history="1">
        <w:r>
          <w:rPr>
            <w:rStyle w:val="Hyperlink"/>
            <w:rtl/>
          </w:rPr>
          <w:t>בעניין עריכה ושינויים במסמכי פסיקה, חקיקה ועוד באתר נבו – הקש כאן</w:t>
        </w:r>
      </w:hyperlink>
    </w:p>
    <w:p w14:paraId="714AC9E5" w14:textId="77777777" w:rsidR="00DF27D7" w:rsidRPr="00A23D70" w:rsidRDefault="00DF27D7" w:rsidP="00A23D70">
      <w:pPr>
        <w:jc w:val="center"/>
        <w:rPr>
          <w:color w:val="0000FF"/>
          <w:u w:val="single"/>
        </w:rPr>
      </w:pPr>
    </w:p>
    <w:sectPr w:rsidR="00DF27D7" w:rsidRPr="00A23D70" w:rsidSect="00A23D70">
      <w:headerReference w:type="even" r:id="rId37"/>
      <w:headerReference w:type="default" r:id="rId38"/>
      <w:footerReference w:type="even" r:id="rId39"/>
      <w:footerReference w:type="default" r:id="rId40"/>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8F6C9" w14:textId="77777777" w:rsidR="00440C2C" w:rsidRDefault="00440C2C">
      <w:r>
        <w:separator/>
      </w:r>
    </w:p>
  </w:endnote>
  <w:endnote w:type="continuationSeparator" w:id="0">
    <w:p w14:paraId="05EBCA63" w14:textId="77777777" w:rsidR="00440C2C" w:rsidRDefault="0044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950EC" w14:textId="77777777" w:rsidR="00023624" w:rsidRDefault="00023624" w:rsidP="00A23D7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D622D94" w14:textId="77777777" w:rsidR="00023624" w:rsidRPr="00A23D70" w:rsidRDefault="00023624" w:rsidP="00A23D70">
    <w:pPr>
      <w:pStyle w:val="a5"/>
      <w:pBdr>
        <w:top w:val="single" w:sz="4" w:space="1" w:color="auto"/>
        <w:between w:val="single" w:sz="4" w:space="0" w:color="auto"/>
      </w:pBdr>
      <w:spacing w:after="60"/>
      <w:jc w:val="center"/>
      <w:rPr>
        <w:rFonts w:ascii="FrankRuehl" w:hAnsi="FrankRuehl" w:cs="FrankRuehl"/>
        <w:color w:val="000000"/>
      </w:rPr>
    </w:pPr>
    <w:r w:rsidRPr="00A23D7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1BE3C" w14:textId="77777777" w:rsidR="00023624" w:rsidRDefault="00023624" w:rsidP="00A23D70">
    <w:pPr>
      <w:pStyle w:val="a5"/>
      <w:jc w:val="center"/>
      <w:rPr>
        <w:rStyle w:val="a6"/>
        <w:rFonts w:ascii="FrankRuehl" w:hAnsi="FrankRuehl" w:cs="FrankRuehl"/>
        <w:rt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rPr>
      <w:instrText>PAGE</w:instrText>
    </w:r>
    <w:r>
      <w:rPr>
        <w:rStyle w:val="a6"/>
        <w:rFonts w:ascii="FrankRuehl" w:hAnsi="FrankRuehl" w:cs="FrankRuehl"/>
        <w:rtl/>
      </w:rPr>
      <w:instrText xml:space="preserve">  \* </w:instrText>
    </w:r>
    <w:r>
      <w:rPr>
        <w:rStyle w:val="a6"/>
        <w:rFonts w:ascii="FrankRuehl" w:hAnsi="FrankRuehl" w:cs="FrankRuehl"/>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335B55">
      <w:rPr>
        <w:rStyle w:val="a6"/>
        <w:rFonts w:ascii="FrankRuehl" w:hAnsi="FrankRuehl" w:cs="FrankRuehl"/>
        <w:rtl/>
      </w:rPr>
      <w:t>1</w:t>
    </w:r>
    <w:r>
      <w:rPr>
        <w:rStyle w:val="a6"/>
        <w:rFonts w:ascii="FrankRuehl" w:hAnsi="FrankRuehl" w:cs="FrankRuehl"/>
        <w:rtl/>
      </w:rPr>
      <w:fldChar w:fldCharType="end"/>
    </w:r>
  </w:p>
  <w:p w14:paraId="4ABBC31C" w14:textId="77777777" w:rsidR="00023624" w:rsidRPr="00A23D70" w:rsidRDefault="00023624" w:rsidP="00A23D70">
    <w:pPr>
      <w:pStyle w:val="a5"/>
      <w:pBdr>
        <w:top w:val="single" w:sz="4" w:space="1" w:color="auto"/>
        <w:between w:val="single" w:sz="4" w:space="0" w:color="auto"/>
      </w:pBdr>
      <w:spacing w:after="60"/>
      <w:jc w:val="center"/>
      <w:rPr>
        <w:rStyle w:val="a6"/>
        <w:rFonts w:ascii="FrankRuehl" w:hAnsi="FrankRuehl" w:cs="FrankRuehl"/>
        <w:color w:val="000000"/>
      </w:rPr>
    </w:pPr>
    <w:r w:rsidRPr="00A23D70">
      <w:rPr>
        <w:rStyle w:val="a6"/>
        <w:rFonts w:ascii="FrankRuehl" w:hAnsi="FrankRuehl" w:cs="FrankRuehl"/>
        <w:color w:val="000000"/>
      </w:rPr>
      <w:pict w14:anchorId="52D20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A96E4" w14:textId="77777777" w:rsidR="00440C2C" w:rsidRDefault="00440C2C">
      <w:r>
        <w:separator/>
      </w:r>
    </w:p>
  </w:footnote>
  <w:footnote w:type="continuationSeparator" w:id="0">
    <w:p w14:paraId="696DDC79" w14:textId="77777777" w:rsidR="00440C2C" w:rsidRDefault="00440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E875A" w14:textId="77777777" w:rsidR="00023624" w:rsidRPr="00A23D70" w:rsidRDefault="00023624" w:rsidP="00A23D7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57680-10-15</w:t>
    </w:r>
    <w:r>
      <w:rPr>
        <w:rFonts w:ascii="David" w:hAnsi="David"/>
        <w:color w:val="000000"/>
        <w:sz w:val="22"/>
        <w:szCs w:val="22"/>
        <w:rtl/>
      </w:rPr>
      <w:tab/>
      <w:t xml:space="preserve"> מדינת ישראל נ' הוד יזרעאלי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9A0FF" w14:textId="77777777" w:rsidR="00023624" w:rsidRPr="00A23D70" w:rsidRDefault="00023624" w:rsidP="00A23D7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57680-10-15</w:t>
    </w:r>
    <w:r>
      <w:rPr>
        <w:rFonts w:ascii="David" w:hAnsi="David"/>
        <w:color w:val="000000"/>
        <w:sz w:val="22"/>
        <w:szCs w:val="22"/>
        <w:rtl/>
      </w:rPr>
      <w:tab/>
      <w:t xml:space="preserve"> מדינת ישראל נ' הוד יזרעאלי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35A1"/>
    <w:rsid w:val="00023624"/>
    <w:rsid w:val="00335B55"/>
    <w:rsid w:val="00440C2C"/>
    <w:rsid w:val="005B20A2"/>
    <w:rsid w:val="006A5308"/>
    <w:rsid w:val="00891774"/>
    <w:rsid w:val="009435A1"/>
    <w:rsid w:val="009D0E65"/>
    <w:rsid w:val="009F7D1D"/>
    <w:rsid w:val="00A23D70"/>
    <w:rsid w:val="00A44CAE"/>
    <w:rsid w:val="00A97D64"/>
    <w:rsid w:val="00CE015A"/>
    <w:rsid w:val="00DF27D7"/>
    <w:rsid w:val="00F114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6D5406"/>
  <w15:chartTrackingRefBased/>
  <w15:docId w15:val="{071A4A4C-F910-426D-870E-475B17E0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35A1"/>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435A1"/>
  </w:style>
  <w:style w:type="paragraph" w:styleId="a4">
    <w:name w:val="header"/>
    <w:basedOn w:val="a"/>
    <w:rsid w:val="009435A1"/>
    <w:pPr>
      <w:tabs>
        <w:tab w:val="center" w:pos="4153"/>
        <w:tab w:val="right" w:pos="8306"/>
      </w:tabs>
    </w:pPr>
  </w:style>
  <w:style w:type="paragraph" w:styleId="a5">
    <w:name w:val="footer"/>
    <w:basedOn w:val="a"/>
    <w:rsid w:val="009435A1"/>
    <w:pPr>
      <w:tabs>
        <w:tab w:val="center" w:pos="4153"/>
        <w:tab w:val="right" w:pos="8306"/>
      </w:tabs>
    </w:pPr>
  </w:style>
  <w:style w:type="character" w:styleId="a6">
    <w:name w:val="page number"/>
    <w:basedOn w:val="a0"/>
    <w:rsid w:val="009435A1"/>
  </w:style>
  <w:style w:type="character" w:styleId="Hyperlink">
    <w:name w:val="Hyperlink"/>
    <w:rsid w:val="00A23D70"/>
    <w:rPr>
      <w:color w:val="0000FF"/>
      <w:u w:val="single"/>
    </w:rPr>
  </w:style>
  <w:style w:type="character" w:styleId="a7">
    <w:name w:val="Unresolved Mention"/>
    <w:uiPriority w:val="99"/>
    <w:semiHidden/>
    <w:unhideWhenUsed/>
    <w:rsid w:val="00A97D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20058917" TargetMode="External"/><Relationship Id="rId39" Type="http://schemas.openxmlformats.org/officeDocument/2006/relationships/footer" Target="footer1.xml"/><Relationship Id="rId21" Type="http://schemas.openxmlformats.org/officeDocument/2006/relationships/hyperlink" Target="http://www.nevo.co.il/law/4216/7.a.c" TargetMode="External"/><Relationship Id="rId34" Type="http://schemas.openxmlformats.org/officeDocument/2006/relationships/hyperlink" Target="http://www.nevo.co.il/case/18762224" TargetMode="External"/><Relationship Id="rId42" Type="http://schemas.openxmlformats.org/officeDocument/2006/relationships/theme" Target="theme/theme1.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4216/10" TargetMode="External"/><Relationship Id="rId29" Type="http://schemas.openxmlformats.org/officeDocument/2006/relationships/hyperlink" Target="http://www.nevo.co.il/case/5611948"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186.a" TargetMode="External"/><Relationship Id="rId24" Type="http://schemas.openxmlformats.org/officeDocument/2006/relationships/hyperlink" Target="http://www.nevo.co.il/case/20770504" TargetMode="External"/><Relationship Id="rId32" Type="http://schemas.openxmlformats.org/officeDocument/2006/relationships/hyperlink" Target="http://www.nevo.co.il/case/20118367"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10"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9994809"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8118854" TargetMode="Externa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law/4216/7.a.c" TargetMode="External"/><Relationship Id="rId22" Type="http://schemas.openxmlformats.org/officeDocument/2006/relationships/hyperlink" Target="http://www.nevo.co.il/law/70301/186.a" TargetMode="External"/><Relationship Id="rId27" Type="http://schemas.openxmlformats.org/officeDocument/2006/relationships/hyperlink" Target="http://www.nevo.co.il/case/20567094" TargetMode="External"/><Relationship Id="rId30" Type="http://schemas.openxmlformats.org/officeDocument/2006/relationships/hyperlink" Target="http://www.nevo.co.il/case/17954445" TargetMode="External"/><Relationship Id="rId35" Type="http://schemas.openxmlformats.org/officeDocument/2006/relationships/hyperlink" Target="http://www.nevo.co.il/case/16912876" TargetMode="External"/><Relationship Id="rId8" Type="http://schemas.openxmlformats.org/officeDocument/2006/relationships/hyperlink" Target="http://www.nevo.co.il/law/4216/7.a.c" TargetMode="External"/><Relationship Id="rId3" Type="http://schemas.openxmlformats.org/officeDocument/2006/relationships/webSettings" Target="webSettings.xml"/><Relationship Id="rId12" Type="http://schemas.openxmlformats.org/officeDocument/2006/relationships/hyperlink" Target="http://www.nevo.co.il/law/4216" TargetMode="External"/><Relationship Id="rId17" Type="http://schemas.openxmlformats.org/officeDocument/2006/relationships/hyperlink" Target="http://www.nevo.co.il/law/70301/186.a" TargetMode="External"/><Relationship Id="rId25" Type="http://schemas.openxmlformats.org/officeDocument/2006/relationships/hyperlink" Target="http://www.nevo.co.il/case/20402486" TargetMode="External"/><Relationship Id="rId33" Type="http://schemas.openxmlformats.org/officeDocument/2006/relationships/hyperlink" Target="http://www.nevo.co.il/case/13062668"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1896</Words>
  <Characters>9483</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11357</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3997819</vt:i4>
      </vt:variant>
      <vt:variant>
        <vt:i4>87</vt:i4>
      </vt:variant>
      <vt:variant>
        <vt:i4>0</vt:i4>
      </vt:variant>
      <vt:variant>
        <vt:i4>5</vt:i4>
      </vt:variant>
      <vt:variant>
        <vt:lpwstr>http://www.nevo.co.il/case/16912876</vt:lpwstr>
      </vt:variant>
      <vt:variant>
        <vt:lpwstr/>
      </vt:variant>
      <vt:variant>
        <vt:i4>3539064</vt:i4>
      </vt:variant>
      <vt:variant>
        <vt:i4>84</vt:i4>
      </vt:variant>
      <vt:variant>
        <vt:i4>0</vt:i4>
      </vt:variant>
      <vt:variant>
        <vt:i4>5</vt:i4>
      </vt:variant>
      <vt:variant>
        <vt:lpwstr>http://www.nevo.co.il/case/18762224</vt:lpwstr>
      </vt:variant>
      <vt:variant>
        <vt:lpwstr/>
      </vt:variant>
      <vt:variant>
        <vt:i4>3473527</vt:i4>
      </vt:variant>
      <vt:variant>
        <vt:i4>81</vt:i4>
      </vt:variant>
      <vt:variant>
        <vt:i4>0</vt:i4>
      </vt:variant>
      <vt:variant>
        <vt:i4>5</vt:i4>
      </vt:variant>
      <vt:variant>
        <vt:lpwstr>http://www.nevo.co.il/case/13062668</vt:lpwstr>
      </vt:variant>
      <vt:variant>
        <vt:lpwstr/>
      </vt:variant>
      <vt:variant>
        <vt:i4>3997814</vt:i4>
      </vt:variant>
      <vt:variant>
        <vt:i4>78</vt:i4>
      </vt:variant>
      <vt:variant>
        <vt:i4>0</vt:i4>
      </vt:variant>
      <vt:variant>
        <vt:i4>5</vt:i4>
      </vt:variant>
      <vt:variant>
        <vt:lpwstr>http://www.nevo.co.il/case/20118367</vt:lpwstr>
      </vt:variant>
      <vt:variant>
        <vt:lpwstr/>
      </vt:variant>
      <vt:variant>
        <vt:i4>3997813</vt:i4>
      </vt:variant>
      <vt:variant>
        <vt:i4>75</vt:i4>
      </vt:variant>
      <vt:variant>
        <vt:i4>0</vt:i4>
      </vt:variant>
      <vt:variant>
        <vt:i4>5</vt:i4>
      </vt:variant>
      <vt:variant>
        <vt:lpwstr>http://www.nevo.co.il/case/18118854</vt:lpwstr>
      </vt:variant>
      <vt:variant>
        <vt:lpwstr/>
      </vt:variant>
      <vt:variant>
        <vt:i4>3670130</vt:i4>
      </vt:variant>
      <vt:variant>
        <vt:i4>72</vt:i4>
      </vt:variant>
      <vt:variant>
        <vt:i4>0</vt:i4>
      </vt:variant>
      <vt:variant>
        <vt:i4>5</vt:i4>
      </vt:variant>
      <vt:variant>
        <vt:lpwstr>http://www.nevo.co.il/case/17954445</vt:lpwstr>
      </vt:variant>
      <vt:variant>
        <vt:lpwstr/>
      </vt:variant>
      <vt:variant>
        <vt:i4>3473527</vt:i4>
      </vt:variant>
      <vt:variant>
        <vt:i4>69</vt:i4>
      </vt:variant>
      <vt:variant>
        <vt:i4>0</vt:i4>
      </vt:variant>
      <vt:variant>
        <vt:i4>5</vt:i4>
      </vt:variant>
      <vt:variant>
        <vt:lpwstr>http://www.nevo.co.il/case/5611948</vt:lpwstr>
      </vt:variant>
      <vt:variant>
        <vt:lpwstr/>
      </vt:variant>
      <vt:variant>
        <vt:i4>3932284</vt:i4>
      </vt:variant>
      <vt:variant>
        <vt:i4>66</vt:i4>
      </vt:variant>
      <vt:variant>
        <vt:i4>0</vt:i4>
      </vt:variant>
      <vt:variant>
        <vt:i4>5</vt:i4>
      </vt:variant>
      <vt:variant>
        <vt:lpwstr>http://www.nevo.co.il/case/19994809</vt:lpwstr>
      </vt:variant>
      <vt:variant>
        <vt:lpwstr/>
      </vt:variant>
      <vt:variant>
        <vt:i4>3735666</vt:i4>
      </vt:variant>
      <vt:variant>
        <vt:i4>63</vt:i4>
      </vt:variant>
      <vt:variant>
        <vt:i4>0</vt:i4>
      </vt:variant>
      <vt:variant>
        <vt:i4>5</vt:i4>
      </vt:variant>
      <vt:variant>
        <vt:lpwstr>http://www.nevo.co.il/case/20567094</vt:lpwstr>
      </vt:variant>
      <vt:variant>
        <vt:lpwstr/>
      </vt:variant>
      <vt:variant>
        <vt:i4>3866744</vt:i4>
      </vt:variant>
      <vt:variant>
        <vt:i4>60</vt:i4>
      </vt:variant>
      <vt:variant>
        <vt:i4>0</vt:i4>
      </vt:variant>
      <vt:variant>
        <vt:i4>5</vt:i4>
      </vt:variant>
      <vt:variant>
        <vt:lpwstr>http://www.nevo.co.il/case/20058917</vt:lpwstr>
      </vt:variant>
      <vt:variant>
        <vt:lpwstr/>
      </vt:variant>
      <vt:variant>
        <vt:i4>3932272</vt:i4>
      </vt:variant>
      <vt:variant>
        <vt:i4>57</vt:i4>
      </vt:variant>
      <vt:variant>
        <vt:i4>0</vt:i4>
      </vt:variant>
      <vt:variant>
        <vt:i4>5</vt:i4>
      </vt:variant>
      <vt:variant>
        <vt:lpwstr>http://www.nevo.co.il/case/20402486</vt:lpwstr>
      </vt:variant>
      <vt:variant>
        <vt:lpwstr/>
      </vt:variant>
      <vt:variant>
        <vt:i4>3473526</vt:i4>
      </vt:variant>
      <vt:variant>
        <vt:i4>54</vt:i4>
      </vt:variant>
      <vt:variant>
        <vt:i4>0</vt:i4>
      </vt:variant>
      <vt:variant>
        <vt:i4>5</vt:i4>
      </vt:variant>
      <vt:variant>
        <vt:lpwstr>http://www.nevo.co.il/case/20770504</vt:lpwstr>
      </vt:variant>
      <vt:variant>
        <vt:lpwstr/>
      </vt:variant>
      <vt:variant>
        <vt:i4>7995492</vt:i4>
      </vt:variant>
      <vt:variant>
        <vt:i4>51</vt:i4>
      </vt:variant>
      <vt:variant>
        <vt:i4>0</vt:i4>
      </vt:variant>
      <vt:variant>
        <vt:i4>5</vt:i4>
      </vt:variant>
      <vt:variant>
        <vt:lpwstr>http://www.nevo.co.il/law/70301</vt:lpwstr>
      </vt:variant>
      <vt:variant>
        <vt:lpwstr/>
      </vt:variant>
      <vt:variant>
        <vt:i4>4390994</vt:i4>
      </vt:variant>
      <vt:variant>
        <vt:i4>48</vt:i4>
      </vt:variant>
      <vt:variant>
        <vt:i4>0</vt:i4>
      </vt:variant>
      <vt:variant>
        <vt:i4>5</vt:i4>
      </vt:variant>
      <vt:variant>
        <vt:lpwstr>http://www.nevo.co.il/law/70301/186.a</vt:lpwstr>
      </vt:variant>
      <vt:variant>
        <vt:lpwstr/>
      </vt:variant>
      <vt:variant>
        <vt:i4>4915274</vt:i4>
      </vt:variant>
      <vt:variant>
        <vt:i4>45</vt:i4>
      </vt:variant>
      <vt:variant>
        <vt:i4>0</vt:i4>
      </vt:variant>
      <vt:variant>
        <vt:i4>5</vt:i4>
      </vt:variant>
      <vt:variant>
        <vt:lpwstr>http://www.nevo.co.il/law/4216/7.a.c</vt:lpwstr>
      </vt:variant>
      <vt:variant>
        <vt:lpwstr/>
      </vt:variant>
      <vt:variant>
        <vt:i4>5177418</vt:i4>
      </vt:variant>
      <vt:variant>
        <vt:i4>42</vt:i4>
      </vt:variant>
      <vt:variant>
        <vt:i4>0</vt:i4>
      </vt:variant>
      <vt:variant>
        <vt:i4>5</vt:i4>
      </vt:variant>
      <vt:variant>
        <vt:lpwstr>http://www.nevo.co.il/law/4216/10</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4390994</vt:i4>
      </vt:variant>
      <vt:variant>
        <vt:i4>33</vt:i4>
      </vt:variant>
      <vt:variant>
        <vt:i4>0</vt:i4>
      </vt:variant>
      <vt:variant>
        <vt:i4>5</vt:i4>
      </vt:variant>
      <vt:variant>
        <vt:lpwstr>http://www.nevo.co.il/law/70301/186.a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5177418</vt:i4>
      </vt:variant>
      <vt:variant>
        <vt:i4>27</vt:i4>
      </vt:variant>
      <vt:variant>
        <vt:i4>0</vt:i4>
      </vt:variant>
      <vt:variant>
        <vt:i4>5</vt:i4>
      </vt:variant>
      <vt:variant>
        <vt:lpwstr>http://www.nevo.co.il/law/4216/10</vt:lpwstr>
      </vt:variant>
      <vt:variant>
        <vt:lpwstr/>
      </vt:variant>
      <vt:variant>
        <vt:i4>4915274</vt:i4>
      </vt:variant>
      <vt:variant>
        <vt:i4>24</vt:i4>
      </vt:variant>
      <vt:variant>
        <vt:i4>0</vt:i4>
      </vt:variant>
      <vt:variant>
        <vt:i4>5</vt:i4>
      </vt:variant>
      <vt:variant>
        <vt:lpwstr>http://www.nevo.co.il/law/4216/7.a.c</vt:lpwstr>
      </vt:variant>
      <vt:variant>
        <vt:lpwstr/>
      </vt:variant>
      <vt:variant>
        <vt:i4>4718666</vt:i4>
      </vt:variant>
      <vt:variant>
        <vt:i4>21</vt:i4>
      </vt:variant>
      <vt:variant>
        <vt:i4>0</vt:i4>
      </vt:variant>
      <vt:variant>
        <vt:i4>5</vt:i4>
      </vt:variant>
      <vt:variant>
        <vt:lpwstr>http://www.nevo.co.il/law/4216/6</vt:lpwstr>
      </vt:variant>
      <vt:variant>
        <vt:lpwstr/>
      </vt:variant>
      <vt:variant>
        <vt:i4>8257637</vt:i4>
      </vt:variant>
      <vt:variant>
        <vt:i4>18</vt:i4>
      </vt:variant>
      <vt:variant>
        <vt:i4>0</vt:i4>
      </vt:variant>
      <vt:variant>
        <vt:i4>5</vt:i4>
      </vt:variant>
      <vt:variant>
        <vt:lpwstr>http://www.nevo.co.il/law/4216</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4915274</vt:i4>
      </vt:variant>
      <vt:variant>
        <vt:i4>6</vt:i4>
      </vt:variant>
      <vt:variant>
        <vt:i4>0</vt:i4>
      </vt:variant>
      <vt:variant>
        <vt:i4>5</vt:i4>
      </vt:variant>
      <vt:variant>
        <vt:lpwstr>http://www.nevo.co.il/law/4216/7.a.c</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2025-04-22T22:53:00Z</dcterms:created>
  <dcterms:modified xsi:type="dcterms:W3CDTF">2025-04-22T22:53:00Z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57680</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הוד יזרעאלי</vt:lpwstr>
  </property>
  <property fmtid="{D5CDD505-2E9C-101B-9397-08002B2CF9AE}" pid="10" name="JUDGE">
    <vt:lpwstr>איתן קורנהאוזר</vt:lpwstr>
  </property>
  <property fmtid="{D5CDD505-2E9C-101B-9397-08002B2CF9AE}" pid="11" name="CITY">
    <vt:lpwstr>י-ם</vt:lpwstr>
  </property>
  <property fmtid="{D5CDD505-2E9C-101B-9397-08002B2CF9AE}" pid="12" name="DATE">
    <vt:lpwstr>20170222</vt:lpwstr>
  </property>
  <property fmtid="{D5CDD505-2E9C-101B-9397-08002B2CF9AE}" pid="13" name="TYPE_N_DATE">
    <vt:lpwstr>38020170222</vt:lpwstr>
  </property>
  <property fmtid="{D5CDD505-2E9C-101B-9397-08002B2CF9AE}" pid="14" name="WORDNUMPAGES">
    <vt:lpwstr>5</vt:lpwstr>
  </property>
  <property fmtid="{D5CDD505-2E9C-101B-9397-08002B2CF9AE}" pid="15" name="TYPE_ABS_DATE">
    <vt:lpwstr>380020170222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20770504;20402486;20058917;20567094;19994809;5611948;17954445;18118854;20118367;13062668;18762224;16912876</vt:lpwstr>
  </property>
  <property fmtid="{D5CDD505-2E9C-101B-9397-08002B2CF9AE}" pid="36" name="LAWLISTTMP1">
    <vt:lpwstr>4216/006;007.a.c;010</vt:lpwstr>
  </property>
  <property fmtid="{D5CDD505-2E9C-101B-9397-08002B2CF9AE}" pid="37" name="LAWLISTTMP2">
    <vt:lpwstr>70301/186.a</vt:lpwstr>
  </property>
</Properties>
</file>